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443" w:rsidRPr="00DC333C" w:rsidRDefault="00DC333C" w:rsidP="00EA6B72">
      <w:pPr>
        <w:tabs>
          <w:tab w:val="left" w:pos="0"/>
          <w:tab w:val="left" w:pos="851"/>
        </w:tabs>
        <w:spacing w:after="0"/>
        <w:ind w:right="14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DC333C">
        <w:rPr>
          <w:rFonts w:ascii="GHEA Grapalat" w:eastAsia="Calibri" w:hAnsi="GHEA Grapalat" w:cs="Times New Roman"/>
          <w:b/>
          <w:sz w:val="24"/>
          <w:szCs w:val="24"/>
          <w:lang w:val="hy-AM"/>
        </w:rPr>
        <w:t>ՀԻՄՆԱՎՈՐՈՒՄ</w:t>
      </w:r>
    </w:p>
    <w:p w:rsidR="00832443" w:rsidRPr="00A0614C" w:rsidRDefault="00DC333C" w:rsidP="00EA6B72">
      <w:pPr>
        <w:shd w:val="clear" w:color="auto" w:fill="FFFFFF"/>
        <w:tabs>
          <w:tab w:val="left" w:pos="180"/>
        </w:tabs>
        <w:spacing w:after="0"/>
        <w:ind w:left="180" w:right="14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DC333C">
        <w:rPr>
          <w:rFonts w:ascii="GHEA Grapalat" w:eastAsia="Calibri" w:hAnsi="GHEA Grapalat" w:cs="Times New Roman"/>
          <w:b/>
          <w:sz w:val="24"/>
          <w:szCs w:val="24"/>
          <w:lang w:val="hy-AM"/>
        </w:rPr>
        <w:t>«</w:t>
      </w:r>
      <w:r w:rsidR="001906E9" w:rsidRPr="001906E9">
        <w:rPr>
          <w:rFonts w:ascii="GHEA Grapalat" w:eastAsia="Calibri" w:hAnsi="GHEA Grapalat" w:cs="Times New Roman"/>
          <w:b/>
          <w:sz w:val="24"/>
          <w:szCs w:val="24"/>
          <w:lang w:val="hy-AM"/>
        </w:rPr>
        <w:t>ՀԱՅԱՍՏԱՆԻ ՀԱՆՐԱՊԵՏՈՒԹՅԱՆ ԿԱՌԱՎԱՐՈՒԹՅԱՆ 2021 ԹՎԱԿԱՆԻ</w:t>
      </w:r>
      <w:r w:rsidR="009F42F2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1906E9" w:rsidRPr="001906E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ՀՈՒՆԻՍԻ 10-Ի </w:t>
      </w:r>
      <w:r w:rsidR="00CF6C19">
        <w:rPr>
          <w:rFonts w:ascii="GHEA Grapalat" w:eastAsia="Calibri" w:hAnsi="GHEA Grapalat" w:cs="Times New Roman"/>
          <w:b/>
          <w:sz w:val="24"/>
          <w:szCs w:val="24"/>
          <w:lang w:val="hy-AM"/>
        </w:rPr>
        <w:t>№</w:t>
      </w:r>
      <w:r w:rsidR="001906E9" w:rsidRPr="001906E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938-Ն ՈՐՈՇՈՒՄՆ ՈՒԺԸ ԿՈՐՑՐԱԾ ՃԱՆԱՉԵԼՈՒ ՄԱՍԻՆ</w:t>
      </w:r>
      <w:r w:rsidR="009F42F2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» </w:t>
      </w: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ՀԱՅԱՍՏԱՆԻ ՀԱՆՐԱՊԵՏՈՒԹՅԱՆ ԿԱՌԱՎԱՐՈՒԹՅԱՆ </w:t>
      </w:r>
      <w:r w:rsidR="000F60E2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ՈՐՈՇՄԱՆ </w:t>
      </w: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ՆԱԽԱԳԾԻ</w:t>
      </w:r>
    </w:p>
    <w:p w:rsidR="00F23FB6" w:rsidRPr="00832443" w:rsidRDefault="00832443" w:rsidP="00EA6B72">
      <w:pPr>
        <w:tabs>
          <w:tab w:val="left" w:pos="0"/>
        </w:tabs>
        <w:spacing w:after="0"/>
        <w:ind w:left="180" w:firstLine="720"/>
        <w:jc w:val="both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F23FB6" w:rsidRPr="006467E1" w:rsidRDefault="00F23FB6" w:rsidP="00EA6B72">
      <w:pPr>
        <w:pStyle w:val="ListParagraph"/>
        <w:numPr>
          <w:ilvl w:val="1"/>
          <w:numId w:val="1"/>
        </w:numPr>
        <w:tabs>
          <w:tab w:val="left" w:pos="0"/>
          <w:tab w:val="left" w:pos="360"/>
          <w:tab w:val="left" w:pos="720"/>
          <w:tab w:val="left" w:pos="810"/>
          <w:tab w:val="left" w:pos="900"/>
          <w:tab w:val="left" w:pos="990"/>
        </w:tabs>
        <w:spacing w:after="0"/>
        <w:ind w:left="90" w:right="140"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467E1">
        <w:rPr>
          <w:rFonts w:ascii="GHEA Grapalat" w:hAnsi="GHEA Grapalat" w:cs="Arial Unicode"/>
          <w:b/>
          <w:bCs/>
          <w:color w:val="000000"/>
          <w:sz w:val="24"/>
          <w:szCs w:val="24"/>
          <w:lang w:val="af-ZA"/>
        </w:rPr>
        <w:t xml:space="preserve"> Կարգավորման ենթակա խնդիրը.</w:t>
      </w:r>
    </w:p>
    <w:p w:rsidR="006C2CD7" w:rsidRPr="006C2CD7" w:rsidRDefault="0038667A" w:rsidP="00EA6B72">
      <w:pPr>
        <w:shd w:val="clear" w:color="auto" w:fill="FFFFFF"/>
        <w:tabs>
          <w:tab w:val="left" w:pos="0"/>
          <w:tab w:val="left" w:pos="180"/>
          <w:tab w:val="left" w:pos="360"/>
        </w:tabs>
        <w:spacing w:after="0"/>
        <w:ind w:left="90" w:right="140"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DC333C" w:rsidRPr="00DC333C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1906E9">
        <w:rPr>
          <w:rFonts w:ascii="GHEA Grapalat" w:eastAsia="Calibri" w:hAnsi="GHEA Grapalat" w:cs="Times New Roman"/>
          <w:sz w:val="24"/>
          <w:szCs w:val="24"/>
          <w:lang w:val="hy-AM"/>
        </w:rPr>
        <w:t>Հ</w:t>
      </w:r>
      <w:r w:rsidR="001906E9" w:rsidRPr="001906E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այաստանի </w:t>
      </w:r>
      <w:r w:rsidR="001906E9">
        <w:rPr>
          <w:rFonts w:ascii="GHEA Grapalat" w:eastAsia="Calibri" w:hAnsi="GHEA Grapalat" w:cs="Times New Roman"/>
          <w:sz w:val="24"/>
          <w:szCs w:val="24"/>
          <w:lang w:val="hy-AM"/>
        </w:rPr>
        <w:t>Հ</w:t>
      </w:r>
      <w:r w:rsidR="001906E9" w:rsidRPr="001906E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անրապետության կառավարության 2021 թվականի հունիսի 10-ի </w:t>
      </w:r>
      <w:r w:rsidR="00CF6C19" w:rsidRPr="00CF6C19">
        <w:rPr>
          <w:rFonts w:ascii="GHEA Grapalat" w:eastAsia="Calibri" w:hAnsi="GHEA Grapalat" w:cs="Times New Roman"/>
          <w:sz w:val="24"/>
          <w:szCs w:val="24"/>
          <w:lang w:val="hy-AM"/>
        </w:rPr>
        <w:t xml:space="preserve">№ </w:t>
      </w:r>
      <w:r w:rsidR="001906E9" w:rsidRPr="001906E9">
        <w:rPr>
          <w:rFonts w:ascii="GHEA Grapalat" w:eastAsia="Calibri" w:hAnsi="GHEA Grapalat" w:cs="Times New Roman"/>
          <w:sz w:val="24"/>
          <w:szCs w:val="24"/>
          <w:lang w:val="hy-AM"/>
        </w:rPr>
        <w:t>938-Ն որոշումն ուժը կորցրած ճանաչելու մասին</w:t>
      </w:r>
      <w:r w:rsidR="00DC333C" w:rsidRPr="00DC333C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</w:t>
      </w:r>
      <w:r w:rsidR="00DC333C">
        <w:rPr>
          <w:rFonts w:ascii="GHEA Grapalat" w:eastAsia="Calibri" w:hAnsi="GHEA Grapalat" w:cs="Times New Roman"/>
          <w:sz w:val="24"/>
          <w:szCs w:val="24"/>
          <w:lang w:val="hy-AM"/>
        </w:rPr>
        <w:t>Հ</w:t>
      </w:r>
      <w:r w:rsidR="00DC333C" w:rsidRPr="00DC333C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այաստանի </w:t>
      </w:r>
      <w:r w:rsidR="00DC333C">
        <w:rPr>
          <w:rFonts w:ascii="GHEA Grapalat" w:eastAsia="Calibri" w:hAnsi="GHEA Grapalat" w:cs="Times New Roman"/>
          <w:sz w:val="24"/>
          <w:szCs w:val="24"/>
          <w:lang w:val="hy-AM"/>
        </w:rPr>
        <w:t>Հ</w:t>
      </w:r>
      <w:r w:rsidR="00DC333C" w:rsidRPr="00DC333C">
        <w:rPr>
          <w:rFonts w:ascii="GHEA Grapalat" w:eastAsia="Calibri" w:hAnsi="GHEA Grapalat" w:cs="Times New Roman"/>
          <w:sz w:val="24"/>
          <w:szCs w:val="24"/>
          <w:lang w:val="hy-AM"/>
        </w:rPr>
        <w:t>անրապետության կառավարության</w:t>
      </w:r>
      <w:r w:rsidR="000F60E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որոշման</w:t>
      </w:r>
      <w:r w:rsidR="00DC333C" w:rsidRPr="00DC333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DC333C">
        <w:rPr>
          <w:rFonts w:ascii="GHEA Grapalat" w:eastAsia="Calibri" w:hAnsi="GHEA Grapalat" w:cs="Times New Roman"/>
          <w:sz w:val="24"/>
          <w:szCs w:val="24"/>
          <w:lang w:val="hy-AM"/>
        </w:rPr>
        <w:t>նախագծ</w:t>
      </w:r>
      <w:r w:rsidR="00DC333C" w:rsidRPr="00DC333C">
        <w:rPr>
          <w:rFonts w:ascii="GHEA Grapalat" w:eastAsia="Calibri" w:hAnsi="GHEA Grapalat" w:cs="Times New Roman"/>
          <w:sz w:val="24"/>
          <w:szCs w:val="24"/>
          <w:lang w:val="hy-AM"/>
        </w:rPr>
        <w:t>ի (այսուհետ` Նախագծի</w:t>
      </w:r>
      <w:r w:rsidR="00B53A30" w:rsidRPr="00DC333C">
        <w:rPr>
          <w:rFonts w:ascii="GHEA Grapalat" w:eastAsia="Calibri" w:hAnsi="GHEA Grapalat" w:cs="Times New Roman"/>
          <w:sz w:val="24"/>
          <w:szCs w:val="24"/>
          <w:lang w:val="hy-AM"/>
        </w:rPr>
        <w:t xml:space="preserve">) </w:t>
      </w:r>
      <w:r w:rsidR="00EE5B5E" w:rsidRPr="00CB6BBE">
        <w:rPr>
          <w:rFonts w:ascii="GHEA Grapalat" w:eastAsia="Calibri" w:hAnsi="GHEA Grapalat" w:cs="Times New Roman"/>
          <w:sz w:val="24"/>
          <w:szCs w:val="24"/>
          <w:lang w:val="hy-AM"/>
        </w:rPr>
        <w:t>ընդունումը</w:t>
      </w:r>
      <w:r w:rsidR="004675BC" w:rsidRPr="00CB6BB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պայմանավորված է</w:t>
      </w:r>
      <w:r w:rsidR="006C2CD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այն հանգամանքով, որ </w:t>
      </w:r>
      <w:r w:rsidR="00A04C9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ներկայումս </w:t>
      </w:r>
      <w:r w:rsidR="006C2CD7" w:rsidRPr="006C2CD7">
        <w:rPr>
          <w:rFonts w:ascii="GHEA Grapalat" w:eastAsia="Calibri" w:hAnsi="GHEA Grapalat" w:cs="Times New Roman"/>
          <w:sz w:val="24"/>
          <w:szCs w:val="24"/>
          <w:lang w:val="hy-AM"/>
        </w:rPr>
        <w:t>պետական ռազմականացված կազմակերպություններում զենքի շրջանառության միասնական կարգը</w:t>
      </w:r>
      <w:r w:rsidR="00A04C9B" w:rsidRPr="00A04C9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A04C9B" w:rsidRPr="006C2CD7">
        <w:rPr>
          <w:rFonts w:ascii="GHEA Grapalat" w:eastAsia="Calibri" w:hAnsi="GHEA Grapalat" w:cs="Times New Roman"/>
          <w:sz w:val="24"/>
          <w:szCs w:val="24"/>
          <w:lang w:val="hy-AM"/>
        </w:rPr>
        <w:t>սահմանվում է</w:t>
      </w:r>
      <w:r w:rsidR="00A04C9B" w:rsidRPr="00A04C9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A04C9B" w:rsidRPr="006C2CD7">
        <w:rPr>
          <w:rFonts w:ascii="GHEA Grapalat" w:eastAsia="Calibri" w:hAnsi="GHEA Grapalat" w:cs="Times New Roman"/>
          <w:sz w:val="24"/>
          <w:szCs w:val="24"/>
          <w:lang w:val="hy-AM"/>
        </w:rPr>
        <w:t>ՀՀ կառավարության 2023 թվականի հունիսի 1-ի № 889-Ն որոշմամբ</w:t>
      </w:r>
      <w:r w:rsidR="00A04C9B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:rsidR="001518C4" w:rsidRDefault="00F23FB6" w:rsidP="00EA6B72">
      <w:pPr>
        <w:tabs>
          <w:tab w:val="left" w:pos="0"/>
          <w:tab w:val="left" w:pos="180"/>
          <w:tab w:val="left" w:pos="360"/>
          <w:tab w:val="left" w:pos="851"/>
        </w:tabs>
        <w:spacing w:after="0"/>
        <w:ind w:left="90" w:right="140" w:firstLine="720"/>
        <w:jc w:val="both"/>
        <w:rPr>
          <w:rFonts w:ascii="Cambria Math" w:eastAsia="Calibri" w:hAnsi="Cambria Math" w:cs="Cambria Math"/>
          <w:b/>
          <w:sz w:val="24"/>
          <w:szCs w:val="24"/>
          <w:lang w:val="hy-AM"/>
        </w:rPr>
      </w:pPr>
      <w:r w:rsidRPr="00015311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2</w:t>
      </w:r>
      <w:r w:rsidRPr="00015311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015311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Ընթացիկ </w:t>
      </w:r>
      <w:r w:rsidRPr="00015311">
        <w:rPr>
          <w:rFonts w:ascii="GHEA Grapalat" w:eastAsia="Calibri" w:hAnsi="GHEA Grapalat" w:cs="Times New Roman"/>
          <w:b/>
          <w:sz w:val="24"/>
          <w:szCs w:val="24"/>
          <w:lang w:val="hy-AM"/>
        </w:rPr>
        <w:t>իրավիճակը և իրավական ակտի ընդունման անհրաժեշտությունը</w:t>
      </w:r>
      <w:r w:rsidR="00DC333C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</w:p>
    <w:p w:rsidR="00F8404C" w:rsidRPr="00F8404C" w:rsidRDefault="00F8404C" w:rsidP="00F8404C">
      <w:pPr>
        <w:tabs>
          <w:tab w:val="left" w:pos="0"/>
          <w:tab w:val="left" w:pos="180"/>
          <w:tab w:val="left" w:pos="360"/>
          <w:tab w:val="left" w:pos="851"/>
        </w:tabs>
        <w:spacing w:after="0"/>
        <w:ind w:left="90" w:right="14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B410D">
        <w:rPr>
          <w:rFonts w:ascii="GHEA Grapalat" w:hAnsi="GHEA Grapalat" w:cs="Arial"/>
          <w:sz w:val="24"/>
          <w:szCs w:val="24"/>
          <w:lang w:val="hy-AM"/>
        </w:rPr>
        <w:t xml:space="preserve">«Զենքի մասին» օրենքի 5-րդ </w:t>
      </w:r>
      <w:r>
        <w:rPr>
          <w:rFonts w:ascii="GHEA Grapalat" w:hAnsi="GHEA Grapalat" w:cs="Arial"/>
          <w:sz w:val="24"/>
          <w:szCs w:val="24"/>
          <w:lang w:val="hy-AM"/>
        </w:rPr>
        <w:t>հոդված</w:t>
      </w:r>
      <w:r w:rsidR="00E94C6D">
        <w:rPr>
          <w:rFonts w:ascii="GHEA Grapalat" w:hAnsi="GHEA Grapalat" w:cs="Arial"/>
          <w:sz w:val="24"/>
          <w:szCs w:val="24"/>
          <w:lang w:val="hy-AM"/>
        </w:rPr>
        <w:t>ի</w:t>
      </w:r>
      <w:r>
        <w:rPr>
          <w:rFonts w:ascii="GHEA Grapalat" w:hAnsi="GHEA Grapalat" w:cs="Arial"/>
          <w:sz w:val="24"/>
          <w:szCs w:val="24"/>
          <w:lang w:val="hy-AM"/>
        </w:rPr>
        <w:t xml:space="preserve"> համաձայն՝ մ</w:t>
      </w:r>
      <w:r w:rsidRPr="00F8404C">
        <w:rPr>
          <w:rFonts w:ascii="GHEA Grapalat" w:hAnsi="GHEA Grapalat" w:cs="Arial"/>
          <w:sz w:val="24"/>
          <w:szCs w:val="24"/>
          <w:lang w:val="hy-AM"/>
        </w:rPr>
        <w:t>արտական զենքի և նրա փամփուշտների նոր տեսակները (նմուշները), որոնց կառուցվածքային չափանիշներն արդեն իսկ սպառազինության մեջ գտնվող նույնանման զինատեսակների համեմատությամբ չեն ավելացնում դրանց խոցելիության ուժը, պետական ռազմականացված կազմակերպությունների ղեկավարներն ընդունում են սպառազինման` Հայաստանի Հանրապետության կառավարության սահմանած կարգով</w:t>
      </w:r>
      <w:r>
        <w:rPr>
          <w:rFonts w:ascii="GHEA Grapalat" w:hAnsi="GHEA Grapalat" w:cs="Arial"/>
          <w:sz w:val="24"/>
          <w:szCs w:val="24"/>
          <w:lang w:val="hy-AM"/>
        </w:rPr>
        <w:t>:</w:t>
      </w:r>
    </w:p>
    <w:p w:rsidR="00F8404C" w:rsidRPr="00F8404C" w:rsidRDefault="00F8404C" w:rsidP="00F8404C">
      <w:pPr>
        <w:tabs>
          <w:tab w:val="left" w:pos="0"/>
          <w:tab w:val="left" w:pos="180"/>
          <w:tab w:val="left" w:pos="360"/>
          <w:tab w:val="left" w:pos="851"/>
        </w:tabs>
        <w:spacing w:after="0"/>
        <w:ind w:left="90" w:right="14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8404C">
        <w:rPr>
          <w:rFonts w:ascii="GHEA Grapalat" w:hAnsi="GHEA Grapalat" w:cs="Arial"/>
          <w:sz w:val="24"/>
          <w:szCs w:val="24"/>
          <w:lang w:val="hy-AM"/>
        </w:rPr>
        <w:t>Պետական ռազմականացված կազմակերպություններում մարտական և այլ զենքի, դրա փամփուշտների և ռազմամթերքի շրջանառության կարգը սահմանում է Հայաստանի Հանրապետության կառավարությունը:</w:t>
      </w:r>
    </w:p>
    <w:p w:rsidR="00F8404C" w:rsidRPr="00F8404C" w:rsidRDefault="00F8404C" w:rsidP="00F8404C">
      <w:pPr>
        <w:tabs>
          <w:tab w:val="left" w:pos="0"/>
          <w:tab w:val="left" w:pos="180"/>
          <w:tab w:val="left" w:pos="360"/>
          <w:tab w:val="left" w:pos="851"/>
        </w:tabs>
        <w:spacing w:after="0"/>
        <w:ind w:left="90" w:right="14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8404C">
        <w:rPr>
          <w:rFonts w:ascii="GHEA Grapalat" w:hAnsi="GHEA Grapalat" w:cs="Arial"/>
          <w:sz w:val="24"/>
          <w:szCs w:val="24"/>
          <w:lang w:val="hy-AM"/>
        </w:rPr>
        <w:t>«Մաքսային ծառայության մասին» օրենքի 29-րդ հոդվածի 5-րդ մասի համաձայն՝ մաքսային մարմնի հանրային ծառայողներին զենքով ապահովելու կարգը, զենքի ու ռազմամթերքի ցանկը սահմանում է Կառավարությունը:</w:t>
      </w:r>
    </w:p>
    <w:p w:rsidR="00F8404C" w:rsidRDefault="00F8404C" w:rsidP="00F8404C">
      <w:pPr>
        <w:tabs>
          <w:tab w:val="left" w:pos="0"/>
          <w:tab w:val="left" w:pos="180"/>
          <w:tab w:val="left" w:pos="360"/>
          <w:tab w:val="left" w:pos="851"/>
        </w:tabs>
        <w:spacing w:after="0"/>
        <w:ind w:left="90" w:right="14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8404C">
        <w:rPr>
          <w:rFonts w:ascii="GHEA Grapalat" w:hAnsi="GHEA Grapalat" w:cs="Arial"/>
          <w:sz w:val="24"/>
          <w:szCs w:val="24"/>
          <w:lang w:val="hy-AM"/>
        </w:rPr>
        <w:t>«Հարկային ծառայության մասին» օրենքի 30-րդ հոդվածի 1-ին մասի համաձայն՝  հարկային մարմնի հանրային ծառայողներին զենք տրամադրելու, զենքը պահելու, կրելու և օգտագործելու կարգը սահմանում է Կառավարությունը: Նույն հոդվածի 2-րդ մասի համաձայն՝ հարկային մարմնին զենքով ապահովելու (տրամադրելու), զենքը պահպանելու կարգը, զենքի ու ռազմամթերքի տեսակների ցանկը սահմանում է Կառավարությունը:</w:t>
      </w:r>
    </w:p>
    <w:p w:rsidR="00F8404C" w:rsidRDefault="00F8404C" w:rsidP="00F8404C">
      <w:pPr>
        <w:tabs>
          <w:tab w:val="left" w:pos="0"/>
          <w:tab w:val="left" w:pos="180"/>
          <w:tab w:val="left" w:pos="360"/>
          <w:tab w:val="left" w:pos="851"/>
        </w:tabs>
        <w:spacing w:after="0"/>
        <w:ind w:left="90" w:right="14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8404C">
        <w:rPr>
          <w:rFonts w:ascii="GHEA Grapalat" w:hAnsi="GHEA Grapalat" w:cs="Arial"/>
          <w:sz w:val="24"/>
          <w:szCs w:val="24"/>
          <w:lang w:val="hy-AM"/>
        </w:rPr>
        <w:t xml:space="preserve">Հիմք ընդունելով </w:t>
      </w:r>
      <w:r>
        <w:rPr>
          <w:rFonts w:ascii="GHEA Grapalat" w:hAnsi="GHEA Grapalat" w:cs="Arial"/>
          <w:sz w:val="24"/>
          <w:szCs w:val="24"/>
          <w:lang w:val="hy-AM"/>
        </w:rPr>
        <w:t>վերոնշյալ կարգավորումները՝ ընդունվել է</w:t>
      </w:r>
      <w:r w:rsidRPr="00F8404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B410D">
        <w:rPr>
          <w:rFonts w:ascii="GHEA Grapalat" w:hAnsi="GHEA Grapalat" w:cs="Arial"/>
          <w:sz w:val="24"/>
          <w:szCs w:val="24"/>
          <w:lang w:val="hy-AM"/>
        </w:rPr>
        <w:t xml:space="preserve">ՀՀ կառավարության 10.06.2021թ. թիվ 938-Ն </w:t>
      </w:r>
      <w:r>
        <w:rPr>
          <w:rFonts w:ascii="GHEA Grapalat" w:hAnsi="GHEA Grapalat" w:cs="Arial"/>
          <w:sz w:val="24"/>
          <w:szCs w:val="24"/>
          <w:lang w:val="hy-AM"/>
        </w:rPr>
        <w:t>որոշումը, որը սահման</w:t>
      </w:r>
      <w:r w:rsidR="009B410D" w:rsidRPr="009B410D">
        <w:rPr>
          <w:rFonts w:ascii="GHEA Grapalat" w:hAnsi="GHEA Grapalat" w:cs="Arial"/>
          <w:sz w:val="24"/>
          <w:szCs w:val="24"/>
          <w:lang w:val="hy-AM"/>
        </w:rPr>
        <w:t xml:space="preserve">ում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 w:rsidR="009B410D" w:rsidRPr="009B410D">
        <w:rPr>
          <w:rFonts w:ascii="GHEA Grapalat" w:hAnsi="GHEA Grapalat" w:cs="Arial"/>
          <w:sz w:val="24"/>
          <w:szCs w:val="24"/>
          <w:lang w:val="hy-AM"/>
        </w:rPr>
        <w:t xml:space="preserve"> Հայաստանի Հանրապետության պետական եկամուտների կոմիտեի (այսուհետ` Կոմիտե) մաքսային և հարկային մարմիններում զենքով ապահովելու (տրամադրելու), զենքը պահելու, կրելու և օգտագործելու կարգը, մաքսային և հարկային մարմինների կողմից օգտագործվող զենքի և ռազմամթերքի, զենք կրելու, պահելու և օգտագործելու իրավունք ունեցող մաքսային մարմնի պաշտոնների ցանկերը: </w:t>
      </w:r>
    </w:p>
    <w:p w:rsidR="009B410D" w:rsidRPr="009B410D" w:rsidRDefault="009B410D" w:rsidP="00F8404C">
      <w:pPr>
        <w:tabs>
          <w:tab w:val="left" w:pos="0"/>
          <w:tab w:val="left" w:pos="180"/>
          <w:tab w:val="left" w:pos="360"/>
          <w:tab w:val="left" w:pos="851"/>
        </w:tabs>
        <w:spacing w:after="0"/>
        <w:ind w:left="90" w:right="14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B410D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 Հարկ է նշել, որ «Զենքի մասին» օրենքը ուժը կորցրել է 01</w:t>
      </w:r>
      <w:r w:rsidRPr="009B410D">
        <w:rPr>
          <w:rFonts w:ascii="Cambria Math" w:hAnsi="Cambria Math" w:cs="Cambria Math"/>
          <w:sz w:val="24"/>
          <w:szCs w:val="24"/>
          <w:lang w:val="hy-AM"/>
        </w:rPr>
        <w:t>․</w:t>
      </w:r>
      <w:r w:rsidRPr="009B410D">
        <w:rPr>
          <w:rFonts w:ascii="GHEA Grapalat" w:hAnsi="GHEA Grapalat" w:cs="Arial"/>
          <w:sz w:val="24"/>
          <w:szCs w:val="24"/>
          <w:lang w:val="hy-AM"/>
        </w:rPr>
        <w:t>06</w:t>
      </w:r>
      <w:r w:rsidRPr="009B410D">
        <w:rPr>
          <w:rFonts w:ascii="Cambria Math" w:hAnsi="Cambria Math" w:cs="Cambria Math"/>
          <w:sz w:val="24"/>
          <w:szCs w:val="24"/>
          <w:lang w:val="hy-AM"/>
        </w:rPr>
        <w:t>․</w:t>
      </w:r>
      <w:r w:rsidRPr="009B410D">
        <w:rPr>
          <w:rFonts w:ascii="GHEA Grapalat" w:hAnsi="GHEA Grapalat" w:cs="Arial"/>
          <w:sz w:val="24"/>
          <w:szCs w:val="24"/>
          <w:lang w:val="hy-AM"/>
        </w:rPr>
        <w:t>2023թ</w:t>
      </w:r>
      <w:r w:rsidRPr="009B410D">
        <w:rPr>
          <w:rFonts w:ascii="Cambria Math" w:hAnsi="Cambria Math" w:cs="Cambria Math"/>
          <w:sz w:val="24"/>
          <w:szCs w:val="24"/>
          <w:lang w:val="hy-AM"/>
        </w:rPr>
        <w:t>․</w:t>
      </w:r>
      <w:r w:rsidRPr="009B410D">
        <w:rPr>
          <w:rFonts w:ascii="GHEA Grapalat" w:hAnsi="GHEA Grapalat" w:cs="Arial"/>
          <w:sz w:val="24"/>
          <w:szCs w:val="24"/>
          <w:lang w:val="hy-AM"/>
        </w:rPr>
        <w:t>-ին, և այժմ գործում է «Զենքի շրջանառության կարգավորման մասին» օրենքը (այսուհետ՝ Օրենք)։</w:t>
      </w:r>
    </w:p>
    <w:p w:rsidR="00F8404C" w:rsidRDefault="009B410D" w:rsidP="009B410D">
      <w:pPr>
        <w:tabs>
          <w:tab w:val="left" w:pos="0"/>
          <w:tab w:val="left" w:pos="360"/>
        </w:tabs>
        <w:spacing w:after="0"/>
        <w:ind w:left="90" w:right="14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B410D">
        <w:rPr>
          <w:rFonts w:ascii="GHEA Grapalat" w:hAnsi="GHEA Grapalat" w:cs="Arial"/>
          <w:sz w:val="24"/>
          <w:szCs w:val="24"/>
          <w:lang w:val="hy-AM"/>
        </w:rPr>
        <w:t xml:space="preserve">Օրենքի 2-րդ հոդվածի 1-ին մասի </w:t>
      </w:r>
      <w:r w:rsidR="00F8404C">
        <w:rPr>
          <w:rFonts w:ascii="GHEA Grapalat" w:hAnsi="GHEA Grapalat" w:cs="Arial"/>
          <w:sz w:val="24"/>
          <w:szCs w:val="24"/>
          <w:lang w:val="hy-AM"/>
        </w:rPr>
        <w:t xml:space="preserve">11-րդ կետի համաձայն՝ </w:t>
      </w:r>
      <w:r w:rsidR="00F8404C" w:rsidRPr="00F8404C">
        <w:rPr>
          <w:rFonts w:ascii="GHEA Grapalat" w:hAnsi="GHEA Grapalat" w:cs="Arial"/>
          <w:sz w:val="24"/>
          <w:szCs w:val="24"/>
          <w:lang w:val="hy-AM"/>
        </w:rPr>
        <w:t xml:space="preserve">զենքի </w:t>
      </w:r>
      <w:r w:rsidR="00F8404C">
        <w:rPr>
          <w:rFonts w:ascii="GHEA Grapalat" w:hAnsi="GHEA Grapalat" w:cs="Arial"/>
          <w:sz w:val="24"/>
          <w:szCs w:val="24"/>
          <w:lang w:val="hy-AM"/>
        </w:rPr>
        <w:t>շրջանառություն են</w:t>
      </w:r>
      <w:r w:rsidR="005A075F">
        <w:rPr>
          <w:rFonts w:ascii="GHEA Grapalat" w:hAnsi="GHEA Grapalat" w:cs="Arial"/>
          <w:sz w:val="24"/>
          <w:szCs w:val="24"/>
          <w:lang w:val="hy-AM"/>
        </w:rPr>
        <w:t xml:space="preserve"> համարվում</w:t>
      </w:r>
      <w:r w:rsidR="00F8404C" w:rsidRPr="00F8404C">
        <w:rPr>
          <w:rFonts w:ascii="GHEA Grapalat" w:hAnsi="GHEA Grapalat" w:cs="Arial"/>
          <w:sz w:val="24"/>
          <w:szCs w:val="24"/>
          <w:lang w:val="hy-AM"/>
        </w:rPr>
        <w:t xml:space="preserve"> զենքի արտադրություն</w:t>
      </w:r>
      <w:r w:rsidR="00F8404C">
        <w:rPr>
          <w:rFonts w:ascii="GHEA Grapalat" w:hAnsi="GHEA Grapalat" w:cs="Arial"/>
          <w:sz w:val="24"/>
          <w:szCs w:val="24"/>
          <w:lang w:val="hy-AM"/>
        </w:rPr>
        <w:t>ը</w:t>
      </w:r>
      <w:r w:rsidR="00F8404C" w:rsidRPr="00F8404C">
        <w:rPr>
          <w:rFonts w:ascii="GHEA Grapalat" w:hAnsi="GHEA Grapalat" w:cs="Arial"/>
          <w:sz w:val="24"/>
          <w:szCs w:val="24"/>
          <w:lang w:val="hy-AM"/>
        </w:rPr>
        <w:t>, առևտուր</w:t>
      </w:r>
      <w:r w:rsidR="00F8404C">
        <w:rPr>
          <w:rFonts w:ascii="GHEA Grapalat" w:hAnsi="GHEA Grapalat" w:cs="Arial"/>
          <w:sz w:val="24"/>
          <w:szCs w:val="24"/>
          <w:lang w:val="hy-AM"/>
        </w:rPr>
        <w:t>ը</w:t>
      </w:r>
      <w:r w:rsidR="00F8404C" w:rsidRPr="00F8404C">
        <w:rPr>
          <w:rFonts w:ascii="GHEA Grapalat" w:hAnsi="GHEA Grapalat" w:cs="Arial"/>
          <w:sz w:val="24"/>
          <w:szCs w:val="24"/>
          <w:lang w:val="hy-AM"/>
        </w:rPr>
        <w:t>, վաճառք</w:t>
      </w:r>
      <w:r w:rsidR="00F8404C">
        <w:rPr>
          <w:rFonts w:ascii="GHEA Grapalat" w:hAnsi="GHEA Grapalat" w:cs="Arial"/>
          <w:sz w:val="24"/>
          <w:szCs w:val="24"/>
          <w:lang w:val="hy-AM"/>
        </w:rPr>
        <w:t>ը</w:t>
      </w:r>
      <w:r w:rsidR="00F8404C" w:rsidRPr="00F8404C">
        <w:rPr>
          <w:rFonts w:ascii="GHEA Grapalat" w:hAnsi="GHEA Grapalat" w:cs="Arial"/>
          <w:sz w:val="24"/>
          <w:szCs w:val="24"/>
          <w:lang w:val="hy-AM"/>
        </w:rPr>
        <w:t>, հարդարում</w:t>
      </w:r>
      <w:r w:rsidR="00F8404C">
        <w:rPr>
          <w:rFonts w:ascii="GHEA Grapalat" w:hAnsi="GHEA Grapalat" w:cs="Arial"/>
          <w:sz w:val="24"/>
          <w:szCs w:val="24"/>
          <w:lang w:val="hy-AM"/>
        </w:rPr>
        <w:t>ը</w:t>
      </w:r>
      <w:r w:rsidR="00F8404C" w:rsidRPr="00F8404C">
        <w:rPr>
          <w:rFonts w:ascii="GHEA Grapalat" w:hAnsi="GHEA Grapalat" w:cs="Arial"/>
          <w:sz w:val="24"/>
          <w:szCs w:val="24"/>
          <w:lang w:val="hy-AM"/>
        </w:rPr>
        <w:t>, նորոգում</w:t>
      </w:r>
      <w:r w:rsidR="00F8404C">
        <w:rPr>
          <w:rFonts w:ascii="GHEA Grapalat" w:hAnsi="GHEA Grapalat" w:cs="Arial"/>
          <w:sz w:val="24"/>
          <w:szCs w:val="24"/>
          <w:lang w:val="hy-AM"/>
        </w:rPr>
        <w:t>ը</w:t>
      </w:r>
      <w:r w:rsidR="00F8404C" w:rsidRPr="00F8404C">
        <w:rPr>
          <w:rFonts w:ascii="GHEA Grapalat" w:hAnsi="GHEA Grapalat" w:cs="Arial"/>
          <w:sz w:val="24"/>
          <w:szCs w:val="24"/>
          <w:lang w:val="hy-AM"/>
        </w:rPr>
        <w:t>, փոխանցում</w:t>
      </w:r>
      <w:r w:rsidR="00F8404C">
        <w:rPr>
          <w:rFonts w:ascii="GHEA Grapalat" w:hAnsi="GHEA Grapalat" w:cs="Arial"/>
          <w:sz w:val="24"/>
          <w:szCs w:val="24"/>
          <w:lang w:val="hy-AM"/>
        </w:rPr>
        <w:t>ը</w:t>
      </w:r>
      <w:r w:rsidR="00F8404C" w:rsidRPr="00F8404C">
        <w:rPr>
          <w:rFonts w:ascii="GHEA Grapalat" w:hAnsi="GHEA Grapalat" w:cs="Arial"/>
          <w:sz w:val="24"/>
          <w:szCs w:val="24"/>
          <w:lang w:val="hy-AM"/>
        </w:rPr>
        <w:t>, ձեռքբերում</w:t>
      </w:r>
      <w:r w:rsidR="00F8404C">
        <w:rPr>
          <w:rFonts w:ascii="GHEA Grapalat" w:hAnsi="GHEA Grapalat" w:cs="Arial"/>
          <w:sz w:val="24"/>
          <w:szCs w:val="24"/>
          <w:lang w:val="hy-AM"/>
        </w:rPr>
        <w:t>ը</w:t>
      </w:r>
      <w:r w:rsidR="00F8404C" w:rsidRPr="00F8404C">
        <w:rPr>
          <w:rFonts w:ascii="GHEA Grapalat" w:hAnsi="GHEA Grapalat" w:cs="Arial"/>
          <w:sz w:val="24"/>
          <w:szCs w:val="24"/>
          <w:lang w:val="hy-AM"/>
        </w:rPr>
        <w:t>, հավաքածուների կազմում</w:t>
      </w:r>
      <w:r w:rsidR="00F8404C">
        <w:rPr>
          <w:rFonts w:ascii="GHEA Grapalat" w:hAnsi="GHEA Grapalat" w:cs="Arial"/>
          <w:sz w:val="24"/>
          <w:szCs w:val="24"/>
          <w:lang w:val="hy-AM"/>
        </w:rPr>
        <w:t>ը</w:t>
      </w:r>
      <w:r w:rsidR="00F8404C" w:rsidRPr="00F8404C">
        <w:rPr>
          <w:rFonts w:ascii="GHEA Grapalat" w:hAnsi="GHEA Grapalat" w:cs="Arial"/>
          <w:sz w:val="24"/>
          <w:szCs w:val="24"/>
          <w:lang w:val="hy-AM"/>
        </w:rPr>
        <w:t xml:space="preserve"> և դրանց ցուցադրում</w:t>
      </w:r>
      <w:r w:rsidR="00F8404C">
        <w:rPr>
          <w:rFonts w:ascii="GHEA Grapalat" w:hAnsi="GHEA Grapalat" w:cs="Arial"/>
          <w:sz w:val="24"/>
          <w:szCs w:val="24"/>
          <w:lang w:val="hy-AM"/>
        </w:rPr>
        <w:t>ը</w:t>
      </w:r>
      <w:r w:rsidR="00F8404C" w:rsidRPr="00F8404C">
        <w:rPr>
          <w:rFonts w:ascii="GHEA Grapalat" w:hAnsi="GHEA Grapalat" w:cs="Arial"/>
          <w:sz w:val="24"/>
          <w:szCs w:val="24"/>
          <w:lang w:val="hy-AM"/>
        </w:rPr>
        <w:t>, հաշվառում</w:t>
      </w:r>
      <w:r w:rsidR="00F8404C">
        <w:rPr>
          <w:rFonts w:ascii="GHEA Grapalat" w:hAnsi="GHEA Grapalat" w:cs="Arial"/>
          <w:sz w:val="24"/>
          <w:szCs w:val="24"/>
          <w:lang w:val="hy-AM"/>
        </w:rPr>
        <w:t>ը</w:t>
      </w:r>
      <w:r w:rsidR="00F8404C" w:rsidRPr="00F8404C">
        <w:rPr>
          <w:rFonts w:ascii="GHEA Grapalat" w:hAnsi="GHEA Grapalat" w:cs="Arial"/>
          <w:sz w:val="24"/>
          <w:szCs w:val="24"/>
          <w:lang w:val="hy-AM"/>
        </w:rPr>
        <w:t>, պահպանում</w:t>
      </w:r>
      <w:r w:rsidR="00F8404C">
        <w:rPr>
          <w:rFonts w:ascii="GHEA Grapalat" w:hAnsi="GHEA Grapalat" w:cs="Arial"/>
          <w:sz w:val="24"/>
          <w:szCs w:val="24"/>
          <w:lang w:val="hy-AM"/>
        </w:rPr>
        <w:t>ը</w:t>
      </w:r>
      <w:r w:rsidR="00F8404C" w:rsidRPr="00F8404C">
        <w:rPr>
          <w:rFonts w:ascii="GHEA Grapalat" w:hAnsi="GHEA Grapalat" w:cs="Arial"/>
          <w:sz w:val="24"/>
          <w:szCs w:val="24"/>
          <w:lang w:val="hy-AM"/>
        </w:rPr>
        <w:t>, պահում</w:t>
      </w:r>
      <w:r w:rsidR="00F8404C">
        <w:rPr>
          <w:rFonts w:ascii="GHEA Grapalat" w:hAnsi="GHEA Grapalat" w:cs="Arial"/>
          <w:sz w:val="24"/>
          <w:szCs w:val="24"/>
          <w:lang w:val="hy-AM"/>
        </w:rPr>
        <w:t>ը</w:t>
      </w:r>
      <w:r w:rsidR="00F8404C" w:rsidRPr="00F8404C">
        <w:rPr>
          <w:rFonts w:ascii="GHEA Grapalat" w:hAnsi="GHEA Grapalat" w:cs="Arial"/>
          <w:sz w:val="24"/>
          <w:szCs w:val="24"/>
          <w:lang w:val="hy-AM"/>
        </w:rPr>
        <w:t>, կրում</w:t>
      </w:r>
      <w:r w:rsidR="00F8404C">
        <w:rPr>
          <w:rFonts w:ascii="GHEA Grapalat" w:hAnsi="GHEA Grapalat" w:cs="Arial"/>
          <w:sz w:val="24"/>
          <w:szCs w:val="24"/>
          <w:lang w:val="hy-AM"/>
        </w:rPr>
        <w:t>ը</w:t>
      </w:r>
      <w:r w:rsidR="00F8404C" w:rsidRPr="00F8404C">
        <w:rPr>
          <w:rFonts w:ascii="GHEA Grapalat" w:hAnsi="GHEA Grapalat" w:cs="Arial"/>
          <w:sz w:val="24"/>
          <w:szCs w:val="24"/>
          <w:lang w:val="hy-AM"/>
        </w:rPr>
        <w:t>, տեղափոխում</w:t>
      </w:r>
      <w:r w:rsidR="00F8404C">
        <w:rPr>
          <w:rFonts w:ascii="GHEA Grapalat" w:hAnsi="GHEA Grapalat" w:cs="Arial"/>
          <w:sz w:val="24"/>
          <w:szCs w:val="24"/>
          <w:lang w:val="hy-AM"/>
        </w:rPr>
        <w:t>ը</w:t>
      </w:r>
      <w:r w:rsidR="00F8404C" w:rsidRPr="00F8404C">
        <w:rPr>
          <w:rFonts w:ascii="GHEA Grapalat" w:hAnsi="GHEA Grapalat" w:cs="Arial"/>
          <w:sz w:val="24"/>
          <w:szCs w:val="24"/>
          <w:lang w:val="hy-AM"/>
        </w:rPr>
        <w:t xml:space="preserve"> (փոխադրում</w:t>
      </w:r>
      <w:r w:rsidR="00F8404C">
        <w:rPr>
          <w:rFonts w:ascii="GHEA Grapalat" w:hAnsi="GHEA Grapalat" w:cs="Arial"/>
          <w:sz w:val="24"/>
          <w:szCs w:val="24"/>
          <w:lang w:val="hy-AM"/>
        </w:rPr>
        <w:t>ը</w:t>
      </w:r>
      <w:r w:rsidR="00F8404C" w:rsidRPr="00F8404C">
        <w:rPr>
          <w:rFonts w:ascii="GHEA Grapalat" w:hAnsi="GHEA Grapalat" w:cs="Arial"/>
          <w:sz w:val="24"/>
          <w:szCs w:val="24"/>
          <w:lang w:val="hy-AM"/>
        </w:rPr>
        <w:t>), օգտագործում</w:t>
      </w:r>
      <w:r w:rsidR="00F8404C">
        <w:rPr>
          <w:rFonts w:ascii="GHEA Grapalat" w:hAnsi="GHEA Grapalat" w:cs="Arial"/>
          <w:sz w:val="24"/>
          <w:szCs w:val="24"/>
          <w:lang w:val="hy-AM"/>
        </w:rPr>
        <w:t>ը</w:t>
      </w:r>
      <w:r w:rsidR="00F8404C" w:rsidRPr="00F8404C">
        <w:rPr>
          <w:rFonts w:ascii="GHEA Grapalat" w:hAnsi="GHEA Grapalat" w:cs="Arial"/>
          <w:sz w:val="24"/>
          <w:szCs w:val="24"/>
          <w:lang w:val="hy-AM"/>
        </w:rPr>
        <w:t>, նվիրատվություն</w:t>
      </w:r>
      <w:r w:rsidR="00F8404C">
        <w:rPr>
          <w:rFonts w:ascii="GHEA Grapalat" w:hAnsi="GHEA Grapalat" w:cs="Arial"/>
          <w:sz w:val="24"/>
          <w:szCs w:val="24"/>
          <w:lang w:val="hy-AM"/>
        </w:rPr>
        <w:t>ը</w:t>
      </w:r>
      <w:r w:rsidR="00F8404C" w:rsidRPr="00F8404C">
        <w:rPr>
          <w:rFonts w:ascii="GHEA Grapalat" w:hAnsi="GHEA Grapalat" w:cs="Arial"/>
          <w:sz w:val="24"/>
          <w:szCs w:val="24"/>
          <w:lang w:val="hy-AM"/>
        </w:rPr>
        <w:t>, ժառանգում</w:t>
      </w:r>
      <w:r w:rsidR="00F8404C">
        <w:rPr>
          <w:rFonts w:ascii="GHEA Grapalat" w:hAnsi="GHEA Grapalat" w:cs="Arial"/>
          <w:sz w:val="24"/>
          <w:szCs w:val="24"/>
          <w:lang w:val="hy-AM"/>
        </w:rPr>
        <w:t>ը</w:t>
      </w:r>
      <w:r w:rsidR="00F8404C" w:rsidRPr="00F8404C">
        <w:rPr>
          <w:rFonts w:ascii="GHEA Grapalat" w:hAnsi="GHEA Grapalat" w:cs="Arial"/>
          <w:sz w:val="24"/>
          <w:szCs w:val="24"/>
          <w:lang w:val="hy-AM"/>
        </w:rPr>
        <w:t>, ոչնչացում</w:t>
      </w:r>
      <w:r w:rsidR="00F8404C">
        <w:rPr>
          <w:rFonts w:ascii="GHEA Grapalat" w:hAnsi="GHEA Grapalat" w:cs="Arial"/>
          <w:sz w:val="24"/>
          <w:szCs w:val="24"/>
          <w:lang w:val="hy-AM"/>
        </w:rPr>
        <w:t>ը</w:t>
      </w:r>
      <w:r w:rsidR="00F8404C" w:rsidRPr="00F8404C">
        <w:rPr>
          <w:rFonts w:ascii="GHEA Grapalat" w:hAnsi="GHEA Grapalat" w:cs="Arial"/>
          <w:sz w:val="24"/>
          <w:szCs w:val="24"/>
          <w:lang w:val="hy-AM"/>
        </w:rPr>
        <w:t>, ներկրում</w:t>
      </w:r>
      <w:r w:rsidR="00F8404C">
        <w:rPr>
          <w:rFonts w:ascii="GHEA Grapalat" w:hAnsi="GHEA Grapalat" w:cs="Arial"/>
          <w:sz w:val="24"/>
          <w:szCs w:val="24"/>
          <w:lang w:val="hy-AM"/>
        </w:rPr>
        <w:t>ը</w:t>
      </w:r>
      <w:r w:rsidR="00F8404C" w:rsidRPr="00F8404C">
        <w:rPr>
          <w:rFonts w:ascii="GHEA Grapalat" w:hAnsi="GHEA Grapalat" w:cs="Arial"/>
          <w:sz w:val="24"/>
          <w:szCs w:val="24"/>
          <w:lang w:val="hy-AM"/>
        </w:rPr>
        <w:t xml:space="preserve"> Հայաստանի Հանրապետության տարածք և արտահանում</w:t>
      </w:r>
      <w:r w:rsidR="00F8404C">
        <w:rPr>
          <w:rFonts w:ascii="GHEA Grapalat" w:hAnsi="GHEA Grapalat" w:cs="Arial"/>
          <w:sz w:val="24"/>
          <w:szCs w:val="24"/>
          <w:lang w:val="hy-AM"/>
        </w:rPr>
        <w:t>ը</w:t>
      </w:r>
      <w:r w:rsidR="00F8404C" w:rsidRPr="00F8404C">
        <w:rPr>
          <w:rFonts w:ascii="GHEA Grapalat" w:hAnsi="GHEA Grapalat" w:cs="Arial"/>
          <w:sz w:val="24"/>
          <w:szCs w:val="24"/>
          <w:lang w:val="hy-AM"/>
        </w:rPr>
        <w:t xml:space="preserve"> Հայաստանի Հանրապետությունից, տարանցիկ փոխադրում</w:t>
      </w:r>
      <w:r w:rsidR="00F8404C">
        <w:rPr>
          <w:rFonts w:ascii="GHEA Grapalat" w:hAnsi="GHEA Grapalat" w:cs="Arial"/>
          <w:sz w:val="24"/>
          <w:szCs w:val="24"/>
          <w:lang w:val="hy-AM"/>
        </w:rPr>
        <w:t>ը</w:t>
      </w:r>
      <w:r w:rsidR="00F8404C" w:rsidRPr="00F8404C">
        <w:rPr>
          <w:rFonts w:ascii="GHEA Grapalat" w:hAnsi="GHEA Grapalat" w:cs="Arial"/>
          <w:sz w:val="24"/>
          <w:szCs w:val="24"/>
          <w:lang w:val="hy-AM"/>
        </w:rPr>
        <w:t xml:space="preserve"> և առևտրի միջնորդական գործունեություն</w:t>
      </w:r>
      <w:r w:rsidR="00F8404C">
        <w:rPr>
          <w:rFonts w:ascii="GHEA Grapalat" w:hAnsi="GHEA Grapalat" w:cs="Arial"/>
          <w:sz w:val="24"/>
          <w:szCs w:val="24"/>
          <w:lang w:val="hy-AM"/>
        </w:rPr>
        <w:t>ը։</w:t>
      </w:r>
    </w:p>
    <w:p w:rsidR="009B410D" w:rsidRPr="009B410D" w:rsidRDefault="00F8404C" w:rsidP="009B410D">
      <w:pPr>
        <w:tabs>
          <w:tab w:val="left" w:pos="0"/>
          <w:tab w:val="left" w:pos="360"/>
        </w:tabs>
        <w:spacing w:after="0"/>
        <w:ind w:left="90" w:right="14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Նույն մասի </w:t>
      </w:r>
      <w:r w:rsidR="009B410D" w:rsidRPr="009B410D">
        <w:rPr>
          <w:rFonts w:ascii="GHEA Grapalat" w:hAnsi="GHEA Grapalat" w:cs="Arial"/>
          <w:sz w:val="24"/>
          <w:szCs w:val="24"/>
          <w:lang w:val="hy-AM"/>
        </w:rPr>
        <w:t>37-րդ կետի համաձայն՝ Կոմիտեի հարկային և մաքսային մարմինները հանդիսանում են պետական ռազմականացված կազմակերպություններ:</w:t>
      </w:r>
    </w:p>
    <w:p w:rsidR="009B410D" w:rsidRDefault="009B410D" w:rsidP="009B410D">
      <w:pPr>
        <w:tabs>
          <w:tab w:val="left" w:pos="0"/>
          <w:tab w:val="left" w:pos="360"/>
        </w:tabs>
        <w:spacing w:after="0"/>
        <w:ind w:left="90" w:right="14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B410D">
        <w:rPr>
          <w:rFonts w:ascii="GHEA Grapalat" w:hAnsi="GHEA Grapalat" w:cs="Arial"/>
          <w:sz w:val="24"/>
          <w:szCs w:val="24"/>
          <w:lang w:val="hy-AM"/>
        </w:rPr>
        <w:t>Օրենքի 15-րդ հոդվածի 1-ին մասի համաձայն՝ պետական ռազմականացված կազմակերպություններում զենքի շրջանառության կարգը սահմանում է Կառավարությունը:</w:t>
      </w:r>
    </w:p>
    <w:p w:rsidR="00F8404C" w:rsidRDefault="00F8404C" w:rsidP="009B410D">
      <w:pPr>
        <w:tabs>
          <w:tab w:val="left" w:pos="0"/>
          <w:tab w:val="left" w:pos="360"/>
        </w:tabs>
        <w:spacing w:after="0"/>
        <w:ind w:left="90" w:right="14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8404C">
        <w:rPr>
          <w:rFonts w:ascii="GHEA Grapalat" w:hAnsi="GHEA Grapalat" w:cs="Arial"/>
          <w:sz w:val="24"/>
          <w:szCs w:val="24"/>
          <w:lang w:val="hy-AM"/>
        </w:rPr>
        <w:t>Հիմք ընդունելով վերոնշյալը` 01.06.2023թ. ընդունվել է ՀՀ կառավարության թիվ 889-Ն որոշումը</w:t>
      </w:r>
      <w:r w:rsidR="00087A0C" w:rsidRPr="00087A0C">
        <w:rPr>
          <w:rFonts w:ascii="GHEA Grapalat" w:hAnsi="GHEA Grapalat" w:cs="Arial"/>
          <w:sz w:val="24"/>
          <w:szCs w:val="24"/>
          <w:lang w:val="hy-AM"/>
        </w:rPr>
        <w:t xml:space="preserve"> (</w:t>
      </w:r>
      <w:r w:rsidR="00087A0C">
        <w:rPr>
          <w:rFonts w:ascii="GHEA Grapalat" w:hAnsi="GHEA Grapalat" w:cs="Arial"/>
          <w:sz w:val="24"/>
          <w:szCs w:val="24"/>
          <w:lang w:val="hy-AM"/>
        </w:rPr>
        <w:t>այսուհետ՝ Որոշում</w:t>
      </w:r>
      <w:r w:rsidR="00087A0C" w:rsidRPr="00087A0C">
        <w:rPr>
          <w:rFonts w:ascii="GHEA Grapalat" w:hAnsi="GHEA Grapalat" w:cs="Arial"/>
          <w:sz w:val="24"/>
          <w:szCs w:val="24"/>
          <w:lang w:val="hy-AM"/>
        </w:rPr>
        <w:t>)</w:t>
      </w:r>
      <w:r w:rsidRPr="00F8404C">
        <w:rPr>
          <w:rFonts w:ascii="GHEA Grapalat" w:hAnsi="GHEA Grapalat" w:cs="Arial"/>
          <w:sz w:val="24"/>
          <w:szCs w:val="24"/>
          <w:lang w:val="hy-AM"/>
        </w:rPr>
        <w:t>, որի 1-ին կետով սահմանվել է պետական ռազմականացված կազմակերպություններում զենքի շրջանառության կարգը։</w:t>
      </w:r>
    </w:p>
    <w:p w:rsidR="00087A0C" w:rsidRPr="00087A0C" w:rsidRDefault="00087A0C" w:rsidP="00087A0C">
      <w:pPr>
        <w:tabs>
          <w:tab w:val="left" w:pos="0"/>
          <w:tab w:val="left" w:pos="360"/>
        </w:tabs>
        <w:spacing w:after="0"/>
        <w:ind w:left="90" w:right="14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87A0C">
        <w:rPr>
          <w:rFonts w:ascii="GHEA Grapalat" w:hAnsi="GHEA Grapalat" w:cs="Arial"/>
          <w:sz w:val="24"/>
          <w:szCs w:val="24"/>
          <w:lang w:val="hy-AM"/>
        </w:rPr>
        <w:t>Որոշման N 1 հավելվածի 11-րդ կետի համաձայն</w:t>
      </w:r>
      <w:r w:rsidR="00F163D1">
        <w:rPr>
          <w:rFonts w:ascii="GHEA Grapalat" w:hAnsi="GHEA Grapalat" w:cs="Arial"/>
          <w:sz w:val="24"/>
          <w:szCs w:val="24"/>
          <w:lang w:val="hy-AM"/>
        </w:rPr>
        <w:t>՝</w:t>
      </w:r>
      <w:r w:rsidRPr="00087A0C">
        <w:rPr>
          <w:rFonts w:ascii="GHEA Grapalat" w:hAnsi="GHEA Grapalat" w:cs="Arial"/>
          <w:sz w:val="24"/>
          <w:szCs w:val="24"/>
          <w:lang w:val="hy-AM"/>
        </w:rPr>
        <w:t xml:space="preserve"> կազմակերպությունները պարտավոր են իրականացնել </w:t>
      </w:r>
      <w:r w:rsidRPr="00DD3AE6">
        <w:rPr>
          <w:rFonts w:ascii="GHEA Grapalat" w:hAnsi="GHEA Grapalat" w:cs="Arial"/>
          <w:sz w:val="24"/>
          <w:szCs w:val="24"/>
          <w:lang w:val="hy-AM"/>
        </w:rPr>
        <w:t>զենքի հաշվառում` համապատասխան կազմակերպության ղեկավարի սահմանած կարգով</w:t>
      </w:r>
      <w:r w:rsidRPr="00087A0C">
        <w:rPr>
          <w:rFonts w:ascii="GHEA Grapalat" w:hAnsi="GHEA Grapalat" w:cs="Arial"/>
          <w:sz w:val="24"/>
          <w:szCs w:val="24"/>
          <w:lang w:val="hy-AM"/>
        </w:rPr>
        <w:t>:</w:t>
      </w:r>
    </w:p>
    <w:p w:rsidR="00087A0C" w:rsidRPr="00087A0C" w:rsidRDefault="00087A0C" w:rsidP="00F163D1">
      <w:pPr>
        <w:tabs>
          <w:tab w:val="left" w:pos="0"/>
          <w:tab w:val="left" w:pos="360"/>
        </w:tabs>
        <w:spacing w:after="0"/>
        <w:ind w:left="90" w:right="14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87A0C">
        <w:rPr>
          <w:rFonts w:ascii="GHEA Grapalat" w:hAnsi="GHEA Grapalat" w:cs="Arial"/>
          <w:sz w:val="24"/>
          <w:szCs w:val="24"/>
          <w:lang w:val="hy-AM"/>
        </w:rPr>
        <w:t>Նույն հավելվածի 14-րդ կետի համաձայն</w:t>
      </w:r>
      <w:r w:rsidR="00F163D1">
        <w:rPr>
          <w:rFonts w:ascii="GHEA Grapalat" w:hAnsi="GHEA Grapalat" w:cs="Arial"/>
          <w:sz w:val="24"/>
          <w:szCs w:val="24"/>
          <w:lang w:val="hy-AM"/>
        </w:rPr>
        <w:t>՝</w:t>
      </w:r>
      <w:r w:rsidRPr="00087A0C">
        <w:rPr>
          <w:rFonts w:ascii="GHEA Grapalat" w:hAnsi="GHEA Grapalat" w:cs="Arial"/>
          <w:sz w:val="24"/>
          <w:szCs w:val="24"/>
          <w:lang w:val="hy-AM"/>
        </w:rPr>
        <w:t xml:space="preserve"> ըստ զենքի նշանակության՝ դրանք </w:t>
      </w:r>
      <w:r w:rsidRPr="00DD3AE6">
        <w:rPr>
          <w:rFonts w:ascii="GHEA Grapalat" w:hAnsi="GHEA Grapalat" w:cs="Arial"/>
          <w:sz w:val="24"/>
          <w:szCs w:val="24"/>
          <w:lang w:val="hy-AM"/>
        </w:rPr>
        <w:t>պահելու պահանջները սահմանվում են կազմակերպության ղեկավարի հրամանով</w:t>
      </w:r>
      <w:r w:rsidRPr="00087A0C">
        <w:rPr>
          <w:rFonts w:ascii="GHEA Grapalat" w:hAnsi="GHEA Grapalat" w:cs="Arial"/>
          <w:sz w:val="24"/>
          <w:szCs w:val="24"/>
          <w:lang w:val="hy-AM"/>
        </w:rPr>
        <w:t>։</w:t>
      </w:r>
    </w:p>
    <w:p w:rsidR="00087A0C" w:rsidRDefault="00087A0C" w:rsidP="00F163D1">
      <w:pPr>
        <w:tabs>
          <w:tab w:val="left" w:pos="0"/>
          <w:tab w:val="left" w:pos="360"/>
        </w:tabs>
        <w:spacing w:after="0"/>
        <w:ind w:left="90" w:right="14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87A0C">
        <w:rPr>
          <w:rFonts w:ascii="GHEA Grapalat" w:hAnsi="GHEA Grapalat" w:cs="Arial"/>
          <w:sz w:val="24"/>
          <w:szCs w:val="24"/>
          <w:lang w:val="hy-AM"/>
        </w:rPr>
        <w:t>Որոշման N 3 հավելվածի 5-րդ կետի համաձայն</w:t>
      </w:r>
      <w:r w:rsidR="00F163D1">
        <w:rPr>
          <w:rFonts w:ascii="GHEA Grapalat" w:hAnsi="GHEA Grapalat" w:cs="Arial"/>
          <w:sz w:val="24"/>
          <w:szCs w:val="24"/>
          <w:lang w:val="hy-AM"/>
        </w:rPr>
        <w:t>՝</w:t>
      </w:r>
      <w:r w:rsidRPr="00087A0C">
        <w:rPr>
          <w:rFonts w:ascii="GHEA Grapalat" w:hAnsi="GHEA Grapalat" w:cs="Arial"/>
          <w:sz w:val="24"/>
          <w:szCs w:val="24"/>
          <w:lang w:val="hy-AM"/>
        </w:rPr>
        <w:t xml:space="preserve"> կազմակերպությունների ստորաբաժանումներում գտնվող զենքի </w:t>
      </w:r>
      <w:r w:rsidRPr="00DD3AE6">
        <w:rPr>
          <w:rFonts w:ascii="GHEA Grapalat" w:hAnsi="GHEA Grapalat" w:cs="Arial"/>
          <w:sz w:val="24"/>
          <w:szCs w:val="24"/>
          <w:lang w:val="hy-AM"/>
        </w:rPr>
        <w:t>հաշվառումը</w:t>
      </w:r>
      <w:r w:rsidRPr="00087A0C">
        <w:rPr>
          <w:rFonts w:ascii="GHEA Grapalat" w:hAnsi="GHEA Grapalat" w:cs="Arial"/>
          <w:sz w:val="24"/>
          <w:szCs w:val="24"/>
          <w:lang w:val="hy-AM"/>
        </w:rPr>
        <w:t xml:space="preserve">, աշխատակիցներին </w:t>
      </w:r>
      <w:r w:rsidRPr="00DD3AE6">
        <w:rPr>
          <w:rFonts w:ascii="GHEA Grapalat" w:hAnsi="GHEA Grapalat" w:cs="Arial"/>
          <w:sz w:val="24"/>
          <w:szCs w:val="24"/>
          <w:lang w:val="hy-AM"/>
        </w:rPr>
        <w:t>զենք տալու,</w:t>
      </w:r>
      <w:r w:rsidRPr="00087A0C">
        <w:rPr>
          <w:rFonts w:ascii="GHEA Grapalat" w:hAnsi="GHEA Grapalat" w:cs="Arial"/>
          <w:sz w:val="24"/>
          <w:szCs w:val="24"/>
          <w:lang w:val="hy-AM"/>
        </w:rPr>
        <w:t xml:space="preserve"> աշխատակիցների կողմից զենքը </w:t>
      </w:r>
      <w:r w:rsidRPr="00DD3AE6">
        <w:rPr>
          <w:rFonts w:ascii="GHEA Grapalat" w:hAnsi="GHEA Grapalat" w:cs="Arial"/>
          <w:sz w:val="24"/>
          <w:szCs w:val="24"/>
          <w:lang w:val="hy-AM"/>
        </w:rPr>
        <w:t>հանձնելու</w:t>
      </w:r>
      <w:r w:rsidRPr="00087A0C">
        <w:rPr>
          <w:rFonts w:ascii="GHEA Grapalat" w:hAnsi="GHEA Grapalat" w:cs="Arial"/>
          <w:sz w:val="24"/>
          <w:szCs w:val="24"/>
          <w:lang w:val="hy-AM"/>
        </w:rPr>
        <w:t xml:space="preserve"> հետ կապված հարաբերությունները կարգավորվում են կազմակերպությունների ղեկավարների հրամանով։</w:t>
      </w:r>
    </w:p>
    <w:p w:rsidR="00F163D1" w:rsidRPr="00087A0C" w:rsidRDefault="001455ED" w:rsidP="001455ED">
      <w:pPr>
        <w:tabs>
          <w:tab w:val="left" w:pos="0"/>
          <w:tab w:val="left" w:pos="360"/>
        </w:tabs>
        <w:spacing w:after="0"/>
        <w:ind w:left="90" w:right="14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B410D">
        <w:rPr>
          <w:rFonts w:ascii="GHEA Grapalat" w:hAnsi="GHEA Grapalat" w:cs="Arial"/>
          <w:sz w:val="24"/>
          <w:szCs w:val="24"/>
          <w:lang w:val="hy-AM"/>
        </w:rPr>
        <w:t>Միաժամանակ, Օրենքի 37-րդ հոդվածի 6</w:t>
      </w:r>
      <w:r w:rsidRPr="009B410D">
        <w:rPr>
          <w:rFonts w:ascii="Cambria Math" w:hAnsi="Cambria Math" w:cs="Cambria Math"/>
          <w:sz w:val="24"/>
          <w:szCs w:val="24"/>
          <w:lang w:val="hy-AM"/>
        </w:rPr>
        <w:t>․</w:t>
      </w:r>
      <w:r w:rsidRPr="009B410D">
        <w:rPr>
          <w:rFonts w:ascii="GHEA Grapalat" w:hAnsi="GHEA Grapalat" w:cs="Arial"/>
          <w:sz w:val="24"/>
          <w:szCs w:val="24"/>
          <w:lang w:val="hy-AM"/>
        </w:rPr>
        <w:t>1-ին մասի համաձայն՝ մինչև նույն օրենքով նախատեսված ենթաօրենսդրական ակտերի ընդունումը (mutatis mutandis) գործելու են կարգավորման նույն առարկան ունեցող ենթաօրենսդրական ակտերն այնքանով, որքանով դրանք իրենց էությամբ չեն հակասում նույն օրենքին:</w:t>
      </w:r>
    </w:p>
    <w:p w:rsidR="00F163D1" w:rsidRPr="001455ED" w:rsidRDefault="00F163D1" w:rsidP="001455ED">
      <w:pPr>
        <w:tabs>
          <w:tab w:val="left" w:pos="0"/>
          <w:tab w:val="left" w:pos="360"/>
        </w:tabs>
        <w:spacing w:after="0"/>
        <w:ind w:left="90" w:right="14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Ստացվում է, որ </w:t>
      </w:r>
      <w:r w:rsidR="001926F7">
        <w:rPr>
          <w:rFonts w:ascii="GHEA Grapalat" w:hAnsi="GHEA Grapalat" w:cs="Arial"/>
          <w:sz w:val="24"/>
          <w:szCs w:val="24"/>
          <w:lang w:val="hy-AM"/>
        </w:rPr>
        <w:t>Որոշման համաձայն՝</w:t>
      </w:r>
      <w:r w:rsidR="001926F7" w:rsidRPr="001926F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926F7">
        <w:rPr>
          <w:rFonts w:ascii="GHEA Grapalat" w:hAnsi="GHEA Grapalat" w:cs="Arial"/>
          <w:sz w:val="24"/>
          <w:szCs w:val="24"/>
          <w:lang w:val="hy-AM"/>
        </w:rPr>
        <w:t>կազմակերպություններում</w:t>
      </w:r>
      <w:r w:rsidR="001926F7" w:rsidRPr="001926F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926F7">
        <w:rPr>
          <w:rFonts w:ascii="GHEA Grapalat" w:hAnsi="GHEA Grapalat" w:cs="Arial"/>
          <w:sz w:val="24"/>
          <w:szCs w:val="24"/>
          <w:lang w:val="hy-AM"/>
        </w:rPr>
        <w:t xml:space="preserve">զենք </w:t>
      </w:r>
      <w:r w:rsidR="001926F7" w:rsidRPr="00DD3AE6">
        <w:rPr>
          <w:rFonts w:ascii="GHEA Grapalat" w:hAnsi="GHEA Grapalat" w:cs="Arial"/>
          <w:sz w:val="24"/>
          <w:szCs w:val="24"/>
          <w:lang w:val="hy-AM"/>
        </w:rPr>
        <w:t>պահելու</w:t>
      </w:r>
      <w:r w:rsidR="001926F7" w:rsidRPr="001926F7">
        <w:rPr>
          <w:rFonts w:ascii="GHEA Grapalat" w:hAnsi="GHEA Grapalat" w:cs="Arial"/>
          <w:sz w:val="24"/>
          <w:szCs w:val="24"/>
          <w:lang w:val="hy-AM"/>
        </w:rPr>
        <w:t xml:space="preserve"> պահանջները</w:t>
      </w:r>
      <w:r w:rsidR="001926F7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1926F7" w:rsidRPr="00DD3AE6">
        <w:rPr>
          <w:rFonts w:ascii="GHEA Grapalat" w:hAnsi="GHEA Grapalat" w:cs="Arial"/>
          <w:sz w:val="24"/>
          <w:szCs w:val="24"/>
          <w:lang w:val="hy-AM"/>
        </w:rPr>
        <w:t>զենքի հաշվառումը</w:t>
      </w:r>
      <w:r w:rsidR="001926F7" w:rsidRPr="001926F7">
        <w:rPr>
          <w:rFonts w:ascii="GHEA Grapalat" w:hAnsi="GHEA Grapalat" w:cs="Arial"/>
          <w:sz w:val="24"/>
          <w:szCs w:val="24"/>
          <w:lang w:val="hy-AM"/>
        </w:rPr>
        <w:t xml:space="preserve">, աշխատակիցներին զենք տալու, աշխատակիցների կողմից զենքը հանձնելու հետ կապված հարաբերությունները </w:t>
      </w:r>
      <w:r w:rsidR="00A95001">
        <w:rPr>
          <w:rFonts w:ascii="GHEA Grapalat" w:hAnsi="GHEA Grapalat" w:cs="Arial"/>
          <w:sz w:val="24"/>
          <w:szCs w:val="24"/>
          <w:lang w:val="hy-AM"/>
        </w:rPr>
        <w:t>ենթակա են կարգավորման</w:t>
      </w:r>
      <w:r w:rsidR="001926F7" w:rsidRPr="001926F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926F7">
        <w:rPr>
          <w:rFonts w:ascii="GHEA Grapalat" w:hAnsi="GHEA Grapalat" w:cs="Arial"/>
          <w:sz w:val="24"/>
          <w:szCs w:val="24"/>
          <w:lang w:val="hy-AM"/>
        </w:rPr>
        <w:t>Կոմիտեի նախագահի</w:t>
      </w:r>
      <w:r w:rsidR="001926F7" w:rsidRPr="001926F7">
        <w:rPr>
          <w:rFonts w:ascii="GHEA Grapalat" w:hAnsi="GHEA Grapalat" w:cs="Arial"/>
          <w:sz w:val="24"/>
          <w:szCs w:val="24"/>
          <w:lang w:val="hy-AM"/>
        </w:rPr>
        <w:t xml:space="preserve"> հրամանով</w:t>
      </w:r>
      <w:r w:rsidR="003535FD">
        <w:rPr>
          <w:rFonts w:ascii="GHEA Grapalat" w:hAnsi="GHEA Grapalat" w:cs="Arial"/>
          <w:sz w:val="24"/>
          <w:szCs w:val="24"/>
          <w:lang w:val="hy-AM"/>
        </w:rPr>
        <w:t>,</w:t>
      </w:r>
      <w:r w:rsidR="001926F7">
        <w:rPr>
          <w:rFonts w:ascii="GHEA Grapalat" w:hAnsi="GHEA Grapalat" w:cs="Arial"/>
          <w:sz w:val="24"/>
          <w:szCs w:val="24"/>
          <w:lang w:val="hy-AM"/>
        </w:rPr>
        <w:t xml:space="preserve"> մ</w:t>
      </w:r>
      <w:r>
        <w:rPr>
          <w:rFonts w:ascii="GHEA Grapalat" w:hAnsi="GHEA Grapalat" w:cs="Arial"/>
          <w:sz w:val="24"/>
          <w:szCs w:val="24"/>
          <w:lang w:val="hy-AM"/>
        </w:rPr>
        <w:t xml:space="preserve">ինչդեռ </w:t>
      </w:r>
      <w:r w:rsidR="001926F7">
        <w:rPr>
          <w:rFonts w:ascii="GHEA Grapalat" w:hAnsi="GHEA Grapalat" w:cs="Arial"/>
          <w:sz w:val="24"/>
          <w:szCs w:val="24"/>
          <w:lang w:val="hy-AM"/>
        </w:rPr>
        <w:t xml:space="preserve">ներկայումս դրանք </w:t>
      </w:r>
      <w:r w:rsidR="001455ED">
        <w:rPr>
          <w:rFonts w:ascii="GHEA Grapalat" w:hAnsi="GHEA Grapalat" w:cs="Arial"/>
          <w:sz w:val="24"/>
          <w:szCs w:val="24"/>
          <w:lang w:val="hy-AM"/>
        </w:rPr>
        <w:t xml:space="preserve">կարգավորվում են </w:t>
      </w:r>
      <w:r w:rsidR="001455ED" w:rsidRPr="001455ED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կառավարության 2021 թվականի հունիսի 10-ի № 938-Ն </w:t>
      </w:r>
      <w:r w:rsidR="005C3013">
        <w:rPr>
          <w:rFonts w:ascii="GHEA Grapalat" w:hAnsi="GHEA Grapalat" w:cs="Arial"/>
          <w:sz w:val="24"/>
          <w:szCs w:val="24"/>
          <w:lang w:val="hy-AM"/>
        </w:rPr>
        <w:t>որոշմա</w:t>
      </w:r>
      <w:r w:rsidR="001455ED">
        <w:rPr>
          <w:rFonts w:ascii="GHEA Grapalat" w:hAnsi="GHEA Grapalat" w:cs="Arial"/>
          <w:sz w:val="24"/>
          <w:szCs w:val="24"/>
          <w:lang w:val="hy-AM"/>
        </w:rPr>
        <w:t>մբ, ուստի քանի որ</w:t>
      </w:r>
      <w:bookmarkStart w:id="0" w:name="_GoBack"/>
      <w:bookmarkEnd w:id="0"/>
      <w:r w:rsidR="00DD3AE6">
        <w:rPr>
          <w:rFonts w:ascii="GHEA Grapalat" w:hAnsi="GHEA Grapalat" w:cs="Arial"/>
          <w:sz w:val="24"/>
          <w:szCs w:val="24"/>
          <w:lang w:val="hy-AM"/>
        </w:rPr>
        <w:t xml:space="preserve"> համապատասխան հարաբերությունների</w:t>
      </w:r>
      <w:r w:rsidR="00A95001">
        <w:rPr>
          <w:rFonts w:ascii="GHEA Grapalat" w:hAnsi="GHEA Grapalat" w:cs="Arial"/>
          <w:sz w:val="24"/>
          <w:szCs w:val="24"/>
          <w:lang w:val="hy-AM"/>
        </w:rPr>
        <w:t>՝</w:t>
      </w:r>
      <w:r w:rsidR="00DD3AE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016F3">
        <w:rPr>
          <w:rFonts w:ascii="GHEA Grapalat" w:hAnsi="GHEA Grapalat" w:cs="Arial"/>
          <w:sz w:val="24"/>
          <w:szCs w:val="24"/>
          <w:lang w:val="hy-AM"/>
        </w:rPr>
        <w:t>ՀՀ կառավ</w:t>
      </w:r>
      <w:r w:rsidR="00DD3AE6">
        <w:rPr>
          <w:rFonts w:ascii="GHEA Grapalat" w:hAnsi="GHEA Grapalat" w:cs="Arial"/>
          <w:sz w:val="24"/>
          <w:szCs w:val="24"/>
          <w:lang w:val="hy-AM"/>
        </w:rPr>
        <w:t xml:space="preserve">արության որոշմամբ կարգավորվելը </w:t>
      </w:r>
      <w:r w:rsidR="001455ED">
        <w:rPr>
          <w:rFonts w:ascii="GHEA Grapalat" w:hAnsi="GHEA Grapalat" w:cs="Arial"/>
          <w:sz w:val="24"/>
          <w:szCs w:val="24"/>
          <w:lang w:val="hy-AM"/>
        </w:rPr>
        <w:t>հակասում է Որոշմանը</w:t>
      </w:r>
      <w:r w:rsidR="00A95001">
        <w:rPr>
          <w:rFonts w:ascii="GHEA Grapalat" w:hAnsi="GHEA Grapalat" w:cs="Arial"/>
          <w:sz w:val="24"/>
          <w:szCs w:val="24"/>
          <w:lang w:val="hy-AM"/>
        </w:rPr>
        <w:t xml:space="preserve">, հետևաբար նաև Որոշման ընդունման հիմք </w:t>
      </w:r>
      <w:r w:rsidR="00A95001">
        <w:rPr>
          <w:rFonts w:ascii="GHEA Grapalat" w:hAnsi="GHEA Grapalat" w:cs="Arial"/>
          <w:sz w:val="24"/>
          <w:szCs w:val="24"/>
          <w:lang w:val="hy-AM"/>
        </w:rPr>
        <w:lastRenderedPageBreak/>
        <w:t>հանդիսացող Օրենքին</w:t>
      </w:r>
      <w:r w:rsidR="001455ED">
        <w:rPr>
          <w:rFonts w:ascii="GHEA Grapalat" w:hAnsi="GHEA Grapalat" w:cs="Arial"/>
          <w:sz w:val="24"/>
          <w:szCs w:val="24"/>
          <w:lang w:val="hy-AM"/>
        </w:rPr>
        <w:t>,</w:t>
      </w:r>
      <w:r w:rsidR="00A9500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455ED" w:rsidRPr="001455ED">
        <w:rPr>
          <w:rFonts w:ascii="GHEA Grapalat" w:hAnsi="GHEA Grapalat" w:cs="Arial"/>
          <w:sz w:val="24"/>
          <w:szCs w:val="24"/>
          <w:lang w:val="hy-AM"/>
        </w:rPr>
        <w:t>անհրաժեշտություն է առաջացել ուժը կորցրած ճանաչել ՀՀ կառավարության 2021 թվականի հունիսի 10-ի № 938-Ն որոշումը։</w:t>
      </w:r>
    </w:p>
    <w:p w:rsidR="009B410D" w:rsidRPr="009B410D" w:rsidRDefault="001455ED" w:rsidP="009B410D">
      <w:pPr>
        <w:tabs>
          <w:tab w:val="left" w:pos="0"/>
          <w:tab w:val="left" w:pos="360"/>
        </w:tabs>
        <w:spacing w:after="0"/>
        <w:ind w:left="90" w:right="14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Միաժամանակ, </w:t>
      </w:r>
      <w:r w:rsidR="009B410D" w:rsidRPr="009B410D">
        <w:rPr>
          <w:rFonts w:ascii="GHEA Grapalat" w:hAnsi="GHEA Grapalat" w:cs="Arial"/>
          <w:sz w:val="24"/>
          <w:szCs w:val="24"/>
          <w:lang w:val="hy-AM"/>
        </w:rPr>
        <w:t>«Նորմատիվ իրավական ակտերի մասին» օրենքի 40-րդ հոդվածի 1-ին մասի 3-րդ կետի համաձայն՝ նորմատիվ իրավական ակտերի նորմերի միջև կոլիզիաների դեպքում գործում են ավելի ուշ ուժի մեջ մտած նորմատիվ իրավական ակտի նորմերը:</w:t>
      </w:r>
    </w:p>
    <w:p w:rsidR="009B410D" w:rsidRDefault="009016F3" w:rsidP="009B410D">
      <w:pPr>
        <w:tabs>
          <w:tab w:val="left" w:pos="0"/>
          <w:tab w:val="left" w:pos="360"/>
        </w:tabs>
        <w:spacing w:after="0"/>
        <w:ind w:left="90" w:right="14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Ելնելով վերոգրյալից՝</w:t>
      </w:r>
      <w:r w:rsidR="009B410D" w:rsidRPr="009B410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535FD">
        <w:rPr>
          <w:rFonts w:ascii="GHEA Grapalat" w:hAnsi="GHEA Grapalat" w:cs="Arial"/>
          <w:sz w:val="24"/>
          <w:szCs w:val="24"/>
          <w:lang w:val="hy-AM"/>
        </w:rPr>
        <w:t>Ո</w:t>
      </w:r>
      <w:r w:rsidR="009B410D" w:rsidRPr="009B410D">
        <w:rPr>
          <w:rFonts w:ascii="GHEA Grapalat" w:hAnsi="GHEA Grapalat" w:cs="Arial"/>
          <w:sz w:val="24"/>
          <w:szCs w:val="24"/>
          <w:lang w:val="hy-AM"/>
        </w:rPr>
        <w:t>րոշմամբ սահմանված կարգավորումները, որպես ավելի ուշ ուժի մեջ մտած իրավական նորմեր, ունեն գերակայություն ՀՀ կառավարության 2021 թվականի հունիսի 10-ի № 938-Ն որոշմամբ սահմանված դրույթների նկատմամբ, այսինքն` պետական ռազմականացված կազմակերպություններում զենքի շրջանառության հարաբերությունների նկատմամբ կիրառելի են ավելի ուշ ուժի մեջ մտած որոշմամբ սահմանված կարգավորումները:</w:t>
      </w:r>
    </w:p>
    <w:p w:rsidR="00F23FB6" w:rsidRPr="00EF004D" w:rsidRDefault="00F23FB6" w:rsidP="009B410D">
      <w:pPr>
        <w:tabs>
          <w:tab w:val="left" w:pos="0"/>
          <w:tab w:val="left" w:pos="360"/>
        </w:tabs>
        <w:spacing w:after="0"/>
        <w:ind w:left="90" w:right="140" w:firstLine="720"/>
        <w:jc w:val="both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EF004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3</w:t>
      </w:r>
      <w:r w:rsidR="00B1371F" w:rsidRPr="00EF004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.</w:t>
      </w:r>
      <w:r w:rsidRPr="00EF004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Առաջարկվող կարգավորման բնույթը</w:t>
      </w:r>
    </w:p>
    <w:p w:rsidR="00795044" w:rsidRDefault="00795044" w:rsidP="00EA6B72">
      <w:pPr>
        <w:tabs>
          <w:tab w:val="left" w:pos="0"/>
          <w:tab w:val="left" w:pos="180"/>
          <w:tab w:val="left" w:pos="360"/>
          <w:tab w:val="left" w:pos="450"/>
          <w:tab w:val="left" w:pos="540"/>
          <w:tab w:val="left" w:pos="630"/>
        </w:tabs>
        <w:spacing w:after="0"/>
        <w:ind w:left="90" w:right="140"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79504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Հաշվի առնելով «Նորմատիվ իրավական ակտերի մասին» օրենքի</w:t>
      </w:r>
      <w:r w:rsidR="00622F3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37</w:t>
      </w:r>
      <w:r w:rsidRPr="0079504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-րդ հոդվածի</w:t>
      </w:r>
      <w:r w:rsidR="00622F3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1-ին</w:t>
      </w:r>
      <w:r w:rsidRPr="0079504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մասը, այն է՝</w:t>
      </w:r>
      <w:r w:rsidR="00622F3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ն</w:t>
      </w:r>
      <w:r w:rsidR="00622F37" w:rsidRPr="00622F3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որմատիվ իրավական ակտը, բացառությամբ Սահմանադրության, ուժը կորցրած է ճանաչվում իրավաստեղծ մարմնի, դրա իրավահաջորդի կամ համապատասխան լիազորություններով օժտված մարմնի որոշմամբ:</w:t>
      </w:r>
    </w:p>
    <w:p w:rsidR="00F23FB6" w:rsidRPr="006467E1" w:rsidRDefault="006467E1" w:rsidP="00EA6B72">
      <w:pPr>
        <w:tabs>
          <w:tab w:val="left" w:pos="0"/>
          <w:tab w:val="left" w:pos="180"/>
          <w:tab w:val="left" w:pos="360"/>
          <w:tab w:val="left" w:pos="450"/>
          <w:tab w:val="left" w:pos="540"/>
          <w:tab w:val="left" w:pos="630"/>
        </w:tabs>
        <w:spacing w:after="0"/>
        <w:ind w:left="90" w:right="14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467E1">
        <w:rPr>
          <w:rFonts w:ascii="GHEA Grapalat" w:hAnsi="GHEA Grapalat"/>
          <w:b/>
          <w:sz w:val="24"/>
          <w:szCs w:val="24"/>
          <w:lang w:val="hy-AM"/>
        </w:rPr>
        <w:t>4</w:t>
      </w:r>
      <w:r w:rsidRPr="00E5251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F23FB6" w:rsidRPr="006467E1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անձինք.</w:t>
      </w:r>
    </w:p>
    <w:p w:rsidR="003B2A9F" w:rsidRDefault="00832443" w:rsidP="00EA6B72">
      <w:pPr>
        <w:tabs>
          <w:tab w:val="left" w:pos="0"/>
          <w:tab w:val="left" w:pos="360"/>
          <w:tab w:val="left" w:pos="851"/>
        </w:tabs>
        <w:spacing w:after="0"/>
        <w:ind w:left="90" w:right="14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FE1375">
        <w:rPr>
          <w:rFonts w:ascii="GHEA Grapalat" w:eastAsia="Times New Roman" w:hAnsi="GHEA Grapalat" w:cs="Times New Roman"/>
          <w:sz w:val="24"/>
          <w:szCs w:val="24"/>
          <w:lang w:val="hy-AM"/>
        </w:rPr>
        <w:t>Նախագիծը մշակվել է</w:t>
      </w:r>
      <w:r w:rsidRPr="008324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 Հանրապետության պետական եկամուտների կոմիտեի կողմից:</w:t>
      </w:r>
    </w:p>
    <w:p w:rsidR="00645170" w:rsidRPr="003B2A9F" w:rsidRDefault="00F23FB6" w:rsidP="00EA6B72">
      <w:pPr>
        <w:tabs>
          <w:tab w:val="left" w:pos="0"/>
          <w:tab w:val="left" w:pos="360"/>
          <w:tab w:val="left" w:pos="851"/>
        </w:tabs>
        <w:spacing w:after="0"/>
        <w:ind w:left="90" w:right="140" w:firstLine="720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6467E1">
        <w:rPr>
          <w:rFonts w:ascii="GHEA Grapalat" w:hAnsi="GHEA Grapalat"/>
          <w:b/>
          <w:sz w:val="24"/>
          <w:szCs w:val="24"/>
          <w:lang w:val="hy-AM"/>
        </w:rPr>
        <w:t>5.</w:t>
      </w:r>
      <w:r w:rsidR="00645170" w:rsidRPr="006467E1">
        <w:rPr>
          <w:rFonts w:ascii="GHEA Grapalat" w:hAnsi="GHEA Grapalat"/>
          <w:b/>
          <w:w w:val="105"/>
          <w:sz w:val="24"/>
          <w:szCs w:val="24"/>
          <w:lang w:val="hy-AM"/>
        </w:rPr>
        <w:t xml:space="preserve">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:rsidR="006655E4" w:rsidRDefault="006655E4" w:rsidP="00EA6B72">
      <w:pPr>
        <w:tabs>
          <w:tab w:val="left" w:pos="0"/>
          <w:tab w:val="left" w:pos="360"/>
          <w:tab w:val="left" w:pos="1620"/>
        </w:tabs>
        <w:spacing w:after="0"/>
        <w:ind w:left="90" w:right="140" w:firstLine="720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>Նախագծ</w:t>
      </w:r>
      <w:r w:rsidRPr="006655E4">
        <w:rPr>
          <w:rFonts w:ascii="GHEA Grapalat" w:eastAsia="Calibri" w:hAnsi="GHEA Grapalat" w:cs="Arial"/>
          <w:sz w:val="24"/>
          <w:szCs w:val="24"/>
          <w:lang w:val="hy-AM"/>
        </w:rPr>
        <w:t>ի ընդունումը բխում է Կառավարության 2021-2026թթ. Ծրագրի 6.3-րդ կետից։ Ըստ Կառավարության</w:t>
      </w:r>
      <w:r w:rsidR="004B3A3F">
        <w:rPr>
          <w:rFonts w:ascii="GHEA Grapalat" w:eastAsia="Calibri" w:hAnsi="GHEA Grapalat" w:cs="Arial"/>
          <w:sz w:val="24"/>
          <w:szCs w:val="24"/>
          <w:lang w:val="hy-AM"/>
        </w:rPr>
        <w:t xml:space="preserve"> 2021-202</w:t>
      </w:r>
      <w:r w:rsidRPr="006655E4">
        <w:rPr>
          <w:rFonts w:ascii="GHEA Grapalat" w:eastAsia="Calibri" w:hAnsi="GHEA Grapalat" w:cs="Arial"/>
          <w:sz w:val="24"/>
          <w:szCs w:val="24"/>
          <w:lang w:val="hy-AM"/>
        </w:rPr>
        <w:t>6թթ</w:t>
      </w:r>
      <w:r w:rsidRPr="006655E4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6655E4">
        <w:rPr>
          <w:rFonts w:ascii="GHEA Grapalat" w:eastAsia="Calibri" w:hAnsi="GHEA Grapalat" w:cs="Arial"/>
          <w:sz w:val="24"/>
          <w:szCs w:val="24"/>
          <w:lang w:val="hy-AM"/>
        </w:rPr>
        <w:t xml:space="preserve"> Ծրագրի 6.3-րդ կետի՝ «Հանրային ծառայության համակարգ և մարդկային ռեսուրսների կառավարում» հատվածում կառավարությունը հավակնում է զարգացնել և կայացնել հանրային ծառայության արդյունավետ համակարգ՝ հանրային ծառայության գրավչությունը բարձրացնելու և պետական համակարգի առջև դրված խնդիրներն արդյունավետորեն լուծող բարձր պրոֆեսիանալիզմով և բարեվարքությամբ օժտված մարդկային կապիտալ ձևավորելու միջոցով։</w:t>
      </w:r>
    </w:p>
    <w:p w:rsidR="00383155" w:rsidRPr="00B22454" w:rsidRDefault="00645170" w:rsidP="00EA6B72">
      <w:pPr>
        <w:tabs>
          <w:tab w:val="left" w:pos="0"/>
          <w:tab w:val="left" w:pos="360"/>
          <w:tab w:val="left" w:pos="1620"/>
        </w:tabs>
        <w:spacing w:after="0"/>
        <w:ind w:left="90" w:right="140" w:firstLine="720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6467E1">
        <w:rPr>
          <w:rFonts w:ascii="GHEA Grapalat" w:hAnsi="GHEA Grapalat"/>
          <w:b/>
          <w:sz w:val="24"/>
          <w:szCs w:val="24"/>
          <w:lang w:val="hy-AM"/>
        </w:rPr>
        <w:t>6</w:t>
      </w:r>
      <w:r w:rsidR="00EE5B5E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.</w:t>
      </w:r>
      <w:r w:rsidR="00B24B09">
        <w:rPr>
          <w:rFonts w:eastAsia="MS Mincho" w:cs="MS Mincho"/>
          <w:b/>
          <w:sz w:val="24"/>
          <w:szCs w:val="24"/>
          <w:lang w:val="hy-AM"/>
        </w:rPr>
        <w:t xml:space="preserve"> </w:t>
      </w:r>
      <w:r w:rsidR="00F23FB6" w:rsidRPr="006467E1">
        <w:rPr>
          <w:rFonts w:ascii="GHEA Grapalat" w:hAnsi="GHEA Grapalat"/>
          <w:b/>
          <w:sz w:val="24"/>
          <w:szCs w:val="24"/>
          <w:lang w:val="hy-AM"/>
        </w:rPr>
        <w:t>Նպատակը և ակնկալվող արդյունքը.</w:t>
      </w:r>
      <w:r w:rsidR="00B92E45" w:rsidRPr="00B92E45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</w:p>
    <w:p w:rsidR="00B24B09" w:rsidRPr="00B24B09" w:rsidRDefault="00E266E8" w:rsidP="00EA6B72">
      <w:pPr>
        <w:tabs>
          <w:tab w:val="left" w:pos="0"/>
          <w:tab w:val="left" w:pos="360"/>
          <w:tab w:val="left" w:pos="851"/>
        </w:tabs>
        <w:spacing w:after="0"/>
        <w:ind w:left="90" w:right="140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GHEA Grapalat" w:eastAsia="Calibri" w:hAnsi="GHEA Grapalat" w:cs="Sylfaen"/>
          <w:sz w:val="24"/>
          <w:szCs w:val="24"/>
          <w:lang w:val="hy-AM"/>
        </w:rPr>
        <w:t>Նախագծ</w:t>
      </w:r>
      <w:r w:rsidR="00A8272E"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 w:rsidR="00832443" w:rsidRPr="00832443">
        <w:rPr>
          <w:rFonts w:ascii="GHEA Grapalat" w:eastAsia="Calibri" w:hAnsi="GHEA Grapalat" w:cs="Sylfaen"/>
          <w:sz w:val="24"/>
          <w:szCs w:val="24"/>
          <w:lang w:val="hy-AM"/>
        </w:rPr>
        <w:t xml:space="preserve"> ընդունման արդյունքում ակնկալվում է</w:t>
      </w:r>
      <w:r w:rsidR="00FE1375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B24B09" w:rsidRPr="00B24B09">
        <w:rPr>
          <w:rFonts w:ascii="GHEA Grapalat" w:eastAsia="Calibri" w:hAnsi="GHEA Grapalat" w:cs="Sylfaen"/>
          <w:sz w:val="24"/>
          <w:szCs w:val="24"/>
          <w:lang w:val="hy-AM"/>
        </w:rPr>
        <w:t xml:space="preserve">ուժը կորցրած </w:t>
      </w:r>
      <w:r w:rsidR="009F42F2">
        <w:rPr>
          <w:rFonts w:ascii="GHEA Grapalat" w:eastAsia="Calibri" w:hAnsi="GHEA Grapalat" w:cs="Sylfaen"/>
          <w:sz w:val="24"/>
          <w:szCs w:val="24"/>
          <w:lang w:val="hy-AM"/>
        </w:rPr>
        <w:t>ճանաչ</w:t>
      </w:r>
      <w:r w:rsidR="00B24B09" w:rsidRPr="00B24B09">
        <w:rPr>
          <w:rFonts w:ascii="GHEA Grapalat" w:eastAsia="Calibri" w:hAnsi="GHEA Grapalat" w:cs="Sylfaen"/>
          <w:sz w:val="24"/>
          <w:szCs w:val="24"/>
          <w:lang w:val="hy-AM"/>
        </w:rPr>
        <w:t xml:space="preserve">ել </w:t>
      </w:r>
      <w:r w:rsidR="00CF6C19">
        <w:rPr>
          <w:rFonts w:ascii="GHEA Grapalat" w:eastAsia="Calibri" w:hAnsi="GHEA Grapalat" w:cs="Sylfaen"/>
          <w:sz w:val="24"/>
          <w:szCs w:val="24"/>
          <w:lang w:val="hy-AM"/>
        </w:rPr>
        <w:t>ՀՀ</w:t>
      </w:r>
      <w:r w:rsidR="00B24B09" w:rsidRPr="00B24B09">
        <w:rPr>
          <w:rFonts w:ascii="GHEA Grapalat" w:eastAsia="Calibri" w:hAnsi="GHEA Grapalat" w:cs="Sylfaen"/>
          <w:sz w:val="24"/>
          <w:szCs w:val="24"/>
          <w:lang w:val="hy-AM"/>
        </w:rPr>
        <w:t xml:space="preserve"> կառավարության 2021 թվականի հունիսի 10-ի </w:t>
      </w:r>
      <w:r w:rsidR="00CF6C19">
        <w:rPr>
          <w:rFonts w:ascii="GHEA Grapalat" w:eastAsia="Calibri" w:hAnsi="GHEA Grapalat" w:cs="Sylfaen"/>
          <w:sz w:val="24"/>
          <w:szCs w:val="24"/>
          <w:lang w:val="hy-AM"/>
        </w:rPr>
        <w:t>№</w:t>
      </w:r>
      <w:r w:rsidR="00B24B09" w:rsidRPr="00B24B09">
        <w:rPr>
          <w:rFonts w:ascii="GHEA Grapalat" w:eastAsia="Calibri" w:hAnsi="GHEA Grapalat" w:cs="Sylfaen"/>
          <w:sz w:val="24"/>
          <w:szCs w:val="24"/>
          <w:lang w:val="hy-AM"/>
        </w:rPr>
        <w:t xml:space="preserve"> 938-Ն որոշումը` պետական ռազմականացված կազմակերպություններում զենքի շրջանառության հետ կապված հարցերը </w:t>
      </w:r>
      <w:r w:rsidR="00B24B09">
        <w:rPr>
          <w:rFonts w:ascii="GHEA Grapalat" w:eastAsia="Calibri" w:hAnsi="GHEA Grapalat" w:cs="Sylfaen"/>
          <w:sz w:val="24"/>
          <w:szCs w:val="24"/>
          <w:lang w:val="hy-AM"/>
        </w:rPr>
        <w:t>թողնելով «</w:t>
      </w:r>
      <w:r w:rsidR="00B24B09" w:rsidRPr="00B24B09">
        <w:rPr>
          <w:rFonts w:ascii="GHEA Grapalat" w:eastAsia="Calibri" w:hAnsi="GHEA Grapalat" w:cs="Sylfaen"/>
          <w:sz w:val="24"/>
          <w:szCs w:val="24"/>
          <w:lang w:val="hy-AM"/>
        </w:rPr>
        <w:t xml:space="preserve">Զենքի շրջանառության կարգավորման մասին» </w:t>
      </w:r>
      <w:r w:rsidR="00B24B09">
        <w:rPr>
          <w:rFonts w:ascii="GHEA Grapalat" w:eastAsia="Calibri" w:hAnsi="GHEA Grapalat" w:cs="Sylfaen"/>
          <w:sz w:val="24"/>
          <w:szCs w:val="24"/>
          <w:lang w:val="hy-AM"/>
        </w:rPr>
        <w:t>օրենք</w:t>
      </w:r>
      <w:r w:rsidR="00B24B09" w:rsidRPr="00B24B09">
        <w:rPr>
          <w:rFonts w:ascii="GHEA Grapalat" w:eastAsia="Calibri" w:hAnsi="GHEA Grapalat" w:cs="Sylfaen"/>
          <w:sz w:val="24"/>
          <w:szCs w:val="24"/>
          <w:lang w:val="hy-AM"/>
        </w:rPr>
        <w:t>ի համաձայն ընդունվ</w:t>
      </w:r>
      <w:r w:rsidR="00B24B09">
        <w:rPr>
          <w:rFonts w:ascii="GHEA Grapalat" w:eastAsia="Calibri" w:hAnsi="GHEA Grapalat" w:cs="Sylfaen"/>
          <w:sz w:val="24"/>
          <w:szCs w:val="24"/>
          <w:lang w:val="hy-AM"/>
        </w:rPr>
        <w:t xml:space="preserve">ած </w:t>
      </w:r>
      <w:r w:rsidR="003B308A">
        <w:rPr>
          <w:rFonts w:ascii="GHEA Grapalat" w:eastAsia="Calibri" w:hAnsi="GHEA Grapalat" w:cs="Sylfaen"/>
          <w:sz w:val="24"/>
          <w:szCs w:val="24"/>
          <w:lang w:val="hy-AM"/>
        </w:rPr>
        <w:t>ՀՀ</w:t>
      </w:r>
      <w:r w:rsidR="00887BBC" w:rsidRPr="00B24B09">
        <w:rPr>
          <w:rFonts w:ascii="GHEA Grapalat" w:eastAsia="Calibri" w:hAnsi="GHEA Grapalat" w:cs="Sylfaen"/>
          <w:sz w:val="24"/>
          <w:szCs w:val="24"/>
          <w:lang w:val="hy-AM"/>
        </w:rPr>
        <w:t xml:space="preserve"> կառավարության </w:t>
      </w:r>
      <w:r w:rsidR="00B24B09" w:rsidRPr="00B24B09">
        <w:rPr>
          <w:rFonts w:ascii="GHEA Grapalat" w:eastAsia="Calibri" w:hAnsi="GHEA Grapalat" w:cs="Sylfaen"/>
          <w:sz w:val="24"/>
          <w:szCs w:val="24"/>
          <w:lang w:val="hy-AM"/>
        </w:rPr>
        <w:t xml:space="preserve">2023 թվականի հունիսի 1-ի № 889-Ն </w:t>
      </w:r>
      <w:r w:rsidR="00D14CF1">
        <w:rPr>
          <w:rFonts w:ascii="GHEA Grapalat" w:eastAsia="Calibri" w:hAnsi="GHEA Grapalat" w:cs="Sylfaen"/>
          <w:sz w:val="24"/>
          <w:szCs w:val="24"/>
          <w:lang w:val="hy-AM"/>
        </w:rPr>
        <w:t>որոշման կարգավորմանը</w:t>
      </w:r>
      <w:r w:rsidR="00B24B09">
        <w:rPr>
          <w:rFonts w:ascii="GHEA Grapalat" w:eastAsia="Calibri" w:hAnsi="GHEA Grapalat" w:cs="Sylfaen"/>
          <w:sz w:val="24"/>
          <w:szCs w:val="24"/>
          <w:lang w:val="hy-AM"/>
        </w:rPr>
        <w:t>։</w:t>
      </w:r>
    </w:p>
    <w:p w:rsidR="00832443" w:rsidRPr="00832443" w:rsidRDefault="00832443" w:rsidP="00EA6B72">
      <w:pPr>
        <w:tabs>
          <w:tab w:val="left" w:pos="0"/>
          <w:tab w:val="left" w:pos="360"/>
          <w:tab w:val="left" w:pos="851"/>
        </w:tabs>
        <w:spacing w:after="0"/>
        <w:ind w:left="90" w:right="140" w:firstLine="720"/>
        <w:jc w:val="both"/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>7</w:t>
      </w:r>
      <w:r w:rsidR="00B24B09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 xml:space="preserve">. </w:t>
      </w:r>
      <w:r w:rsidRPr="00832443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  <w:r w:rsidRPr="00832443">
        <w:rPr>
          <w:rFonts w:ascii="Cambria Math" w:eastAsia="Calibri" w:hAnsi="Cambria Math" w:cs="Cambria Math"/>
          <w:b/>
          <w:color w:val="000000"/>
          <w:sz w:val="24"/>
          <w:szCs w:val="24"/>
          <w:lang w:val="hy-AM"/>
        </w:rPr>
        <w:t>․</w:t>
      </w:r>
    </w:p>
    <w:p w:rsidR="00832443" w:rsidRPr="00832443" w:rsidRDefault="00B22454" w:rsidP="00EA6B72">
      <w:pPr>
        <w:tabs>
          <w:tab w:val="left" w:pos="0"/>
          <w:tab w:val="left" w:pos="360"/>
          <w:tab w:val="left" w:pos="851"/>
        </w:tabs>
        <w:spacing w:after="0"/>
        <w:ind w:left="90" w:right="140"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lastRenderedPageBreak/>
        <w:t xml:space="preserve"> </w:t>
      </w:r>
      <w:r w:rsidR="00FE1375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Նախագծ</w:t>
      </w:r>
      <w:r w:rsidR="00A8272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ի</w:t>
      </w:r>
      <w:r w:rsidR="00832443" w:rsidRPr="00832443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ընդունման կապակցությամբ լրացուցիչ ֆինանսական միջոցների անհրաժեշտություն, պետական բյուջեի եկամուտներում և ծախսերում էական փոփոխություններ չի նախատեսվում։</w:t>
      </w:r>
    </w:p>
    <w:p w:rsidR="00262483" w:rsidRPr="006467E1" w:rsidRDefault="00262483" w:rsidP="00EA6B72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180" w:firstLine="720"/>
        <w:jc w:val="both"/>
        <w:rPr>
          <w:rFonts w:ascii="GHEA Grapalat" w:hAnsi="GHEA Grapalat"/>
          <w:color w:val="000000"/>
          <w:lang w:val="hy-AM"/>
        </w:rPr>
      </w:pPr>
    </w:p>
    <w:p w:rsidR="00EE5B5E" w:rsidRPr="002317EB" w:rsidRDefault="00EE5B5E" w:rsidP="00EA6B72">
      <w:pPr>
        <w:tabs>
          <w:tab w:val="left" w:pos="0"/>
        </w:tabs>
        <w:spacing w:after="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sectPr w:rsidR="00EE5B5E" w:rsidRPr="002317EB" w:rsidSect="003B308A">
      <w:pgSz w:w="12240" w:h="15840"/>
      <w:pgMar w:top="900" w:right="760" w:bottom="99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DBE" w:rsidRDefault="004E4DBE" w:rsidP="00FC5485">
      <w:pPr>
        <w:spacing w:after="0" w:line="240" w:lineRule="auto"/>
      </w:pPr>
      <w:r>
        <w:separator/>
      </w:r>
    </w:p>
  </w:endnote>
  <w:endnote w:type="continuationSeparator" w:id="0">
    <w:p w:rsidR="004E4DBE" w:rsidRDefault="004E4DBE" w:rsidP="00FC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DBE" w:rsidRDefault="004E4DBE" w:rsidP="00FC5485">
      <w:pPr>
        <w:spacing w:after="0" w:line="240" w:lineRule="auto"/>
      </w:pPr>
      <w:r>
        <w:separator/>
      </w:r>
    </w:p>
  </w:footnote>
  <w:footnote w:type="continuationSeparator" w:id="0">
    <w:p w:rsidR="004E4DBE" w:rsidRDefault="004E4DBE" w:rsidP="00FC5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61275"/>
    <w:multiLevelType w:val="hybridMultilevel"/>
    <w:tmpl w:val="55C01F90"/>
    <w:lvl w:ilvl="0" w:tplc="4ED84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315374DA"/>
    <w:multiLevelType w:val="hybridMultilevel"/>
    <w:tmpl w:val="27C63390"/>
    <w:lvl w:ilvl="0" w:tplc="3932A27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0458FD"/>
    <w:multiLevelType w:val="hybridMultilevel"/>
    <w:tmpl w:val="8F1A5D62"/>
    <w:lvl w:ilvl="0" w:tplc="B63466F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BFD0D58"/>
    <w:multiLevelType w:val="hybridMultilevel"/>
    <w:tmpl w:val="6E5E7B62"/>
    <w:lvl w:ilvl="0" w:tplc="006211C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2C07C5"/>
    <w:multiLevelType w:val="hybridMultilevel"/>
    <w:tmpl w:val="D83E46A6"/>
    <w:lvl w:ilvl="0" w:tplc="49441C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9B1214"/>
    <w:multiLevelType w:val="hybridMultilevel"/>
    <w:tmpl w:val="46A473BC"/>
    <w:lvl w:ilvl="0" w:tplc="6A28D79E">
      <w:start w:val="1"/>
      <w:numFmt w:val="decimal"/>
      <w:lvlText w:val="%1."/>
      <w:lvlJc w:val="left"/>
      <w:pPr>
        <w:ind w:left="786" w:hanging="360"/>
      </w:pPr>
      <w:rPr>
        <w:rFonts w:ascii="GHEA Grapalat" w:hAnsi="GHEA Grapalat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E1111D"/>
    <w:multiLevelType w:val="hybridMultilevel"/>
    <w:tmpl w:val="1D3CECFE"/>
    <w:lvl w:ilvl="0" w:tplc="BDF865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A7C5598"/>
    <w:multiLevelType w:val="hybridMultilevel"/>
    <w:tmpl w:val="C2B04BF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1D"/>
    <w:rsid w:val="000106F4"/>
    <w:rsid w:val="00015311"/>
    <w:rsid w:val="00017338"/>
    <w:rsid w:val="000173CD"/>
    <w:rsid w:val="00023907"/>
    <w:rsid w:val="00024FE6"/>
    <w:rsid w:val="000262C8"/>
    <w:rsid w:val="00026521"/>
    <w:rsid w:val="000270D2"/>
    <w:rsid w:val="00030FC5"/>
    <w:rsid w:val="000336AF"/>
    <w:rsid w:val="000355AB"/>
    <w:rsid w:val="00036E28"/>
    <w:rsid w:val="000400E8"/>
    <w:rsid w:val="0004049E"/>
    <w:rsid w:val="000535A6"/>
    <w:rsid w:val="00053B37"/>
    <w:rsid w:val="00055B3A"/>
    <w:rsid w:val="00055CCE"/>
    <w:rsid w:val="00057E51"/>
    <w:rsid w:val="000605ED"/>
    <w:rsid w:val="00060878"/>
    <w:rsid w:val="00062550"/>
    <w:rsid w:val="00062565"/>
    <w:rsid w:val="0007131B"/>
    <w:rsid w:val="00072B95"/>
    <w:rsid w:val="000749D2"/>
    <w:rsid w:val="0007505D"/>
    <w:rsid w:val="0007790B"/>
    <w:rsid w:val="0008448E"/>
    <w:rsid w:val="00085827"/>
    <w:rsid w:val="000864A8"/>
    <w:rsid w:val="00087A0C"/>
    <w:rsid w:val="00093DB6"/>
    <w:rsid w:val="000A79A8"/>
    <w:rsid w:val="000A7A27"/>
    <w:rsid w:val="000B0A8C"/>
    <w:rsid w:val="000B2082"/>
    <w:rsid w:val="000B40E6"/>
    <w:rsid w:val="000C5A93"/>
    <w:rsid w:val="000D61C4"/>
    <w:rsid w:val="000E1222"/>
    <w:rsid w:val="000E1E64"/>
    <w:rsid w:val="000E254F"/>
    <w:rsid w:val="000E60C5"/>
    <w:rsid w:val="000E687E"/>
    <w:rsid w:val="000F0CFC"/>
    <w:rsid w:val="000F50DF"/>
    <w:rsid w:val="000F60E2"/>
    <w:rsid w:val="000F73AB"/>
    <w:rsid w:val="001007F7"/>
    <w:rsid w:val="00100DD2"/>
    <w:rsid w:val="001020D9"/>
    <w:rsid w:val="00103030"/>
    <w:rsid w:val="001045B6"/>
    <w:rsid w:val="001045D5"/>
    <w:rsid w:val="0010526B"/>
    <w:rsid w:val="00107250"/>
    <w:rsid w:val="001239E5"/>
    <w:rsid w:val="00124AAD"/>
    <w:rsid w:val="00131AF1"/>
    <w:rsid w:val="00132312"/>
    <w:rsid w:val="0013582C"/>
    <w:rsid w:val="00137361"/>
    <w:rsid w:val="001443D9"/>
    <w:rsid w:val="001455ED"/>
    <w:rsid w:val="00146AE4"/>
    <w:rsid w:val="0015109F"/>
    <w:rsid w:val="0015171D"/>
    <w:rsid w:val="001518C4"/>
    <w:rsid w:val="00156BDE"/>
    <w:rsid w:val="0016090E"/>
    <w:rsid w:val="00164B0B"/>
    <w:rsid w:val="001734A0"/>
    <w:rsid w:val="00175DF6"/>
    <w:rsid w:val="00177C55"/>
    <w:rsid w:val="00180744"/>
    <w:rsid w:val="00180D0D"/>
    <w:rsid w:val="00181D99"/>
    <w:rsid w:val="001906E9"/>
    <w:rsid w:val="001926F7"/>
    <w:rsid w:val="001A0B35"/>
    <w:rsid w:val="001A2BFE"/>
    <w:rsid w:val="001A41E0"/>
    <w:rsid w:val="001A7E02"/>
    <w:rsid w:val="001B04FC"/>
    <w:rsid w:val="001B1CF3"/>
    <w:rsid w:val="001B299D"/>
    <w:rsid w:val="001B4A16"/>
    <w:rsid w:val="001B763F"/>
    <w:rsid w:val="001C1519"/>
    <w:rsid w:val="001C373E"/>
    <w:rsid w:val="001D4C11"/>
    <w:rsid w:val="001D550D"/>
    <w:rsid w:val="001E03E0"/>
    <w:rsid w:val="001E07FF"/>
    <w:rsid w:val="001E3D3F"/>
    <w:rsid w:val="001E5064"/>
    <w:rsid w:val="001E5156"/>
    <w:rsid w:val="002007BF"/>
    <w:rsid w:val="002076B6"/>
    <w:rsid w:val="00210024"/>
    <w:rsid w:val="002112DF"/>
    <w:rsid w:val="00213A26"/>
    <w:rsid w:val="00214A2B"/>
    <w:rsid w:val="00230166"/>
    <w:rsid w:val="002317EB"/>
    <w:rsid w:val="00235E96"/>
    <w:rsid w:val="00237A74"/>
    <w:rsid w:val="00240B3E"/>
    <w:rsid w:val="0024119D"/>
    <w:rsid w:val="002417D7"/>
    <w:rsid w:val="00241E03"/>
    <w:rsid w:val="00242192"/>
    <w:rsid w:val="00245EA9"/>
    <w:rsid w:val="00251EAE"/>
    <w:rsid w:val="0025655F"/>
    <w:rsid w:val="0025754D"/>
    <w:rsid w:val="0026210B"/>
    <w:rsid w:val="00262483"/>
    <w:rsid w:val="00273383"/>
    <w:rsid w:val="002741A6"/>
    <w:rsid w:val="002802E7"/>
    <w:rsid w:val="002814CD"/>
    <w:rsid w:val="00282B95"/>
    <w:rsid w:val="0029095A"/>
    <w:rsid w:val="0029129F"/>
    <w:rsid w:val="00291AB0"/>
    <w:rsid w:val="00296F79"/>
    <w:rsid w:val="002A0A4A"/>
    <w:rsid w:val="002A1392"/>
    <w:rsid w:val="002A16F0"/>
    <w:rsid w:val="002A3269"/>
    <w:rsid w:val="002B3EEB"/>
    <w:rsid w:val="002B4528"/>
    <w:rsid w:val="002B6605"/>
    <w:rsid w:val="002B6B64"/>
    <w:rsid w:val="002B6C01"/>
    <w:rsid w:val="002C3D33"/>
    <w:rsid w:val="002D04B1"/>
    <w:rsid w:val="002D0BBF"/>
    <w:rsid w:val="002D10DA"/>
    <w:rsid w:val="002D12EB"/>
    <w:rsid w:val="002D4285"/>
    <w:rsid w:val="002D43A3"/>
    <w:rsid w:val="002D665B"/>
    <w:rsid w:val="002D69AE"/>
    <w:rsid w:val="002E0555"/>
    <w:rsid w:val="002E2037"/>
    <w:rsid w:val="002E4AD2"/>
    <w:rsid w:val="002E50A7"/>
    <w:rsid w:val="002E67FA"/>
    <w:rsid w:val="002E7AD1"/>
    <w:rsid w:val="002F1A11"/>
    <w:rsid w:val="002F3442"/>
    <w:rsid w:val="002F5CA0"/>
    <w:rsid w:val="002F65A0"/>
    <w:rsid w:val="003005C1"/>
    <w:rsid w:val="00300B2B"/>
    <w:rsid w:val="00305390"/>
    <w:rsid w:val="00306AAB"/>
    <w:rsid w:val="0030755F"/>
    <w:rsid w:val="003108F8"/>
    <w:rsid w:val="00312A70"/>
    <w:rsid w:val="00313D20"/>
    <w:rsid w:val="00316A9E"/>
    <w:rsid w:val="00317FFD"/>
    <w:rsid w:val="00320751"/>
    <w:rsid w:val="00334E13"/>
    <w:rsid w:val="003371A8"/>
    <w:rsid w:val="00343950"/>
    <w:rsid w:val="00347B61"/>
    <w:rsid w:val="00347DA9"/>
    <w:rsid w:val="003535FD"/>
    <w:rsid w:val="00354B0B"/>
    <w:rsid w:val="003569D7"/>
    <w:rsid w:val="0035724E"/>
    <w:rsid w:val="0035774A"/>
    <w:rsid w:val="003600D7"/>
    <w:rsid w:val="00371B34"/>
    <w:rsid w:val="003727C0"/>
    <w:rsid w:val="00382D66"/>
    <w:rsid w:val="00383155"/>
    <w:rsid w:val="00383805"/>
    <w:rsid w:val="003839BE"/>
    <w:rsid w:val="00384C92"/>
    <w:rsid w:val="0038667A"/>
    <w:rsid w:val="00393154"/>
    <w:rsid w:val="00396C81"/>
    <w:rsid w:val="003A2588"/>
    <w:rsid w:val="003A4507"/>
    <w:rsid w:val="003B031A"/>
    <w:rsid w:val="003B2156"/>
    <w:rsid w:val="003B24E8"/>
    <w:rsid w:val="003B2A9F"/>
    <w:rsid w:val="003B308A"/>
    <w:rsid w:val="003B320C"/>
    <w:rsid w:val="003B6CF1"/>
    <w:rsid w:val="003B7B18"/>
    <w:rsid w:val="003C1D2F"/>
    <w:rsid w:val="003C5635"/>
    <w:rsid w:val="003C5EB3"/>
    <w:rsid w:val="003D67CC"/>
    <w:rsid w:val="003D7EE1"/>
    <w:rsid w:val="003E2612"/>
    <w:rsid w:val="003E2D46"/>
    <w:rsid w:val="003E2E4D"/>
    <w:rsid w:val="003E3239"/>
    <w:rsid w:val="003E3E9A"/>
    <w:rsid w:val="003E6775"/>
    <w:rsid w:val="003E79C3"/>
    <w:rsid w:val="003F142B"/>
    <w:rsid w:val="003F17E7"/>
    <w:rsid w:val="003F53BF"/>
    <w:rsid w:val="003F5EA8"/>
    <w:rsid w:val="003F6105"/>
    <w:rsid w:val="003F7352"/>
    <w:rsid w:val="00400650"/>
    <w:rsid w:val="00403907"/>
    <w:rsid w:val="004071C4"/>
    <w:rsid w:val="004079C5"/>
    <w:rsid w:val="004107BD"/>
    <w:rsid w:val="00410CCA"/>
    <w:rsid w:val="00411380"/>
    <w:rsid w:val="00412B7B"/>
    <w:rsid w:val="004130EE"/>
    <w:rsid w:val="0041472E"/>
    <w:rsid w:val="0041693D"/>
    <w:rsid w:val="004174C4"/>
    <w:rsid w:val="00424119"/>
    <w:rsid w:val="004243B7"/>
    <w:rsid w:val="00441297"/>
    <w:rsid w:val="0044456A"/>
    <w:rsid w:val="00445117"/>
    <w:rsid w:val="00450468"/>
    <w:rsid w:val="00453B85"/>
    <w:rsid w:val="00454793"/>
    <w:rsid w:val="00455DD0"/>
    <w:rsid w:val="00464D0E"/>
    <w:rsid w:val="004675BC"/>
    <w:rsid w:val="00467ABF"/>
    <w:rsid w:val="00476790"/>
    <w:rsid w:val="00481167"/>
    <w:rsid w:val="00482DDD"/>
    <w:rsid w:val="00491B39"/>
    <w:rsid w:val="004948EA"/>
    <w:rsid w:val="004A1FCD"/>
    <w:rsid w:val="004A65F6"/>
    <w:rsid w:val="004B01E9"/>
    <w:rsid w:val="004B0F6E"/>
    <w:rsid w:val="004B0F98"/>
    <w:rsid w:val="004B3A3F"/>
    <w:rsid w:val="004B56E3"/>
    <w:rsid w:val="004B6173"/>
    <w:rsid w:val="004C13CE"/>
    <w:rsid w:val="004C28FC"/>
    <w:rsid w:val="004C3ED6"/>
    <w:rsid w:val="004C7A44"/>
    <w:rsid w:val="004D21A2"/>
    <w:rsid w:val="004D5D9A"/>
    <w:rsid w:val="004E3A1E"/>
    <w:rsid w:val="004E47E3"/>
    <w:rsid w:val="004E4DBE"/>
    <w:rsid w:val="004E63FF"/>
    <w:rsid w:val="00502A1E"/>
    <w:rsid w:val="0050668B"/>
    <w:rsid w:val="00507005"/>
    <w:rsid w:val="00511C92"/>
    <w:rsid w:val="005136DD"/>
    <w:rsid w:val="00516507"/>
    <w:rsid w:val="005221EF"/>
    <w:rsid w:val="005223FB"/>
    <w:rsid w:val="0052291D"/>
    <w:rsid w:val="0052356E"/>
    <w:rsid w:val="00524C17"/>
    <w:rsid w:val="005273B7"/>
    <w:rsid w:val="005310BA"/>
    <w:rsid w:val="0053306D"/>
    <w:rsid w:val="00537660"/>
    <w:rsid w:val="005402FE"/>
    <w:rsid w:val="005471A0"/>
    <w:rsid w:val="0054730A"/>
    <w:rsid w:val="00553A5A"/>
    <w:rsid w:val="005553E6"/>
    <w:rsid w:val="005577A5"/>
    <w:rsid w:val="005601C4"/>
    <w:rsid w:val="0057431E"/>
    <w:rsid w:val="00577345"/>
    <w:rsid w:val="005875C4"/>
    <w:rsid w:val="005875EE"/>
    <w:rsid w:val="00591BC8"/>
    <w:rsid w:val="00595F00"/>
    <w:rsid w:val="0059611F"/>
    <w:rsid w:val="005A075F"/>
    <w:rsid w:val="005A21C1"/>
    <w:rsid w:val="005A3C82"/>
    <w:rsid w:val="005A5FBA"/>
    <w:rsid w:val="005A69F1"/>
    <w:rsid w:val="005A7A7F"/>
    <w:rsid w:val="005B0F58"/>
    <w:rsid w:val="005B31B9"/>
    <w:rsid w:val="005B6EF4"/>
    <w:rsid w:val="005C0007"/>
    <w:rsid w:val="005C0912"/>
    <w:rsid w:val="005C0CB5"/>
    <w:rsid w:val="005C3013"/>
    <w:rsid w:val="005C5313"/>
    <w:rsid w:val="005C5734"/>
    <w:rsid w:val="005C69D4"/>
    <w:rsid w:val="005D043F"/>
    <w:rsid w:val="005D0B4E"/>
    <w:rsid w:val="005D4D42"/>
    <w:rsid w:val="005D7B80"/>
    <w:rsid w:val="005E00FA"/>
    <w:rsid w:val="005E1580"/>
    <w:rsid w:val="005E5CCC"/>
    <w:rsid w:val="005F1C1D"/>
    <w:rsid w:val="005F4260"/>
    <w:rsid w:val="005F7601"/>
    <w:rsid w:val="00601E6A"/>
    <w:rsid w:val="00604366"/>
    <w:rsid w:val="006049B9"/>
    <w:rsid w:val="00604A62"/>
    <w:rsid w:val="00605243"/>
    <w:rsid w:val="006056A0"/>
    <w:rsid w:val="00610E83"/>
    <w:rsid w:val="00612A69"/>
    <w:rsid w:val="006136A4"/>
    <w:rsid w:val="00613EE8"/>
    <w:rsid w:val="00617A4A"/>
    <w:rsid w:val="00622F37"/>
    <w:rsid w:val="00623669"/>
    <w:rsid w:val="00623A90"/>
    <w:rsid w:val="00632D4C"/>
    <w:rsid w:val="0063497D"/>
    <w:rsid w:val="00645170"/>
    <w:rsid w:val="00645189"/>
    <w:rsid w:val="006467E1"/>
    <w:rsid w:val="006555DA"/>
    <w:rsid w:val="0065560D"/>
    <w:rsid w:val="00656050"/>
    <w:rsid w:val="006607E5"/>
    <w:rsid w:val="00661303"/>
    <w:rsid w:val="0066478B"/>
    <w:rsid w:val="006655E4"/>
    <w:rsid w:val="006658FB"/>
    <w:rsid w:val="00670CDD"/>
    <w:rsid w:val="00681150"/>
    <w:rsid w:val="0068429D"/>
    <w:rsid w:val="006848B3"/>
    <w:rsid w:val="00687D58"/>
    <w:rsid w:val="00687F97"/>
    <w:rsid w:val="00691F66"/>
    <w:rsid w:val="00693F9E"/>
    <w:rsid w:val="006A1812"/>
    <w:rsid w:val="006A20A8"/>
    <w:rsid w:val="006A515E"/>
    <w:rsid w:val="006B0BEE"/>
    <w:rsid w:val="006C2CD7"/>
    <w:rsid w:val="006C58D7"/>
    <w:rsid w:val="006D23EF"/>
    <w:rsid w:val="006D40C1"/>
    <w:rsid w:val="006D7594"/>
    <w:rsid w:val="006E2CCB"/>
    <w:rsid w:val="006E4617"/>
    <w:rsid w:val="006E51B8"/>
    <w:rsid w:val="006E5BED"/>
    <w:rsid w:val="006F23CE"/>
    <w:rsid w:val="006F495F"/>
    <w:rsid w:val="006F658D"/>
    <w:rsid w:val="006F76A4"/>
    <w:rsid w:val="006F7C9A"/>
    <w:rsid w:val="007017DC"/>
    <w:rsid w:val="007020AA"/>
    <w:rsid w:val="0070752F"/>
    <w:rsid w:val="0071192D"/>
    <w:rsid w:val="007122D8"/>
    <w:rsid w:val="00712A5B"/>
    <w:rsid w:val="00712F1E"/>
    <w:rsid w:val="00715C49"/>
    <w:rsid w:val="007172B0"/>
    <w:rsid w:val="007241EC"/>
    <w:rsid w:val="00727B73"/>
    <w:rsid w:val="00735D7A"/>
    <w:rsid w:val="007400D1"/>
    <w:rsid w:val="007423BE"/>
    <w:rsid w:val="00742DC4"/>
    <w:rsid w:val="00743DA1"/>
    <w:rsid w:val="00750BED"/>
    <w:rsid w:val="00751664"/>
    <w:rsid w:val="007535C9"/>
    <w:rsid w:val="00760783"/>
    <w:rsid w:val="00760CB5"/>
    <w:rsid w:val="00761352"/>
    <w:rsid w:val="007663CA"/>
    <w:rsid w:val="0077415B"/>
    <w:rsid w:val="00777D77"/>
    <w:rsid w:val="00781444"/>
    <w:rsid w:val="0078144F"/>
    <w:rsid w:val="007814A6"/>
    <w:rsid w:val="00781958"/>
    <w:rsid w:val="007830A5"/>
    <w:rsid w:val="00785471"/>
    <w:rsid w:val="007930D2"/>
    <w:rsid w:val="007939E0"/>
    <w:rsid w:val="007940A9"/>
    <w:rsid w:val="00794488"/>
    <w:rsid w:val="00795044"/>
    <w:rsid w:val="007A19CA"/>
    <w:rsid w:val="007A33DF"/>
    <w:rsid w:val="007A4140"/>
    <w:rsid w:val="007A497F"/>
    <w:rsid w:val="007B3F14"/>
    <w:rsid w:val="007C029C"/>
    <w:rsid w:val="007C24E7"/>
    <w:rsid w:val="007C28E1"/>
    <w:rsid w:val="007C5DCD"/>
    <w:rsid w:val="007C5ECD"/>
    <w:rsid w:val="007D0048"/>
    <w:rsid w:val="007D2FC3"/>
    <w:rsid w:val="007D62CF"/>
    <w:rsid w:val="007D6904"/>
    <w:rsid w:val="007E35C6"/>
    <w:rsid w:val="007F6CF4"/>
    <w:rsid w:val="008028C1"/>
    <w:rsid w:val="00805ABE"/>
    <w:rsid w:val="00811425"/>
    <w:rsid w:val="008117B9"/>
    <w:rsid w:val="00811BE0"/>
    <w:rsid w:val="00811DB2"/>
    <w:rsid w:val="0081354E"/>
    <w:rsid w:val="00814687"/>
    <w:rsid w:val="00815A0C"/>
    <w:rsid w:val="008163F3"/>
    <w:rsid w:val="00816AC0"/>
    <w:rsid w:val="00817AB4"/>
    <w:rsid w:val="008219BF"/>
    <w:rsid w:val="008222A5"/>
    <w:rsid w:val="00823A13"/>
    <w:rsid w:val="008266B6"/>
    <w:rsid w:val="008271CC"/>
    <w:rsid w:val="0083040B"/>
    <w:rsid w:val="00830D6A"/>
    <w:rsid w:val="0083198F"/>
    <w:rsid w:val="00832443"/>
    <w:rsid w:val="008367C8"/>
    <w:rsid w:val="008375B4"/>
    <w:rsid w:val="00837E14"/>
    <w:rsid w:val="00845FFD"/>
    <w:rsid w:val="0085207E"/>
    <w:rsid w:val="00856151"/>
    <w:rsid w:val="00857F68"/>
    <w:rsid w:val="00866DFE"/>
    <w:rsid w:val="008771A4"/>
    <w:rsid w:val="0088013A"/>
    <w:rsid w:val="0088022F"/>
    <w:rsid w:val="00880D58"/>
    <w:rsid w:val="008862FB"/>
    <w:rsid w:val="00887876"/>
    <w:rsid w:val="00887BBC"/>
    <w:rsid w:val="00895BA8"/>
    <w:rsid w:val="008A131A"/>
    <w:rsid w:val="008A238E"/>
    <w:rsid w:val="008A4D07"/>
    <w:rsid w:val="008A5CD0"/>
    <w:rsid w:val="008B7AF0"/>
    <w:rsid w:val="008C3E5D"/>
    <w:rsid w:val="008C3FCC"/>
    <w:rsid w:val="008C6F07"/>
    <w:rsid w:val="008C734E"/>
    <w:rsid w:val="008D10A5"/>
    <w:rsid w:val="008D42EE"/>
    <w:rsid w:val="008E0181"/>
    <w:rsid w:val="008E0681"/>
    <w:rsid w:val="008E55C0"/>
    <w:rsid w:val="008E5C17"/>
    <w:rsid w:val="008E6D23"/>
    <w:rsid w:val="008E7F40"/>
    <w:rsid w:val="008F7254"/>
    <w:rsid w:val="009016F3"/>
    <w:rsid w:val="0090419B"/>
    <w:rsid w:val="009069CF"/>
    <w:rsid w:val="00910F14"/>
    <w:rsid w:val="00911B08"/>
    <w:rsid w:val="00911EA3"/>
    <w:rsid w:val="0091548B"/>
    <w:rsid w:val="00915AAB"/>
    <w:rsid w:val="00917263"/>
    <w:rsid w:val="009172BD"/>
    <w:rsid w:val="0092206C"/>
    <w:rsid w:val="009246BF"/>
    <w:rsid w:val="00941A17"/>
    <w:rsid w:val="009514FC"/>
    <w:rsid w:val="00952759"/>
    <w:rsid w:val="00952EAA"/>
    <w:rsid w:val="009571C0"/>
    <w:rsid w:val="009575CF"/>
    <w:rsid w:val="009608C7"/>
    <w:rsid w:val="00962962"/>
    <w:rsid w:val="00965970"/>
    <w:rsid w:val="009735AA"/>
    <w:rsid w:val="00973F6C"/>
    <w:rsid w:val="00974E90"/>
    <w:rsid w:val="00975751"/>
    <w:rsid w:val="0098125B"/>
    <w:rsid w:val="009844C5"/>
    <w:rsid w:val="00984EB0"/>
    <w:rsid w:val="009922F5"/>
    <w:rsid w:val="009A1B03"/>
    <w:rsid w:val="009B34DE"/>
    <w:rsid w:val="009B410D"/>
    <w:rsid w:val="009B4CAF"/>
    <w:rsid w:val="009B6639"/>
    <w:rsid w:val="009C117B"/>
    <w:rsid w:val="009C39C3"/>
    <w:rsid w:val="009C7658"/>
    <w:rsid w:val="009D0B91"/>
    <w:rsid w:val="009D100D"/>
    <w:rsid w:val="009D3C03"/>
    <w:rsid w:val="009D4A5A"/>
    <w:rsid w:val="009D5515"/>
    <w:rsid w:val="009D5764"/>
    <w:rsid w:val="009E02EC"/>
    <w:rsid w:val="009E05DF"/>
    <w:rsid w:val="009F42F2"/>
    <w:rsid w:val="00A005DB"/>
    <w:rsid w:val="00A0122C"/>
    <w:rsid w:val="00A04C9B"/>
    <w:rsid w:val="00A05EEC"/>
    <w:rsid w:val="00A0614C"/>
    <w:rsid w:val="00A12557"/>
    <w:rsid w:val="00A13DFD"/>
    <w:rsid w:val="00A14EB8"/>
    <w:rsid w:val="00A17265"/>
    <w:rsid w:val="00A17C7B"/>
    <w:rsid w:val="00A22662"/>
    <w:rsid w:val="00A23804"/>
    <w:rsid w:val="00A26151"/>
    <w:rsid w:val="00A30C1C"/>
    <w:rsid w:val="00A31354"/>
    <w:rsid w:val="00A31D9A"/>
    <w:rsid w:val="00A31E68"/>
    <w:rsid w:val="00A34BB2"/>
    <w:rsid w:val="00A34D00"/>
    <w:rsid w:val="00A369AA"/>
    <w:rsid w:val="00A46B2D"/>
    <w:rsid w:val="00A46B96"/>
    <w:rsid w:val="00A54CBF"/>
    <w:rsid w:val="00A55936"/>
    <w:rsid w:val="00A611DD"/>
    <w:rsid w:val="00A62D28"/>
    <w:rsid w:val="00A655EE"/>
    <w:rsid w:val="00A7060A"/>
    <w:rsid w:val="00A80798"/>
    <w:rsid w:val="00A81C1C"/>
    <w:rsid w:val="00A8272E"/>
    <w:rsid w:val="00A8375F"/>
    <w:rsid w:val="00A86175"/>
    <w:rsid w:val="00A86964"/>
    <w:rsid w:val="00A8707F"/>
    <w:rsid w:val="00A947B2"/>
    <w:rsid w:val="00A95001"/>
    <w:rsid w:val="00A954F8"/>
    <w:rsid w:val="00AA205F"/>
    <w:rsid w:val="00AA4960"/>
    <w:rsid w:val="00AA5984"/>
    <w:rsid w:val="00AB587B"/>
    <w:rsid w:val="00AB6F18"/>
    <w:rsid w:val="00AC69AF"/>
    <w:rsid w:val="00AC6EAA"/>
    <w:rsid w:val="00AD7298"/>
    <w:rsid w:val="00AD7682"/>
    <w:rsid w:val="00AE1250"/>
    <w:rsid w:val="00AE2309"/>
    <w:rsid w:val="00AE57E6"/>
    <w:rsid w:val="00AF0F78"/>
    <w:rsid w:val="00AF25D9"/>
    <w:rsid w:val="00AF40A2"/>
    <w:rsid w:val="00B007A7"/>
    <w:rsid w:val="00B010BE"/>
    <w:rsid w:val="00B04ADB"/>
    <w:rsid w:val="00B07092"/>
    <w:rsid w:val="00B1371F"/>
    <w:rsid w:val="00B17E01"/>
    <w:rsid w:val="00B22454"/>
    <w:rsid w:val="00B237AE"/>
    <w:rsid w:val="00B24B09"/>
    <w:rsid w:val="00B448F7"/>
    <w:rsid w:val="00B5017C"/>
    <w:rsid w:val="00B53A30"/>
    <w:rsid w:val="00B57C96"/>
    <w:rsid w:val="00B60DAF"/>
    <w:rsid w:val="00B62723"/>
    <w:rsid w:val="00B64ED8"/>
    <w:rsid w:val="00B80077"/>
    <w:rsid w:val="00B81CE4"/>
    <w:rsid w:val="00B835AA"/>
    <w:rsid w:val="00B85428"/>
    <w:rsid w:val="00B92247"/>
    <w:rsid w:val="00B92E45"/>
    <w:rsid w:val="00BA192A"/>
    <w:rsid w:val="00BA268A"/>
    <w:rsid w:val="00BB1F4F"/>
    <w:rsid w:val="00BB2724"/>
    <w:rsid w:val="00BB30BF"/>
    <w:rsid w:val="00BC1D78"/>
    <w:rsid w:val="00BC2279"/>
    <w:rsid w:val="00BC5BB6"/>
    <w:rsid w:val="00BC63D8"/>
    <w:rsid w:val="00BD1453"/>
    <w:rsid w:val="00BD3020"/>
    <w:rsid w:val="00BD3CB5"/>
    <w:rsid w:val="00BD5DAF"/>
    <w:rsid w:val="00BD6D93"/>
    <w:rsid w:val="00BE13B7"/>
    <w:rsid w:val="00BE4FAF"/>
    <w:rsid w:val="00BF03D6"/>
    <w:rsid w:val="00BF0EEA"/>
    <w:rsid w:val="00BF74CB"/>
    <w:rsid w:val="00C00823"/>
    <w:rsid w:val="00C04062"/>
    <w:rsid w:val="00C068C6"/>
    <w:rsid w:val="00C1292D"/>
    <w:rsid w:val="00C16041"/>
    <w:rsid w:val="00C169AC"/>
    <w:rsid w:val="00C17327"/>
    <w:rsid w:val="00C20860"/>
    <w:rsid w:val="00C215C7"/>
    <w:rsid w:val="00C22148"/>
    <w:rsid w:val="00C2247F"/>
    <w:rsid w:val="00C32384"/>
    <w:rsid w:val="00C329C8"/>
    <w:rsid w:val="00C34D2A"/>
    <w:rsid w:val="00C35691"/>
    <w:rsid w:val="00C377A9"/>
    <w:rsid w:val="00C41088"/>
    <w:rsid w:val="00C46DAC"/>
    <w:rsid w:val="00C47580"/>
    <w:rsid w:val="00C5372B"/>
    <w:rsid w:val="00C549EB"/>
    <w:rsid w:val="00C619B8"/>
    <w:rsid w:val="00C620ED"/>
    <w:rsid w:val="00C62A10"/>
    <w:rsid w:val="00C65DE0"/>
    <w:rsid w:val="00C66820"/>
    <w:rsid w:val="00C66F31"/>
    <w:rsid w:val="00C70791"/>
    <w:rsid w:val="00C73BC9"/>
    <w:rsid w:val="00C779E4"/>
    <w:rsid w:val="00C77E80"/>
    <w:rsid w:val="00C80706"/>
    <w:rsid w:val="00C81C98"/>
    <w:rsid w:val="00C83D8F"/>
    <w:rsid w:val="00C85931"/>
    <w:rsid w:val="00C86B17"/>
    <w:rsid w:val="00C9081A"/>
    <w:rsid w:val="00C9546C"/>
    <w:rsid w:val="00CA0A1C"/>
    <w:rsid w:val="00CA0E77"/>
    <w:rsid w:val="00CA6959"/>
    <w:rsid w:val="00CB0D13"/>
    <w:rsid w:val="00CB253D"/>
    <w:rsid w:val="00CB6BBE"/>
    <w:rsid w:val="00CB78BB"/>
    <w:rsid w:val="00CC3E7E"/>
    <w:rsid w:val="00CD0EDD"/>
    <w:rsid w:val="00CD1987"/>
    <w:rsid w:val="00CD4575"/>
    <w:rsid w:val="00CE1BB4"/>
    <w:rsid w:val="00CF26C9"/>
    <w:rsid w:val="00CF67A8"/>
    <w:rsid w:val="00CF6C19"/>
    <w:rsid w:val="00CF7CA9"/>
    <w:rsid w:val="00D03136"/>
    <w:rsid w:val="00D100BF"/>
    <w:rsid w:val="00D101AD"/>
    <w:rsid w:val="00D105D9"/>
    <w:rsid w:val="00D14CF1"/>
    <w:rsid w:val="00D15DE6"/>
    <w:rsid w:val="00D21F68"/>
    <w:rsid w:val="00D22575"/>
    <w:rsid w:val="00D2330B"/>
    <w:rsid w:val="00D25329"/>
    <w:rsid w:val="00D25911"/>
    <w:rsid w:val="00D26EAA"/>
    <w:rsid w:val="00D27D56"/>
    <w:rsid w:val="00D33A3E"/>
    <w:rsid w:val="00D33DF7"/>
    <w:rsid w:val="00D460E3"/>
    <w:rsid w:val="00D50A7A"/>
    <w:rsid w:val="00D559B8"/>
    <w:rsid w:val="00D57259"/>
    <w:rsid w:val="00D57E20"/>
    <w:rsid w:val="00D6456D"/>
    <w:rsid w:val="00D677D7"/>
    <w:rsid w:val="00D679F7"/>
    <w:rsid w:val="00D705D9"/>
    <w:rsid w:val="00D71247"/>
    <w:rsid w:val="00D7587D"/>
    <w:rsid w:val="00D8686C"/>
    <w:rsid w:val="00D86E67"/>
    <w:rsid w:val="00D86FDB"/>
    <w:rsid w:val="00D90E08"/>
    <w:rsid w:val="00D92DF8"/>
    <w:rsid w:val="00D92E92"/>
    <w:rsid w:val="00D93947"/>
    <w:rsid w:val="00D951D7"/>
    <w:rsid w:val="00D9549F"/>
    <w:rsid w:val="00DA0A6B"/>
    <w:rsid w:val="00DA0C43"/>
    <w:rsid w:val="00DB07D0"/>
    <w:rsid w:val="00DB188F"/>
    <w:rsid w:val="00DB2557"/>
    <w:rsid w:val="00DB25E4"/>
    <w:rsid w:val="00DB46FC"/>
    <w:rsid w:val="00DC11F3"/>
    <w:rsid w:val="00DC1715"/>
    <w:rsid w:val="00DC333C"/>
    <w:rsid w:val="00DC5800"/>
    <w:rsid w:val="00DC625F"/>
    <w:rsid w:val="00DD3AE6"/>
    <w:rsid w:val="00DD4A7D"/>
    <w:rsid w:val="00DD5774"/>
    <w:rsid w:val="00DE465A"/>
    <w:rsid w:val="00DE647D"/>
    <w:rsid w:val="00DF1852"/>
    <w:rsid w:val="00DF37E1"/>
    <w:rsid w:val="00DF6251"/>
    <w:rsid w:val="00DF70BE"/>
    <w:rsid w:val="00E01481"/>
    <w:rsid w:val="00E06490"/>
    <w:rsid w:val="00E12702"/>
    <w:rsid w:val="00E13AC7"/>
    <w:rsid w:val="00E1786B"/>
    <w:rsid w:val="00E246A2"/>
    <w:rsid w:val="00E247D5"/>
    <w:rsid w:val="00E266E8"/>
    <w:rsid w:val="00E33B74"/>
    <w:rsid w:val="00E34853"/>
    <w:rsid w:val="00E36CF9"/>
    <w:rsid w:val="00E40101"/>
    <w:rsid w:val="00E40858"/>
    <w:rsid w:val="00E51A36"/>
    <w:rsid w:val="00E52514"/>
    <w:rsid w:val="00E53E46"/>
    <w:rsid w:val="00E56160"/>
    <w:rsid w:val="00E6147C"/>
    <w:rsid w:val="00E652A7"/>
    <w:rsid w:val="00E70F89"/>
    <w:rsid w:val="00E77556"/>
    <w:rsid w:val="00E81BC3"/>
    <w:rsid w:val="00E9009D"/>
    <w:rsid w:val="00E9050E"/>
    <w:rsid w:val="00E94C6D"/>
    <w:rsid w:val="00E955D9"/>
    <w:rsid w:val="00E96DFD"/>
    <w:rsid w:val="00EA17F7"/>
    <w:rsid w:val="00EA6B72"/>
    <w:rsid w:val="00EB021F"/>
    <w:rsid w:val="00EB452D"/>
    <w:rsid w:val="00EB4D00"/>
    <w:rsid w:val="00EB568A"/>
    <w:rsid w:val="00EB60FB"/>
    <w:rsid w:val="00EB67C8"/>
    <w:rsid w:val="00EC2F84"/>
    <w:rsid w:val="00EC4C87"/>
    <w:rsid w:val="00EC755A"/>
    <w:rsid w:val="00ED1AB6"/>
    <w:rsid w:val="00ED7FD2"/>
    <w:rsid w:val="00EE3541"/>
    <w:rsid w:val="00EE3C0F"/>
    <w:rsid w:val="00EE3D14"/>
    <w:rsid w:val="00EE5B5E"/>
    <w:rsid w:val="00EE7849"/>
    <w:rsid w:val="00EF004D"/>
    <w:rsid w:val="00EF3631"/>
    <w:rsid w:val="00EF599C"/>
    <w:rsid w:val="00EF61DD"/>
    <w:rsid w:val="00EF6825"/>
    <w:rsid w:val="00EF7085"/>
    <w:rsid w:val="00EF76C7"/>
    <w:rsid w:val="00F03EE9"/>
    <w:rsid w:val="00F04063"/>
    <w:rsid w:val="00F15F1B"/>
    <w:rsid w:val="00F163D1"/>
    <w:rsid w:val="00F164DF"/>
    <w:rsid w:val="00F16612"/>
    <w:rsid w:val="00F171E7"/>
    <w:rsid w:val="00F20DF8"/>
    <w:rsid w:val="00F23FB6"/>
    <w:rsid w:val="00F25C7E"/>
    <w:rsid w:val="00F26CED"/>
    <w:rsid w:val="00F309D9"/>
    <w:rsid w:val="00F355E8"/>
    <w:rsid w:val="00F40D96"/>
    <w:rsid w:val="00F42D75"/>
    <w:rsid w:val="00F5051C"/>
    <w:rsid w:val="00F53AFF"/>
    <w:rsid w:val="00F55D85"/>
    <w:rsid w:val="00F6110F"/>
    <w:rsid w:val="00F62A56"/>
    <w:rsid w:val="00F65431"/>
    <w:rsid w:val="00F65602"/>
    <w:rsid w:val="00F65E92"/>
    <w:rsid w:val="00F74ADC"/>
    <w:rsid w:val="00F765E8"/>
    <w:rsid w:val="00F7660B"/>
    <w:rsid w:val="00F83E78"/>
    <w:rsid w:val="00F8404C"/>
    <w:rsid w:val="00F84EE9"/>
    <w:rsid w:val="00F85682"/>
    <w:rsid w:val="00F86BFE"/>
    <w:rsid w:val="00F872B7"/>
    <w:rsid w:val="00F949B2"/>
    <w:rsid w:val="00F95381"/>
    <w:rsid w:val="00F96E13"/>
    <w:rsid w:val="00FA6852"/>
    <w:rsid w:val="00FA6F9C"/>
    <w:rsid w:val="00FB047B"/>
    <w:rsid w:val="00FB09CF"/>
    <w:rsid w:val="00FB1D84"/>
    <w:rsid w:val="00FB262B"/>
    <w:rsid w:val="00FC35C9"/>
    <w:rsid w:val="00FC5485"/>
    <w:rsid w:val="00FD429F"/>
    <w:rsid w:val="00FD5D53"/>
    <w:rsid w:val="00FE1375"/>
    <w:rsid w:val="00FE409A"/>
    <w:rsid w:val="00FE480D"/>
    <w:rsid w:val="00FE7E90"/>
    <w:rsid w:val="00FF1229"/>
    <w:rsid w:val="00FF151A"/>
    <w:rsid w:val="00FF429B"/>
    <w:rsid w:val="00FF6534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92D18E-2821-4848-8E1A-2C56A94A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52291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B2557"/>
    <w:rPr>
      <w:b/>
      <w:bCs/>
    </w:rPr>
  </w:style>
  <w:style w:type="paragraph" w:styleId="NormalWeb">
    <w:name w:val="Normal (Web)"/>
    <w:basedOn w:val="Normal"/>
    <w:uiPriority w:val="99"/>
    <w:unhideWhenUsed/>
    <w:rsid w:val="0010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77D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C5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5485"/>
  </w:style>
  <w:style w:type="paragraph" w:styleId="Footer">
    <w:name w:val="footer"/>
    <w:basedOn w:val="Normal"/>
    <w:link w:val="FooterChar"/>
    <w:uiPriority w:val="99"/>
    <w:semiHidden/>
    <w:unhideWhenUsed/>
    <w:rsid w:val="00FC5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5485"/>
  </w:style>
  <w:style w:type="paragraph" w:customStyle="1" w:styleId="norm">
    <w:name w:val="norm"/>
    <w:basedOn w:val="Normal"/>
    <w:link w:val="normChar"/>
    <w:rsid w:val="00C8070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C80706"/>
  </w:style>
  <w:style w:type="paragraph" w:styleId="BalloonText">
    <w:name w:val="Balloon Text"/>
    <w:basedOn w:val="Normal"/>
    <w:link w:val="BalloonTextChar"/>
    <w:uiPriority w:val="99"/>
    <w:semiHidden/>
    <w:unhideWhenUsed/>
    <w:rsid w:val="005D0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43F"/>
    <w:rPr>
      <w:rFonts w:ascii="Tahoma" w:hAnsi="Tahoma" w:cs="Tahoma"/>
      <w:sz w:val="16"/>
      <w:szCs w:val="16"/>
    </w:rPr>
  </w:style>
  <w:style w:type="paragraph" w:customStyle="1" w:styleId="DefaultParagraphFontParaChar">
    <w:name w:val="Default Paragraph Font Para Char"/>
    <w:basedOn w:val="Normal"/>
    <w:locked/>
    <w:rsid w:val="005D043F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styleId="NoSpacing">
    <w:name w:val="No Spacing"/>
    <w:link w:val="NoSpacingChar"/>
    <w:qFormat/>
    <w:rsid w:val="00A46B9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customStyle="1" w:styleId="NoSpacingChar">
    <w:name w:val="No Spacing Char"/>
    <w:link w:val="NoSpacing"/>
    <w:locked/>
    <w:rsid w:val="00A46B96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AC69A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54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9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9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9EB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76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76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76B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25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25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25D9"/>
    <w:rPr>
      <w:vertAlign w:val="superscript"/>
    </w:rPr>
  </w:style>
  <w:style w:type="character" w:customStyle="1" w:styleId="normChar">
    <w:name w:val="norm Char"/>
    <w:link w:val="norm"/>
    <w:locked/>
    <w:rsid w:val="00645170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85095-46B3-4C65-8391-3BF01E4A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834</Words>
  <Characters>6411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keywords>https://mul2-taxservice.gov.am/tasks/3672099/oneclick?token=752a81e1158e7db6fe3a2d2678418da3</cp:keywords>
  <cp:lastModifiedBy>Marine Amirkhanyan</cp:lastModifiedBy>
  <cp:revision>54</cp:revision>
  <cp:lastPrinted>2021-09-22T06:36:00Z</cp:lastPrinted>
  <dcterms:created xsi:type="dcterms:W3CDTF">2024-12-26T06:01:00Z</dcterms:created>
  <dcterms:modified xsi:type="dcterms:W3CDTF">2025-07-03T13:44:00Z</dcterms:modified>
</cp:coreProperties>
</file>