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FA11" w14:textId="7F852615" w:rsidR="001D54B7" w:rsidRPr="001D54B7" w:rsidRDefault="001D54B7" w:rsidP="001D54B7">
      <w:pPr>
        <w:spacing w:after="0" w:line="240" w:lineRule="auto"/>
        <w:jc w:val="center"/>
        <w:rPr>
          <w:rFonts w:ascii="GHEA Grapalat" w:hAnsi="GHEA Grapalat"/>
          <w:i/>
          <w:iCs/>
        </w:rPr>
      </w:pPr>
      <w:r w:rsidRPr="001D54B7">
        <w:rPr>
          <w:rFonts w:ascii="GHEA Grapalat" w:hAnsi="GHEA Grapalat" w:cs="Sylfaen"/>
          <w:b/>
          <w:bCs/>
          <w:sz w:val="26"/>
          <w:szCs w:val="26"/>
        </w:rPr>
        <w:t>ՀԻՄՆԱՎՈՐՈՒՄ</w:t>
      </w:r>
      <w:r w:rsidRPr="001D54B7">
        <w:rPr>
          <w:rFonts w:ascii="GHEA Grapalat" w:hAnsi="GHEA Grapalat"/>
          <w:sz w:val="26"/>
          <w:szCs w:val="26"/>
        </w:rPr>
        <w:br/>
      </w:r>
      <w:r w:rsidRPr="001D54B7">
        <w:rPr>
          <w:rFonts w:ascii="GHEA Grapalat" w:hAnsi="GHEA Grapalat"/>
          <w:b/>
          <w:bCs/>
          <w:i/>
          <w:iCs/>
        </w:rPr>
        <w:t>«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Հայաստանի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Հանրապետության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հանրային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ծառայությունները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կարգավորող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հանձնաժողովի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20</w:t>
      </w:r>
      <w:r>
        <w:rPr>
          <w:rFonts w:ascii="GHEA Grapalat" w:hAnsi="GHEA Grapalat"/>
          <w:b/>
          <w:bCs/>
          <w:i/>
          <w:iCs/>
        </w:rPr>
        <w:t>23</w:t>
      </w:r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թվականի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>
        <w:rPr>
          <w:rFonts w:ascii="GHEA Grapalat" w:hAnsi="GHEA Grapalat" w:cs="Sylfaen"/>
          <w:b/>
          <w:bCs/>
          <w:i/>
          <w:iCs/>
        </w:rPr>
        <w:t>փետրվար</w:t>
      </w:r>
      <w:r w:rsidRPr="001D54B7">
        <w:rPr>
          <w:rFonts w:ascii="GHEA Grapalat" w:hAnsi="GHEA Grapalat" w:cs="Sylfaen"/>
          <w:b/>
          <w:bCs/>
          <w:i/>
          <w:iCs/>
        </w:rPr>
        <w:t>ի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r>
        <w:rPr>
          <w:rFonts w:ascii="GHEA Grapalat" w:hAnsi="GHEA Grapalat"/>
          <w:b/>
          <w:bCs/>
          <w:i/>
          <w:iCs/>
        </w:rPr>
        <w:t>1</w:t>
      </w:r>
      <w:r w:rsidRPr="001D54B7">
        <w:rPr>
          <w:rFonts w:ascii="GHEA Grapalat" w:hAnsi="GHEA Grapalat"/>
          <w:b/>
          <w:bCs/>
          <w:i/>
          <w:iCs/>
        </w:rPr>
        <w:t>-</w:t>
      </w:r>
      <w:r w:rsidRPr="001D54B7">
        <w:rPr>
          <w:rFonts w:ascii="GHEA Grapalat" w:hAnsi="GHEA Grapalat" w:cs="Sylfaen"/>
          <w:b/>
          <w:bCs/>
          <w:i/>
          <w:iCs/>
        </w:rPr>
        <w:t>ի</w:t>
      </w:r>
      <w:r w:rsidRPr="001D54B7">
        <w:rPr>
          <w:rFonts w:ascii="GHEA Grapalat" w:hAnsi="GHEA Grapalat"/>
          <w:b/>
          <w:bCs/>
          <w:i/>
          <w:iCs/>
        </w:rPr>
        <w:t xml:space="preserve"> №</w:t>
      </w:r>
      <w:r>
        <w:rPr>
          <w:rFonts w:ascii="GHEA Grapalat" w:hAnsi="GHEA Grapalat"/>
          <w:b/>
          <w:bCs/>
          <w:i/>
          <w:iCs/>
        </w:rPr>
        <w:t>32</w:t>
      </w:r>
      <w:r w:rsidRPr="001D54B7">
        <w:rPr>
          <w:rFonts w:ascii="GHEA Grapalat" w:hAnsi="GHEA Grapalat"/>
          <w:b/>
          <w:bCs/>
          <w:i/>
          <w:iCs/>
        </w:rPr>
        <w:t>-</w:t>
      </w:r>
      <w:r w:rsidRPr="001D54B7">
        <w:rPr>
          <w:rFonts w:ascii="GHEA Grapalat" w:hAnsi="GHEA Grapalat" w:cs="Sylfaen"/>
          <w:b/>
          <w:bCs/>
          <w:i/>
          <w:iCs/>
        </w:rPr>
        <w:t>Ն</w:t>
      </w:r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որոշման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մեջ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լրացումներ</w:t>
      </w:r>
      <w:proofErr w:type="spellEnd"/>
      <w:r>
        <w:rPr>
          <w:rFonts w:ascii="GHEA Grapalat" w:hAnsi="GHEA Grapalat" w:cs="Sylfaen"/>
          <w:b/>
          <w:bCs/>
          <w:i/>
          <w:iCs/>
        </w:rPr>
        <w:t xml:space="preserve"> և </w:t>
      </w:r>
      <w:proofErr w:type="spellStart"/>
      <w:r>
        <w:rPr>
          <w:rFonts w:ascii="GHEA Grapalat" w:hAnsi="GHEA Grapalat" w:cs="Sylfaen"/>
          <w:b/>
          <w:bCs/>
          <w:i/>
          <w:iCs/>
        </w:rPr>
        <w:t>փոփոխություն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կատարելու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մասին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»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որոշ</w:t>
      </w:r>
      <w:r>
        <w:rPr>
          <w:rFonts w:ascii="GHEA Grapalat" w:hAnsi="GHEA Grapalat" w:cs="Sylfaen"/>
          <w:b/>
          <w:bCs/>
          <w:i/>
          <w:iCs/>
        </w:rPr>
        <w:t>ման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նախագծի</w:t>
      </w:r>
      <w:proofErr w:type="spellEnd"/>
      <w:r w:rsidRPr="001D54B7">
        <w:rPr>
          <w:rFonts w:ascii="GHEA Grapalat" w:hAnsi="GHEA Grapalat"/>
          <w:b/>
          <w:bCs/>
          <w:i/>
          <w:iCs/>
        </w:rPr>
        <w:t xml:space="preserve"> </w:t>
      </w:r>
      <w:proofErr w:type="spellStart"/>
      <w:r w:rsidRPr="001D54B7">
        <w:rPr>
          <w:rFonts w:ascii="GHEA Grapalat" w:hAnsi="GHEA Grapalat" w:cs="Sylfaen"/>
          <w:b/>
          <w:bCs/>
          <w:i/>
          <w:iCs/>
        </w:rPr>
        <w:t>վերաբերյալ</w:t>
      </w:r>
      <w:proofErr w:type="spellEnd"/>
    </w:p>
    <w:p w14:paraId="47AC9E72" w14:textId="44476849" w:rsidR="001D54B7" w:rsidRDefault="001D54B7" w:rsidP="001D54B7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14:paraId="39F346CE" w14:textId="0B549A35" w:rsidR="001D54B7" w:rsidRPr="00DE274D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pacing w:val="-4"/>
        </w:rPr>
      </w:pPr>
      <w:r w:rsidRPr="00DE274D">
        <w:rPr>
          <w:rFonts w:ascii="GHEA Grapalat" w:hAnsi="GHEA Grapalat"/>
          <w:b/>
          <w:bCs/>
          <w:spacing w:val="-4"/>
        </w:rPr>
        <w:t xml:space="preserve">1. </w:t>
      </w:r>
      <w:proofErr w:type="spellStart"/>
      <w:r w:rsidRPr="00DE274D">
        <w:rPr>
          <w:rFonts w:ascii="GHEA Grapalat" w:hAnsi="GHEA Grapalat"/>
          <w:b/>
          <w:bCs/>
          <w:spacing w:val="-4"/>
        </w:rPr>
        <w:t>Ընթացիկ</w:t>
      </w:r>
      <w:proofErr w:type="spellEnd"/>
      <w:r w:rsidRPr="00DE274D">
        <w:rPr>
          <w:rFonts w:ascii="GHEA Grapalat" w:hAnsi="GHEA Grapalat"/>
          <w:b/>
          <w:bCs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b/>
          <w:bCs/>
          <w:spacing w:val="-4"/>
        </w:rPr>
        <w:t>իրավիճակը</w:t>
      </w:r>
      <w:proofErr w:type="spellEnd"/>
      <w:r w:rsidRPr="00DE274D">
        <w:rPr>
          <w:rFonts w:ascii="GHEA Grapalat" w:hAnsi="GHEA Grapalat"/>
          <w:b/>
          <w:bCs/>
          <w:spacing w:val="-4"/>
        </w:rPr>
        <w:t xml:space="preserve">, </w:t>
      </w:r>
      <w:proofErr w:type="spellStart"/>
      <w:r w:rsidRPr="00DE274D">
        <w:rPr>
          <w:rFonts w:ascii="GHEA Grapalat" w:hAnsi="GHEA Grapalat"/>
          <w:b/>
          <w:bCs/>
          <w:spacing w:val="-4"/>
        </w:rPr>
        <w:t>խնդիրները</w:t>
      </w:r>
      <w:proofErr w:type="spellEnd"/>
      <w:r w:rsidRPr="00DE274D">
        <w:rPr>
          <w:rFonts w:ascii="GHEA Grapalat" w:hAnsi="GHEA Grapalat"/>
          <w:b/>
          <w:bCs/>
          <w:spacing w:val="-4"/>
        </w:rPr>
        <w:t xml:space="preserve"> և </w:t>
      </w:r>
      <w:proofErr w:type="spellStart"/>
      <w:r w:rsidRPr="00DE274D">
        <w:rPr>
          <w:rFonts w:ascii="GHEA Grapalat" w:hAnsi="GHEA Grapalat"/>
          <w:b/>
          <w:bCs/>
          <w:spacing w:val="-4"/>
        </w:rPr>
        <w:t>անհրաժեշտությունը</w:t>
      </w:r>
      <w:proofErr w:type="spellEnd"/>
    </w:p>
    <w:p w14:paraId="23F0D921" w14:textId="77777777" w:rsidR="00315BF3" w:rsidRPr="00DE274D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</w:rPr>
      </w:pPr>
      <w:r w:rsidRPr="00DE274D">
        <w:rPr>
          <w:rFonts w:ascii="GHEA Grapalat" w:hAnsi="GHEA Grapalat"/>
          <w:spacing w:val="-4"/>
        </w:rPr>
        <w:t xml:space="preserve">ՀՀ </w:t>
      </w:r>
      <w:proofErr w:type="spellStart"/>
      <w:r w:rsidRPr="00DE274D">
        <w:rPr>
          <w:rFonts w:ascii="GHEA Grapalat" w:hAnsi="GHEA Grapalat"/>
          <w:spacing w:val="-4"/>
        </w:rPr>
        <w:t>հանրային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ծառայությունները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կարգավորող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հանձնաժողովի</w:t>
      </w:r>
      <w:proofErr w:type="spellEnd"/>
      <w:r w:rsidRPr="00DE274D">
        <w:rPr>
          <w:rFonts w:ascii="GHEA Grapalat" w:hAnsi="GHEA Grapalat"/>
          <w:spacing w:val="-4"/>
        </w:rPr>
        <w:t xml:space="preserve"> 2023 </w:t>
      </w:r>
      <w:proofErr w:type="spellStart"/>
      <w:r w:rsidRPr="00DE274D">
        <w:rPr>
          <w:rFonts w:ascii="GHEA Grapalat" w:hAnsi="GHEA Grapalat"/>
          <w:spacing w:val="-4"/>
        </w:rPr>
        <w:t>թվականի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փետրվարի</w:t>
      </w:r>
      <w:proofErr w:type="spellEnd"/>
      <w:r w:rsidRPr="00DE274D">
        <w:rPr>
          <w:rFonts w:ascii="GHEA Grapalat" w:hAnsi="GHEA Grapalat"/>
          <w:spacing w:val="-4"/>
        </w:rPr>
        <w:t xml:space="preserve"> 1-ի №32-Ն </w:t>
      </w:r>
      <w:proofErr w:type="spellStart"/>
      <w:r w:rsidRPr="00DE274D">
        <w:rPr>
          <w:rFonts w:ascii="GHEA Grapalat" w:hAnsi="GHEA Grapalat"/>
          <w:spacing w:val="-4"/>
        </w:rPr>
        <w:t>որոշմամբ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հաստատված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գազամատակարարման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համակարգում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կարգավորվող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սակագների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հաշվարկման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մեթոդիկայով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ներդրվել</w:t>
      </w:r>
      <w:proofErr w:type="spellEnd"/>
      <w:r w:rsidRPr="00DE274D">
        <w:rPr>
          <w:rFonts w:ascii="GHEA Grapalat" w:hAnsi="GHEA Grapalat"/>
          <w:spacing w:val="-4"/>
        </w:rPr>
        <w:t xml:space="preserve"> է 10-ամյա </w:t>
      </w:r>
      <w:proofErr w:type="spellStart"/>
      <w:r w:rsidRPr="00DE274D">
        <w:rPr>
          <w:rFonts w:ascii="GHEA Grapalat" w:hAnsi="GHEA Grapalat"/>
          <w:spacing w:val="-4"/>
        </w:rPr>
        <w:t>խթանիչ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սակագնային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քաղաքականություն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` </w:t>
      </w:r>
      <w:proofErr w:type="spellStart"/>
      <w:r w:rsidR="00315BF3" w:rsidRPr="00DE274D">
        <w:rPr>
          <w:rFonts w:ascii="GHEA Grapalat" w:hAnsi="GHEA Grapalat"/>
          <w:spacing w:val="-4"/>
        </w:rPr>
        <w:t>երկու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="00315BF3" w:rsidRPr="00DE274D">
        <w:rPr>
          <w:rFonts w:ascii="GHEA Grapalat" w:hAnsi="GHEA Grapalat"/>
          <w:spacing w:val="-4"/>
        </w:rPr>
        <w:t>փուլերով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, </w:t>
      </w:r>
      <w:proofErr w:type="spellStart"/>
      <w:r w:rsidR="00315BF3" w:rsidRPr="00DE274D">
        <w:rPr>
          <w:rFonts w:ascii="GHEA Grapalat" w:hAnsi="GHEA Grapalat"/>
          <w:spacing w:val="-4"/>
        </w:rPr>
        <w:t>համաձայն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որի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կարգավորման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յուրաքանչյուր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ժամանակահատվածի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համար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ամրագրվել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են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գազամատակարարման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համակարգում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կորուստների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, </w:t>
      </w:r>
      <w:proofErr w:type="spellStart"/>
      <w:r w:rsidR="00315BF3" w:rsidRPr="00DE274D">
        <w:rPr>
          <w:rFonts w:ascii="GHEA Grapalat" w:hAnsi="GHEA Grapalat"/>
          <w:spacing w:val="-4"/>
        </w:rPr>
        <w:t>աշխատողների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թվաքանակի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, </w:t>
      </w:r>
      <w:proofErr w:type="spellStart"/>
      <w:r w:rsidR="00315BF3" w:rsidRPr="00DE274D">
        <w:rPr>
          <w:rFonts w:ascii="GHEA Grapalat" w:hAnsi="GHEA Grapalat"/>
          <w:spacing w:val="-4"/>
        </w:rPr>
        <w:t>նորոգման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և </w:t>
      </w:r>
      <w:proofErr w:type="spellStart"/>
      <w:r w:rsidR="00315BF3" w:rsidRPr="00DE274D">
        <w:rPr>
          <w:rFonts w:ascii="GHEA Grapalat" w:hAnsi="GHEA Grapalat"/>
          <w:spacing w:val="-4"/>
        </w:rPr>
        <w:t>նյութական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ծախսերի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, </w:t>
      </w:r>
      <w:proofErr w:type="spellStart"/>
      <w:r w:rsidR="00315BF3" w:rsidRPr="00DE274D">
        <w:rPr>
          <w:rFonts w:ascii="GHEA Grapalat" w:hAnsi="GHEA Grapalat"/>
          <w:spacing w:val="-4"/>
        </w:rPr>
        <w:t>շահագործման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և </w:t>
      </w:r>
      <w:proofErr w:type="spellStart"/>
      <w:r w:rsidR="00315BF3" w:rsidRPr="00DE274D">
        <w:rPr>
          <w:rFonts w:ascii="GHEA Grapalat" w:hAnsi="GHEA Grapalat"/>
          <w:spacing w:val="-4"/>
        </w:rPr>
        <w:t>պահպանման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այլ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ծախսերի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մեծությունները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՝ </w:t>
      </w:r>
      <w:proofErr w:type="spellStart"/>
      <w:r w:rsidR="00315BF3" w:rsidRPr="00DE274D">
        <w:rPr>
          <w:rFonts w:ascii="GHEA Grapalat" w:hAnsi="GHEA Grapalat"/>
          <w:spacing w:val="-4"/>
        </w:rPr>
        <w:t>տվյալ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ժամանակահատվածի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ավարտին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նախատեսելով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դրանց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օպտիմալացման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թիրախային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 </w:t>
      </w:r>
      <w:proofErr w:type="spellStart"/>
      <w:r w:rsidR="00315BF3" w:rsidRPr="00DE274D">
        <w:rPr>
          <w:rFonts w:ascii="GHEA Grapalat" w:hAnsi="GHEA Grapalat"/>
          <w:spacing w:val="-4"/>
        </w:rPr>
        <w:t>ցուցանիշները</w:t>
      </w:r>
      <w:proofErr w:type="spellEnd"/>
      <w:r w:rsidR="00315BF3" w:rsidRPr="00DE274D">
        <w:rPr>
          <w:rFonts w:ascii="GHEA Grapalat" w:hAnsi="GHEA Grapalat"/>
          <w:spacing w:val="-4"/>
        </w:rPr>
        <w:t xml:space="preserve">։ </w:t>
      </w:r>
      <w:proofErr w:type="spellStart"/>
      <w:r w:rsidR="00315BF3" w:rsidRPr="00DE274D">
        <w:rPr>
          <w:rFonts w:ascii="GHEA Grapalat" w:hAnsi="GHEA Grapalat"/>
          <w:spacing w:val="-4"/>
        </w:rPr>
        <w:t>Մասնավորապես</w:t>
      </w:r>
      <w:proofErr w:type="spellEnd"/>
      <w:r w:rsidR="00315BF3" w:rsidRPr="00DE274D">
        <w:rPr>
          <w:rFonts w:ascii="GHEA Grapalat" w:hAnsi="GHEA Grapalat"/>
          <w:spacing w:val="-4"/>
        </w:rPr>
        <w:t>՝</w:t>
      </w:r>
    </w:p>
    <w:p w14:paraId="7D10D54F" w14:textId="2F067E95" w:rsidR="00315BF3" w:rsidRPr="00DE274D" w:rsidRDefault="00315BF3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</w:rPr>
      </w:pPr>
      <w:r w:rsidRPr="00DE274D">
        <w:rPr>
          <w:rFonts w:ascii="GHEA Grapalat" w:hAnsi="GHEA Grapalat"/>
          <w:spacing w:val="-4"/>
        </w:rPr>
        <w:t xml:space="preserve">1)  </w:t>
      </w:r>
      <w:proofErr w:type="spellStart"/>
      <w:r w:rsidRPr="00DE274D">
        <w:rPr>
          <w:rFonts w:ascii="GHEA Grapalat" w:hAnsi="GHEA Grapalat"/>
          <w:spacing w:val="-4"/>
        </w:rPr>
        <w:t>կորուստներն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ամրագրվել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են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ներկրվող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գազի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ծավալի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նկատմամբ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տոկոսային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արտահայտությամբ</w:t>
      </w:r>
      <w:proofErr w:type="spellEnd"/>
      <w:r w:rsidRPr="00DE274D">
        <w:rPr>
          <w:rFonts w:ascii="GHEA Grapalat" w:eastAsia="MS Mincho" w:hAnsi="GHEA Grapalat" w:cs="MS Mincho"/>
          <w:spacing w:val="-4"/>
        </w:rPr>
        <w:t>.</w:t>
      </w:r>
      <w:r w:rsidRPr="00DE274D">
        <w:rPr>
          <w:rFonts w:ascii="MS Mincho" w:eastAsia="MS Mincho" w:hAnsi="MS Mincho" w:cs="MS Mincho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առաջին</w:t>
      </w:r>
      <w:proofErr w:type="spellEnd"/>
      <w:r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Pr="00DE274D">
        <w:rPr>
          <w:rFonts w:ascii="GHEA Grapalat" w:hAnsi="GHEA Grapalat"/>
          <w:spacing w:val="-4"/>
        </w:rPr>
        <w:t>ժամանակահատված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համար</w:t>
      </w:r>
      <w:proofErr w:type="spellEnd"/>
      <w:r w:rsidRPr="00DE274D">
        <w:rPr>
          <w:rFonts w:ascii="GHEA Grapalat" w:hAnsi="GHEA Grapalat"/>
          <w:spacing w:val="-4"/>
        </w:rPr>
        <w:t xml:space="preserve">` 5.07%, </w:t>
      </w:r>
      <w:proofErr w:type="spellStart"/>
      <w:r w:rsidRPr="00DE274D">
        <w:rPr>
          <w:rFonts w:ascii="GHEA Grapalat" w:hAnsi="GHEA Grapalat"/>
          <w:spacing w:val="-4"/>
        </w:rPr>
        <w:t>երկրորդ</w:t>
      </w:r>
      <w:proofErr w:type="spellEnd"/>
      <w:r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Pr="00DE274D">
        <w:rPr>
          <w:rFonts w:ascii="GHEA Grapalat" w:hAnsi="GHEA Grapalat"/>
          <w:spacing w:val="-4"/>
        </w:rPr>
        <w:t>ժամանակահատված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համար</w:t>
      </w:r>
      <w:proofErr w:type="spellEnd"/>
      <w:r w:rsidRPr="00DE274D">
        <w:rPr>
          <w:rFonts w:ascii="GHEA Grapalat" w:hAnsi="GHEA Grapalat"/>
          <w:spacing w:val="-4"/>
        </w:rPr>
        <w:t xml:space="preserve">՝ 3.9% </w:t>
      </w:r>
      <w:r w:rsidRPr="00DE274D">
        <w:rPr>
          <w:rFonts w:ascii="GHEA Grapalat" w:hAnsi="GHEA Grapalat"/>
          <w:spacing w:val="-4"/>
          <w:lang w:val="hy-AM"/>
        </w:rPr>
        <w:t xml:space="preserve">և դրա ավարտից հետո՝ </w:t>
      </w:r>
      <w:r w:rsidRPr="00DE274D">
        <w:rPr>
          <w:rFonts w:ascii="GHEA Grapalat" w:hAnsi="GHEA Grapalat"/>
          <w:spacing w:val="-4"/>
        </w:rPr>
        <w:t xml:space="preserve">3.4%: </w:t>
      </w:r>
      <w:proofErr w:type="spellStart"/>
      <w:r w:rsidRPr="00DE274D">
        <w:rPr>
          <w:rFonts w:ascii="GHEA Grapalat" w:hAnsi="GHEA Grapalat"/>
          <w:spacing w:val="-4"/>
        </w:rPr>
        <w:t>Ընդ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որում</w:t>
      </w:r>
      <w:proofErr w:type="spellEnd"/>
      <w:r w:rsidRPr="00DE274D">
        <w:rPr>
          <w:rFonts w:ascii="GHEA Grapalat" w:hAnsi="GHEA Grapalat"/>
          <w:spacing w:val="-4"/>
        </w:rPr>
        <w:t xml:space="preserve">, </w:t>
      </w:r>
      <w:proofErr w:type="spellStart"/>
      <w:r w:rsidRPr="00DE274D">
        <w:rPr>
          <w:rFonts w:ascii="GHEA Grapalat" w:hAnsi="GHEA Grapalat"/>
          <w:spacing w:val="-4"/>
        </w:rPr>
        <w:t>նշված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տոկոսային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մեծություններն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ամրագրելիս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հաշվի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էր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առնվել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բնական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գազի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="006933B9" w:rsidRPr="00DE274D">
        <w:rPr>
          <w:rFonts w:ascii="GHEA Grapalat" w:hAnsi="GHEA Grapalat"/>
          <w:spacing w:val="-4"/>
        </w:rPr>
        <w:t>ներկր</w:t>
      </w:r>
      <w:r w:rsidRPr="00DE274D">
        <w:rPr>
          <w:rFonts w:ascii="GHEA Grapalat" w:hAnsi="GHEA Grapalat"/>
          <w:spacing w:val="-4"/>
        </w:rPr>
        <w:t>ման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ծավալների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="006933B9" w:rsidRPr="00DE274D">
        <w:rPr>
          <w:rFonts w:ascii="GHEA Grapalat" w:hAnsi="GHEA Grapalat"/>
          <w:spacing w:val="-4"/>
        </w:rPr>
        <w:t>կանխատեսվող</w:t>
      </w:r>
      <w:proofErr w:type="spellEnd"/>
      <w:r w:rsidR="006933B9"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աճի</w:t>
      </w:r>
      <w:proofErr w:type="spellEnd"/>
      <w:r w:rsidRPr="00DE274D">
        <w:rPr>
          <w:rFonts w:ascii="GHEA Grapalat" w:hAnsi="GHEA Grapalat"/>
          <w:spacing w:val="-4"/>
        </w:rPr>
        <w:t xml:space="preserve"> </w:t>
      </w:r>
      <w:proofErr w:type="spellStart"/>
      <w:r w:rsidRPr="00DE274D">
        <w:rPr>
          <w:rFonts w:ascii="GHEA Grapalat" w:hAnsi="GHEA Grapalat"/>
          <w:spacing w:val="-4"/>
        </w:rPr>
        <w:t>դինամիկան</w:t>
      </w:r>
      <w:proofErr w:type="spellEnd"/>
      <w:r w:rsidR="006933B9" w:rsidRPr="00DE274D">
        <w:rPr>
          <w:rFonts w:ascii="GHEA Grapalat" w:hAnsi="GHEA Grapalat"/>
          <w:spacing w:val="-4"/>
        </w:rPr>
        <w:t xml:space="preserve">։ </w:t>
      </w:r>
      <w:proofErr w:type="spellStart"/>
      <w:r w:rsidR="00631D78" w:rsidRPr="00DE274D">
        <w:rPr>
          <w:rFonts w:ascii="GHEA Grapalat" w:hAnsi="GHEA Grapalat"/>
          <w:spacing w:val="-4"/>
        </w:rPr>
        <w:t>Սակայն</w:t>
      </w:r>
      <w:proofErr w:type="spellEnd"/>
      <w:r w:rsidR="00631D78" w:rsidRPr="00DE274D">
        <w:rPr>
          <w:rFonts w:ascii="GHEA Grapalat" w:hAnsi="GHEA Grapalat"/>
          <w:spacing w:val="-4"/>
        </w:rPr>
        <w:t xml:space="preserve">, </w:t>
      </w:r>
      <w:proofErr w:type="spellStart"/>
      <w:r w:rsidR="00631D78" w:rsidRPr="00DE274D">
        <w:rPr>
          <w:rFonts w:ascii="GHEA Grapalat" w:hAnsi="GHEA Grapalat"/>
          <w:spacing w:val="-4"/>
        </w:rPr>
        <w:t>վերջին</w:t>
      </w:r>
      <w:proofErr w:type="spellEnd"/>
      <w:r w:rsidR="00631D78" w:rsidRPr="00DE274D">
        <w:rPr>
          <w:rFonts w:ascii="GHEA Grapalat" w:hAnsi="GHEA Grapalat"/>
          <w:spacing w:val="-4"/>
        </w:rPr>
        <w:t xml:space="preserve"> </w:t>
      </w:r>
      <w:proofErr w:type="spellStart"/>
      <w:r w:rsidR="00631D78" w:rsidRPr="00DE274D">
        <w:rPr>
          <w:rFonts w:ascii="GHEA Grapalat" w:hAnsi="GHEA Grapalat"/>
          <w:spacing w:val="-4"/>
        </w:rPr>
        <w:t>տարիներին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նկատվում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է </w:t>
      </w:r>
      <w:proofErr w:type="spellStart"/>
      <w:r w:rsidR="00541313" w:rsidRPr="00DE274D">
        <w:rPr>
          <w:rFonts w:ascii="GHEA Grapalat" w:hAnsi="GHEA Grapalat"/>
          <w:spacing w:val="-4"/>
        </w:rPr>
        <w:t>հակառակ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տենդենցը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, </w:t>
      </w:r>
      <w:proofErr w:type="spellStart"/>
      <w:r w:rsidR="00541313" w:rsidRPr="00DE274D">
        <w:rPr>
          <w:rFonts w:ascii="GHEA Grapalat" w:hAnsi="GHEA Grapalat"/>
          <w:spacing w:val="-4"/>
        </w:rPr>
        <w:t>ինչը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հիմնականում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պայմանավորված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է </w:t>
      </w:r>
      <w:proofErr w:type="spellStart"/>
      <w:r w:rsidR="00541313" w:rsidRPr="00DE274D">
        <w:rPr>
          <w:rFonts w:ascii="GHEA Grapalat" w:hAnsi="GHEA Grapalat"/>
          <w:spacing w:val="-4"/>
        </w:rPr>
        <w:t>արևային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էներգետիկայի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զգալի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աճի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պայմաններում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ՋԷԿ-</w:t>
      </w:r>
      <w:proofErr w:type="spellStart"/>
      <w:r w:rsidR="00541313" w:rsidRPr="00DE274D">
        <w:rPr>
          <w:rFonts w:ascii="GHEA Grapalat" w:hAnsi="GHEA Grapalat"/>
          <w:spacing w:val="-4"/>
        </w:rPr>
        <w:t>երի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, </w:t>
      </w:r>
      <w:proofErr w:type="spellStart"/>
      <w:r w:rsidR="001971D4" w:rsidRPr="00DE274D">
        <w:rPr>
          <w:rFonts w:ascii="GHEA Grapalat" w:hAnsi="GHEA Grapalat"/>
          <w:spacing w:val="-4"/>
        </w:rPr>
        <w:t>ինչպես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նա</w:t>
      </w:r>
      <w:r w:rsidR="00D31ADB" w:rsidRPr="00DE274D">
        <w:rPr>
          <w:rFonts w:ascii="GHEA Grapalat" w:hAnsi="GHEA Grapalat"/>
          <w:spacing w:val="-4"/>
        </w:rPr>
        <w:t>և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ԱԳԼՃԿ-</w:t>
      </w:r>
      <w:proofErr w:type="spellStart"/>
      <w:r w:rsidR="00D31ADB" w:rsidRPr="00DE274D">
        <w:rPr>
          <w:rFonts w:ascii="GHEA Grapalat" w:hAnsi="GHEA Grapalat"/>
          <w:spacing w:val="-4"/>
        </w:rPr>
        <w:t>ների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կողմից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բնական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գազի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սպառման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ծավալների</w:t>
      </w:r>
      <w:proofErr w:type="spellEnd"/>
      <w:r w:rsidR="00541313" w:rsidRPr="00DE274D">
        <w:rPr>
          <w:rFonts w:ascii="GHEA Grapalat" w:hAnsi="GHEA Grapalat"/>
          <w:spacing w:val="-4"/>
        </w:rPr>
        <w:t xml:space="preserve"> </w:t>
      </w:r>
      <w:proofErr w:type="spellStart"/>
      <w:r w:rsidR="00541313" w:rsidRPr="00DE274D">
        <w:rPr>
          <w:rFonts w:ascii="GHEA Grapalat" w:hAnsi="GHEA Grapalat"/>
          <w:spacing w:val="-4"/>
        </w:rPr>
        <w:t>նվազմամբ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։ </w:t>
      </w:r>
      <w:proofErr w:type="spellStart"/>
      <w:r w:rsidR="00D31ADB" w:rsidRPr="00DE274D">
        <w:rPr>
          <w:rFonts w:ascii="GHEA Grapalat" w:hAnsi="GHEA Grapalat"/>
          <w:spacing w:val="-4"/>
        </w:rPr>
        <w:t>Այս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առնչությամբ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հարկ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է </w:t>
      </w:r>
      <w:proofErr w:type="spellStart"/>
      <w:r w:rsidR="00D31ADB" w:rsidRPr="00DE274D">
        <w:rPr>
          <w:rFonts w:ascii="GHEA Grapalat" w:hAnsi="GHEA Grapalat"/>
          <w:spacing w:val="-4"/>
        </w:rPr>
        <w:t>նաև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D31ADB" w:rsidRPr="00DE274D">
        <w:rPr>
          <w:rFonts w:ascii="GHEA Grapalat" w:hAnsi="GHEA Grapalat"/>
          <w:spacing w:val="-4"/>
        </w:rPr>
        <w:t>նշել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, </w:t>
      </w:r>
      <w:proofErr w:type="spellStart"/>
      <w:r w:rsidR="00D31ADB" w:rsidRPr="00DE274D">
        <w:rPr>
          <w:rFonts w:ascii="GHEA Grapalat" w:hAnsi="GHEA Grapalat"/>
          <w:spacing w:val="-4"/>
        </w:rPr>
        <w:t>որ</w:t>
      </w:r>
      <w:proofErr w:type="spellEnd"/>
      <w:r w:rsidR="00D31ADB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գազամատակարարման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համակարգում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տեղի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ունեցող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տեխնոլոգիական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անխուսափելի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կորուստները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հիմնականում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հաստատուն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մեծություններ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են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և </w:t>
      </w:r>
      <w:proofErr w:type="spellStart"/>
      <w:r w:rsidR="001971D4" w:rsidRPr="00DE274D">
        <w:rPr>
          <w:rFonts w:ascii="GHEA Grapalat" w:hAnsi="GHEA Grapalat"/>
          <w:spacing w:val="-4"/>
        </w:rPr>
        <w:t>կախված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են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համակարգի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տեխնիկական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վիճակից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, </w:t>
      </w:r>
      <w:proofErr w:type="spellStart"/>
      <w:r w:rsidR="001971D4" w:rsidRPr="00DE274D">
        <w:rPr>
          <w:rFonts w:ascii="GHEA Grapalat" w:hAnsi="GHEA Grapalat"/>
          <w:spacing w:val="-4"/>
        </w:rPr>
        <w:t>իսկ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սպառման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ծավալների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փոփոխությունը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էական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ազդեցություն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չի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ունենում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կորուստների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մեծության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վրա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։ </w:t>
      </w:r>
      <w:proofErr w:type="spellStart"/>
      <w:r w:rsidR="001971D4" w:rsidRPr="00DE274D">
        <w:rPr>
          <w:rFonts w:ascii="GHEA Grapalat" w:hAnsi="GHEA Grapalat"/>
          <w:spacing w:val="-4"/>
        </w:rPr>
        <w:t>Հետևաբար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, </w:t>
      </w:r>
      <w:proofErr w:type="spellStart"/>
      <w:r w:rsidR="001971D4" w:rsidRPr="00DE274D">
        <w:rPr>
          <w:rFonts w:ascii="GHEA Grapalat" w:hAnsi="GHEA Grapalat"/>
          <w:spacing w:val="-4"/>
        </w:rPr>
        <w:t>անհրաժեշտություն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է </w:t>
      </w:r>
      <w:proofErr w:type="spellStart"/>
      <w:r w:rsidR="001971D4" w:rsidRPr="00DE274D">
        <w:rPr>
          <w:rFonts w:ascii="GHEA Grapalat" w:hAnsi="GHEA Grapalat"/>
          <w:spacing w:val="-4"/>
        </w:rPr>
        <w:t>առաջացել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</w:t>
      </w:r>
      <w:proofErr w:type="spellStart"/>
      <w:r w:rsidR="001971D4" w:rsidRPr="00DE274D">
        <w:rPr>
          <w:rFonts w:ascii="GHEA Grapalat" w:hAnsi="GHEA Grapalat"/>
          <w:spacing w:val="-4"/>
        </w:rPr>
        <w:t>երկրորդ</w:t>
      </w:r>
      <w:proofErr w:type="spellEnd"/>
      <w:r w:rsidR="001971D4"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="001971D4" w:rsidRPr="00DE274D">
        <w:rPr>
          <w:rFonts w:ascii="GHEA Grapalat" w:hAnsi="GHEA Grapalat"/>
          <w:spacing w:val="-4"/>
        </w:rPr>
        <w:t>ժամանակահատվածի</w:t>
      </w:r>
      <w:r w:rsidR="00552F2A" w:rsidRPr="00DE274D">
        <w:rPr>
          <w:rFonts w:ascii="GHEA Grapalat" w:hAnsi="GHEA Grapalat"/>
          <w:spacing w:val="-4"/>
        </w:rPr>
        <w:t>ց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սկսած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կորուստների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թիրախային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մեծությունները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ամրագրել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ծավալային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մեծությամբ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՝ </w:t>
      </w:r>
      <w:proofErr w:type="spellStart"/>
      <w:r w:rsidR="00552F2A" w:rsidRPr="00DE274D">
        <w:rPr>
          <w:rFonts w:ascii="GHEA Grapalat" w:hAnsi="GHEA Grapalat"/>
          <w:spacing w:val="-4"/>
        </w:rPr>
        <w:t>ելնելով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r w:rsidR="009840C3">
        <w:rPr>
          <w:rFonts w:ascii="GHEA Grapalat" w:hAnsi="GHEA Grapalat"/>
          <w:spacing w:val="-4"/>
        </w:rPr>
        <w:t xml:space="preserve">2021-2024 </w:t>
      </w:r>
      <w:proofErr w:type="spellStart"/>
      <w:r w:rsidR="009840C3">
        <w:rPr>
          <w:rFonts w:ascii="GHEA Grapalat" w:hAnsi="GHEA Grapalat"/>
          <w:spacing w:val="-4"/>
        </w:rPr>
        <w:t>թվականների</w:t>
      </w:r>
      <w:proofErr w:type="spellEnd"/>
      <w:r w:rsidR="009840C3">
        <w:rPr>
          <w:rFonts w:ascii="GHEA Grapalat" w:hAnsi="GHEA Grapalat"/>
          <w:spacing w:val="-4"/>
        </w:rPr>
        <w:t xml:space="preserve"> </w:t>
      </w:r>
      <w:proofErr w:type="spellStart"/>
      <w:r w:rsidR="009840C3">
        <w:rPr>
          <w:rFonts w:ascii="GHEA Grapalat" w:hAnsi="GHEA Grapalat"/>
          <w:spacing w:val="-4"/>
        </w:rPr>
        <w:t>փաստացի</w:t>
      </w:r>
      <w:proofErr w:type="spellEnd"/>
      <w:r w:rsidR="009840C3">
        <w:rPr>
          <w:rFonts w:ascii="GHEA Grapalat" w:hAnsi="GHEA Grapalat"/>
          <w:spacing w:val="-4"/>
        </w:rPr>
        <w:t xml:space="preserve"> </w:t>
      </w:r>
      <w:proofErr w:type="spellStart"/>
      <w:r w:rsidR="009840C3">
        <w:rPr>
          <w:rFonts w:ascii="GHEA Grapalat" w:hAnsi="GHEA Grapalat"/>
          <w:spacing w:val="-4"/>
        </w:rPr>
        <w:t>միջին</w:t>
      </w:r>
      <w:proofErr w:type="spellEnd"/>
      <w:r w:rsidR="009840C3">
        <w:rPr>
          <w:rFonts w:ascii="GHEA Grapalat" w:hAnsi="GHEA Grapalat"/>
          <w:spacing w:val="-4"/>
        </w:rPr>
        <w:t xml:space="preserve"> </w:t>
      </w:r>
      <w:proofErr w:type="spellStart"/>
      <w:r w:rsidR="009840C3">
        <w:rPr>
          <w:rFonts w:ascii="GHEA Grapalat" w:hAnsi="GHEA Grapalat"/>
          <w:spacing w:val="-4"/>
        </w:rPr>
        <w:t>տարեկան</w:t>
      </w:r>
      <w:proofErr w:type="spellEnd"/>
      <w:r w:rsidR="009840C3">
        <w:rPr>
          <w:rFonts w:ascii="GHEA Grapalat" w:hAnsi="GHEA Grapalat"/>
          <w:spacing w:val="-4"/>
        </w:rPr>
        <w:t xml:space="preserve"> </w:t>
      </w:r>
      <w:proofErr w:type="spellStart"/>
      <w:r w:rsidR="009840C3">
        <w:rPr>
          <w:rFonts w:ascii="GHEA Grapalat" w:hAnsi="GHEA Grapalat"/>
          <w:spacing w:val="-4"/>
        </w:rPr>
        <w:t>մեծություններից</w:t>
      </w:r>
      <w:proofErr w:type="spellEnd"/>
      <w:r w:rsidR="009840C3">
        <w:rPr>
          <w:rFonts w:ascii="GHEA Grapalat" w:hAnsi="GHEA Grapalat"/>
          <w:spacing w:val="-4"/>
        </w:rPr>
        <w:t xml:space="preserve"> և </w:t>
      </w:r>
      <w:proofErr w:type="spellStart"/>
      <w:r w:rsidR="00552F2A" w:rsidRPr="00DE274D">
        <w:rPr>
          <w:rFonts w:ascii="GHEA Grapalat" w:hAnsi="GHEA Grapalat"/>
          <w:spacing w:val="-4"/>
        </w:rPr>
        <w:t>կորուստների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կրճատման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ուղղությամբ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իրականացվող</w:t>
      </w:r>
      <w:proofErr w:type="spellEnd"/>
      <w:r w:rsidR="00552F2A" w:rsidRPr="00DE274D">
        <w:rPr>
          <w:rFonts w:ascii="GHEA Grapalat" w:hAnsi="GHEA Grapalat"/>
          <w:spacing w:val="-4"/>
        </w:rPr>
        <w:t xml:space="preserve"> </w:t>
      </w:r>
      <w:proofErr w:type="spellStart"/>
      <w:r w:rsidR="00552F2A" w:rsidRPr="00DE274D">
        <w:rPr>
          <w:rFonts w:ascii="GHEA Grapalat" w:hAnsi="GHEA Grapalat"/>
          <w:spacing w:val="-4"/>
        </w:rPr>
        <w:t>ներդրումներից</w:t>
      </w:r>
      <w:proofErr w:type="spellEnd"/>
      <w:r w:rsidR="00552F2A" w:rsidRPr="00DE274D">
        <w:rPr>
          <w:rFonts w:ascii="GHEA Grapalat" w:hAnsi="GHEA Grapalat"/>
          <w:spacing w:val="-4"/>
        </w:rPr>
        <w:t>։</w:t>
      </w:r>
    </w:p>
    <w:p w14:paraId="02E2C3C5" w14:textId="140F6AEC" w:rsidR="00552F2A" w:rsidRPr="00DE274D" w:rsidRDefault="00552F2A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</w:rPr>
      </w:pPr>
      <w:r w:rsidRPr="00DE274D">
        <w:rPr>
          <w:rFonts w:ascii="GHEA Grapalat" w:hAnsi="GHEA Grapalat"/>
          <w:spacing w:val="-4"/>
          <w:lang w:val="hy-AM"/>
        </w:rPr>
        <w:lastRenderedPageBreak/>
        <w:t xml:space="preserve">2) </w:t>
      </w:r>
      <w:r w:rsidR="006B2F44" w:rsidRPr="00DE274D">
        <w:rPr>
          <w:rFonts w:ascii="GHEA Grapalat" w:hAnsi="GHEA Grapalat"/>
          <w:spacing w:val="-4"/>
          <w:lang w:val="hy-AM"/>
        </w:rPr>
        <w:t xml:space="preserve">աշխատողների թվաքանակը </w:t>
      </w:r>
      <w:proofErr w:type="spellStart"/>
      <w:r w:rsidR="00D448A3" w:rsidRPr="00DE274D">
        <w:rPr>
          <w:rFonts w:ascii="GHEA Grapalat" w:hAnsi="GHEA Grapalat"/>
          <w:spacing w:val="-4"/>
        </w:rPr>
        <w:t>առաջին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="00D448A3" w:rsidRPr="00DE274D">
        <w:rPr>
          <w:rFonts w:ascii="GHEA Grapalat" w:hAnsi="GHEA Grapalat"/>
          <w:spacing w:val="-4"/>
        </w:rPr>
        <w:t>ժամանակահատված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 </w:t>
      </w:r>
      <w:proofErr w:type="spellStart"/>
      <w:r w:rsidR="00D448A3" w:rsidRPr="00DE274D">
        <w:rPr>
          <w:rFonts w:ascii="GHEA Grapalat" w:hAnsi="GHEA Grapalat"/>
          <w:spacing w:val="-4"/>
        </w:rPr>
        <w:t>համար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 </w:t>
      </w:r>
      <w:proofErr w:type="spellStart"/>
      <w:r w:rsidR="00D448A3" w:rsidRPr="00DE274D">
        <w:rPr>
          <w:rFonts w:ascii="GHEA Grapalat" w:hAnsi="GHEA Grapalat"/>
          <w:spacing w:val="-4"/>
        </w:rPr>
        <w:t>ամրագրվել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 է </w:t>
      </w:r>
      <w:r w:rsidR="001C6740" w:rsidRPr="00DE274D">
        <w:rPr>
          <w:rFonts w:ascii="GHEA Grapalat" w:hAnsi="GHEA Grapalat"/>
          <w:spacing w:val="-4"/>
        </w:rPr>
        <w:t>5383 (</w:t>
      </w:r>
      <w:proofErr w:type="spellStart"/>
      <w:r w:rsidR="001C6740" w:rsidRPr="00DE274D">
        <w:rPr>
          <w:rFonts w:ascii="GHEA Grapalat" w:hAnsi="GHEA Grapalat"/>
          <w:spacing w:val="-4"/>
        </w:rPr>
        <w:t>Գազպրոմի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դեպքում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՝ 4601 և </w:t>
      </w:r>
      <w:proofErr w:type="spellStart"/>
      <w:r w:rsidR="001C6740" w:rsidRPr="00DE274D">
        <w:rPr>
          <w:rFonts w:ascii="GHEA Grapalat" w:hAnsi="GHEA Grapalat"/>
          <w:spacing w:val="-4"/>
        </w:rPr>
        <w:t>Տրանսգազի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դեպքում</w:t>
      </w:r>
      <w:proofErr w:type="spellEnd"/>
      <w:r w:rsidR="001C6740" w:rsidRPr="00DE274D">
        <w:rPr>
          <w:rFonts w:ascii="GHEA Grapalat" w:hAnsi="GHEA Grapalat"/>
          <w:spacing w:val="-4"/>
        </w:rPr>
        <w:t>՝ 782)</w:t>
      </w:r>
      <w:r w:rsidR="00D448A3" w:rsidRPr="00DE274D">
        <w:rPr>
          <w:rFonts w:ascii="GHEA Grapalat" w:hAnsi="GHEA Grapalat"/>
          <w:spacing w:val="-4"/>
        </w:rPr>
        <w:t xml:space="preserve">, </w:t>
      </w:r>
      <w:proofErr w:type="spellStart"/>
      <w:r w:rsidR="00D448A3" w:rsidRPr="00DE274D">
        <w:rPr>
          <w:rFonts w:ascii="GHEA Grapalat" w:hAnsi="GHEA Grapalat"/>
          <w:spacing w:val="-4"/>
        </w:rPr>
        <w:t>երկրորդ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="00D448A3" w:rsidRPr="00DE274D">
        <w:rPr>
          <w:rFonts w:ascii="GHEA Grapalat" w:hAnsi="GHEA Grapalat"/>
          <w:spacing w:val="-4"/>
        </w:rPr>
        <w:t>ժամանակահատված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 </w:t>
      </w:r>
      <w:proofErr w:type="spellStart"/>
      <w:r w:rsidR="00D448A3" w:rsidRPr="00DE274D">
        <w:rPr>
          <w:rFonts w:ascii="GHEA Grapalat" w:hAnsi="GHEA Grapalat"/>
          <w:spacing w:val="-4"/>
        </w:rPr>
        <w:t>համար</w:t>
      </w:r>
      <w:proofErr w:type="spellEnd"/>
      <w:r w:rsidR="00D448A3" w:rsidRPr="00DE274D">
        <w:rPr>
          <w:rFonts w:ascii="GHEA Grapalat" w:hAnsi="GHEA Grapalat"/>
          <w:spacing w:val="-4"/>
        </w:rPr>
        <w:t xml:space="preserve">՝ </w:t>
      </w:r>
      <w:r w:rsidR="001C6740" w:rsidRPr="00DE274D">
        <w:rPr>
          <w:rFonts w:ascii="GHEA Grapalat" w:hAnsi="GHEA Grapalat"/>
          <w:spacing w:val="-4"/>
        </w:rPr>
        <w:t>5083 (</w:t>
      </w:r>
      <w:proofErr w:type="spellStart"/>
      <w:r w:rsidR="001C6740" w:rsidRPr="00DE274D">
        <w:rPr>
          <w:rFonts w:ascii="GHEA Grapalat" w:hAnsi="GHEA Grapalat"/>
          <w:spacing w:val="-4"/>
        </w:rPr>
        <w:t>Գազպրոմի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դեպքում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՝ 4308 և </w:t>
      </w:r>
      <w:proofErr w:type="spellStart"/>
      <w:r w:rsidR="001C6740" w:rsidRPr="00DE274D">
        <w:rPr>
          <w:rFonts w:ascii="GHEA Grapalat" w:hAnsi="GHEA Grapalat"/>
          <w:spacing w:val="-4"/>
        </w:rPr>
        <w:t>Տրանսգազի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դեպքում</w:t>
      </w:r>
      <w:proofErr w:type="spellEnd"/>
      <w:r w:rsidR="001C6740" w:rsidRPr="00DE274D">
        <w:rPr>
          <w:rFonts w:ascii="GHEA Grapalat" w:hAnsi="GHEA Grapalat"/>
          <w:spacing w:val="-4"/>
        </w:rPr>
        <w:t>՝ 775)</w:t>
      </w:r>
      <w:r w:rsidR="00D448A3" w:rsidRPr="00DE274D">
        <w:rPr>
          <w:rFonts w:ascii="GHEA Grapalat" w:hAnsi="GHEA Grapalat"/>
          <w:spacing w:val="-4"/>
        </w:rPr>
        <w:t xml:space="preserve"> </w:t>
      </w:r>
      <w:r w:rsidR="00D448A3" w:rsidRPr="00DE274D">
        <w:rPr>
          <w:rFonts w:ascii="GHEA Grapalat" w:hAnsi="GHEA Grapalat"/>
          <w:spacing w:val="-4"/>
          <w:lang w:val="hy-AM"/>
        </w:rPr>
        <w:t xml:space="preserve">և դրա ավարտից հետո՝ </w:t>
      </w:r>
      <w:r w:rsidR="001C6740" w:rsidRPr="00DE274D">
        <w:rPr>
          <w:rFonts w:ascii="GHEA Grapalat" w:hAnsi="GHEA Grapalat"/>
          <w:spacing w:val="-4"/>
        </w:rPr>
        <w:t>4883 (</w:t>
      </w:r>
      <w:proofErr w:type="spellStart"/>
      <w:r w:rsidR="001C6740" w:rsidRPr="00DE274D">
        <w:rPr>
          <w:rFonts w:ascii="GHEA Grapalat" w:hAnsi="GHEA Grapalat"/>
          <w:spacing w:val="-4"/>
        </w:rPr>
        <w:t>Գազպրոմի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դեպքում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՝ 4113 և </w:t>
      </w:r>
      <w:proofErr w:type="spellStart"/>
      <w:r w:rsidR="001C6740" w:rsidRPr="00DE274D">
        <w:rPr>
          <w:rFonts w:ascii="GHEA Grapalat" w:hAnsi="GHEA Grapalat"/>
          <w:spacing w:val="-4"/>
        </w:rPr>
        <w:t>Տրանսգազի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դեպքում</w:t>
      </w:r>
      <w:proofErr w:type="spellEnd"/>
      <w:r w:rsidR="001C6740" w:rsidRPr="00DE274D">
        <w:rPr>
          <w:rFonts w:ascii="GHEA Grapalat" w:hAnsi="GHEA Grapalat"/>
          <w:spacing w:val="-4"/>
        </w:rPr>
        <w:t>՝ 770)</w:t>
      </w:r>
      <w:r w:rsidR="00D448A3" w:rsidRPr="00DE274D">
        <w:rPr>
          <w:rFonts w:ascii="GHEA Grapalat" w:hAnsi="GHEA Grapalat"/>
          <w:spacing w:val="-4"/>
        </w:rPr>
        <w:t>:</w:t>
      </w:r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Սակայն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, </w:t>
      </w:r>
      <w:proofErr w:type="spellStart"/>
      <w:r w:rsidR="001C6740" w:rsidRPr="00DE274D">
        <w:rPr>
          <w:rFonts w:ascii="GHEA Grapalat" w:hAnsi="GHEA Grapalat"/>
          <w:spacing w:val="-4"/>
        </w:rPr>
        <w:t>գազամատակարարման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ցանցի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ավելացմամբ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կամ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նվազմամբ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պայմանավորված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փոփոխվում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է </w:t>
      </w:r>
      <w:proofErr w:type="spellStart"/>
      <w:r w:rsidR="001C6740" w:rsidRPr="00DE274D">
        <w:rPr>
          <w:rFonts w:ascii="GHEA Grapalat" w:hAnsi="GHEA Grapalat"/>
          <w:spacing w:val="-4"/>
        </w:rPr>
        <w:t>համակարգը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սպասարկող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և </w:t>
      </w:r>
      <w:proofErr w:type="spellStart"/>
      <w:r w:rsidR="001C6740" w:rsidRPr="00DE274D">
        <w:rPr>
          <w:rFonts w:ascii="GHEA Grapalat" w:hAnsi="GHEA Grapalat"/>
          <w:spacing w:val="-4"/>
        </w:rPr>
        <w:t>նորոգող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անձնակազմի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անհրաժեշտ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քանակը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։ </w:t>
      </w:r>
      <w:proofErr w:type="spellStart"/>
      <w:r w:rsidR="001C6740" w:rsidRPr="00DE274D">
        <w:rPr>
          <w:rFonts w:ascii="GHEA Grapalat" w:hAnsi="GHEA Grapalat"/>
          <w:spacing w:val="-4"/>
        </w:rPr>
        <w:t>Հետևաբար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, </w:t>
      </w:r>
      <w:proofErr w:type="spellStart"/>
      <w:r w:rsidR="001C6740" w:rsidRPr="00DE274D">
        <w:rPr>
          <w:rFonts w:ascii="GHEA Grapalat" w:hAnsi="GHEA Grapalat"/>
          <w:spacing w:val="-4"/>
        </w:rPr>
        <w:t>անհրաժեշտություն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է </w:t>
      </w:r>
      <w:proofErr w:type="spellStart"/>
      <w:r w:rsidR="001C6740" w:rsidRPr="00DE274D">
        <w:rPr>
          <w:rFonts w:ascii="GHEA Grapalat" w:hAnsi="GHEA Grapalat"/>
          <w:spacing w:val="-4"/>
        </w:rPr>
        <w:t>առաջացել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կարգավորման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յուրաքանչյուր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փուլի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ավարտին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աշխատողների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թվաքանակի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թիրախային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մեծությունների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կրճատման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հետ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մեկտեղ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կատարել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նաև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բաշխիչ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ցանցի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երկարության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նախատեսվածից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ավել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աճով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կամ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նվազմամբ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պայմանավորված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աշխատողների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թվքանակի</w:t>
      </w:r>
      <w:proofErr w:type="spellEnd"/>
      <w:r w:rsidR="001C6740" w:rsidRPr="00DE274D">
        <w:rPr>
          <w:rFonts w:ascii="GHEA Grapalat" w:hAnsi="GHEA Grapalat"/>
          <w:spacing w:val="-4"/>
        </w:rPr>
        <w:t xml:space="preserve"> </w:t>
      </w:r>
      <w:proofErr w:type="spellStart"/>
      <w:r w:rsidR="001C6740" w:rsidRPr="00DE274D">
        <w:rPr>
          <w:rFonts w:ascii="GHEA Grapalat" w:hAnsi="GHEA Grapalat"/>
          <w:spacing w:val="-4"/>
        </w:rPr>
        <w:t>ճշգրտում</w:t>
      </w:r>
      <w:proofErr w:type="spellEnd"/>
      <w:r w:rsidR="001C6740" w:rsidRPr="00DE274D">
        <w:rPr>
          <w:rFonts w:ascii="GHEA Grapalat" w:hAnsi="GHEA Grapalat"/>
          <w:spacing w:val="-4"/>
        </w:rPr>
        <w:t>։</w:t>
      </w:r>
    </w:p>
    <w:p w14:paraId="58335058" w14:textId="21D6E719" w:rsidR="001C6740" w:rsidRPr="00DE274D" w:rsidRDefault="001C6740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DE274D">
        <w:rPr>
          <w:rFonts w:ascii="GHEA Grapalat" w:hAnsi="GHEA Grapalat"/>
          <w:spacing w:val="-4"/>
        </w:rPr>
        <w:t xml:space="preserve">3) </w:t>
      </w:r>
      <w:proofErr w:type="spellStart"/>
      <w:r w:rsidR="00A31436" w:rsidRPr="00DE274D">
        <w:rPr>
          <w:rFonts w:ascii="GHEA Grapalat" w:hAnsi="GHEA Grapalat"/>
          <w:spacing w:val="-4"/>
        </w:rPr>
        <w:t>կարգավորման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առաջին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5-ամյա </w:t>
      </w:r>
      <w:proofErr w:type="spellStart"/>
      <w:r w:rsidR="00A31436" w:rsidRPr="00DE274D">
        <w:rPr>
          <w:rFonts w:ascii="GHEA Grapalat" w:hAnsi="GHEA Grapalat"/>
          <w:spacing w:val="-4"/>
        </w:rPr>
        <w:t>ժամանակահատված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համար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գումարների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հավաքագրման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ծախսը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հաշվարկվել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էր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դրան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նախորդող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տարվա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բնակչության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սպառման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ծավալների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և </w:t>
      </w:r>
      <w:proofErr w:type="spellStart"/>
      <w:r w:rsidR="00A31436" w:rsidRPr="00DE274D">
        <w:rPr>
          <w:rFonts w:ascii="GHEA Grapalat" w:hAnsi="GHEA Grapalat"/>
          <w:spacing w:val="-4"/>
        </w:rPr>
        <w:t>այդ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պահին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գործող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սակագների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հիման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</w:t>
      </w:r>
      <w:proofErr w:type="spellStart"/>
      <w:r w:rsidR="00A31436" w:rsidRPr="00DE274D">
        <w:rPr>
          <w:rFonts w:ascii="GHEA Grapalat" w:hAnsi="GHEA Grapalat"/>
          <w:spacing w:val="-4"/>
        </w:rPr>
        <w:t>վրա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և </w:t>
      </w:r>
      <w:proofErr w:type="spellStart"/>
      <w:r w:rsidR="00A31436" w:rsidRPr="00DE274D">
        <w:rPr>
          <w:rFonts w:ascii="GHEA Grapalat" w:hAnsi="GHEA Grapalat"/>
          <w:spacing w:val="-4"/>
        </w:rPr>
        <w:t>ամրագրվել</w:t>
      </w:r>
      <w:proofErr w:type="spellEnd"/>
      <w:r w:rsidR="00A31436" w:rsidRPr="00DE274D">
        <w:rPr>
          <w:rFonts w:ascii="GHEA Grapalat" w:hAnsi="GHEA Grapalat"/>
          <w:spacing w:val="-4"/>
        </w:rPr>
        <w:t xml:space="preserve"> է 885.45 </w:t>
      </w:r>
      <w:r w:rsidR="00A31436" w:rsidRPr="00DE274D">
        <w:rPr>
          <w:rFonts w:ascii="GHEA Grapalat" w:hAnsi="GHEA Grapalat"/>
          <w:spacing w:val="-4"/>
          <w:lang w:val="hy-AM"/>
        </w:rPr>
        <w:t>մլն դրամ։ Սակայն, բնակչության սպառման ծավալները</w:t>
      </w:r>
      <w:r w:rsidR="003A4FC2" w:rsidRPr="00DE274D">
        <w:rPr>
          <w:rFonts w:ascii="GHEA Grapalat" w:hAnsi="GHEA Grapalat"/>
          <w:spacing w:val="-4"/>
          <w:lang w:val="hy-AM"/>
        </w:rPr>
        <w:t xml:space="preserve"> և վերջինիս համար սահմանված սակագները</w:t>
      </w:r>
      <w:r w:rsidR="00A31436" w:rsidRPr="00DE274D">
        <w:rPr>
          <w:rFonts w:ascii="GHEA Grapalat" w:hAnsi="GHEA Grapalat"/>
          <w:spacing w:val="-4"/>
          <w:lang w:val="hy-AM"/>
        </w:rPr>
        <w:t xml:space="preserve"> ավելացել են</w:t>
      </w:r>
      <w:r w:rsidR="003A4FC2" w:rsidRPr="00DE274D">
        <w:rPr>
          <w:rFonts w:ascii="GHEA Grapalat" w:hAnsi="GHEA Grapalat"/>
          <w:spacing w:val="-4"/>
          <w:lang w:val="hy-AM"/>
        </w:rPr>
        <w:t>, ինչպես նաև դրանցով պայմանավորված ստացված լրացուցիչ հասույթները փաստացի տվյալների հիման վրա նվազեցվում են հաջորդ սակագներից և չեն մնում «Գազպրոմ Արմենիա» ՓԲԸ-ում։ Այս պարագայում անհրաժեշտություն է առաջացել կարգավորման յուրաքանչյուր փուլի ավարտին գումարների հավաքագրման թիրախային մեծությունների կրճատման հետ մեկտեղ կատարել նաև բնակչության սպառման ծավալների աճով կամ նվազմամբ պայմանավորված տվյալ ծախսի ճշգրտում։</w:t>
      </w:r>
    </w:p>
    <w:p w14:paraId="4911A478" w14:textId="2DC17F4A" w:rsidR="003A4FC2" w:rsidRPr="00DE274D" w:rsidRDefault="003A4FC2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DE274D">
        <w:rPr>
          <w:rFonts w:ascii="GHEA Grapalat" w:hAnsi="GHEA Grapalat"/>
          <w:spacing w:val="-4"/>
          <w:lang w:val="hy-AM"/>
        </w:rPr>
        <w:t xml:space="preserve">4) արագամաշ առարկաների </w:t>
      </w:r>
      <w:r w:rsidR="00702972" w:rsidRPr="00DE274D">
        <w:rPr>
          <w:rFonts w:ascii="GHEA Grapalat" w:hAnsi="GHEA Grapalat"/>
          <w:spacing w:val="-4"/>
          <w:lang w:val="hy-AM"/>
        </w:rPr>
        <w:t>գծով ծախսը իր բնույթով հանդիսանում է նյութական ծախս, մինչդեռ սակագների հաշվարկներում ներառված է եղել այլ ծախսային հոդվածում։ Ուստի, անհրաժեշտություն է առաջացել կատարել ճշտում՝ կարգավորման երկրորդ 5-ամյա ժամանակահատվածից սկսած։</w:t>
      </w:r>
    </w:p>
    <w:p w14:paraId="071989AE" w14:textId="7FB1DB0F" w:rsidR="00702972" w:rsidRPr="00DE274D" w:rsidRDefault="00702972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DE274D">
        <w:rPr>
          <w:rFonts w:ascii="GHEA Grapalat" w:hAnsi="GHEA Grapalat"/>
          <w:spacing w:val="-4"/>
          <w:lang w:val="hy-AM"/>
        </w:rPr>
        <w:t>Միևնույն ժամանակ, գազամատակարարման համակարգում կարգավորվող սակագների հաշվարկման մեթոդիկայով</w:t>
      </w:r>
      <w:r w:rsidR="00F83E01" w:rsidRPr="00DE274D">
        <w:rPr>
          <w:rFonts w:ascii="GHEA Grapalat" w:hAnsi="GHEA Grapalat"/>
          <w:spacing w:val="-4"/>
          <w:lang w:val="hy-AM"/>
        </w:rPr>
        <w:t xml:space="preserve"> իրականացվող մեծածավալ ներդրումների ազդեցությունը բնական գազի սակագների վրա մեղմելու նպատակով ամրագրվել է ներդրումների նկատմամբ հաշվարկվող մաշվածության և շահույթի առավելագույն մեծություն։ Սակայն, դրա հետ մեկտեղ ներդրումների իրականացման համար ներգրավված փոխառու միջոցների վերադարձի </w:t>
      </w:r>
      <w:r w:rsidR="00F83E01" w:rsidRPr="00DE274D">
        <w:rPr>
          <w:rFonts w:ascii="GHEA Grapalat" w:hAnsi="GHEA Grapalat"/>
          <w:spacing w:val="-4"/>
          <w:lang w:val="hy-AM"/>
        </w:rPr>
        <w:lastRenderedPageBreak/>
        <w:t xml:space="preserve">ժամկետում ընկերության վճարունակության ապահովման նպատակով նախատեսվել է նաև ավելի բարձր մաշվածության նորմայի կիրառման հնարավորություն։ Հետևաբար, անհրաժեշտ է մեթոդիկայում ամրագրել, որ </w:t>
      </w:r>
      <w:r w:rsidR="00BB069A" w:rsidRPr="00DE274D">
        <w:rPr>
          <w:rFonts w:ascii="GHEA Grapalat" w:hAnsi="GHEA Grapalat"/>
          <w:spacing w:val="-4"/>
          <w:lang w:val="hy-AM"/>
        </w:rPr>
        <w:t>մաշվածության և շահույթի մեծությունների առավելագույն շեմը դիտարկելիս միայն տվյալ հաշվարկների իրականացման նպատակով ենթակա է կիրառման մաշվածության 4% նորման։</w:t>
      </w:r>
    </w:p>
    <w:p w14:paraId="5DF03765" w14:textId="02788F71" w:rsidR="001D54B7" w:rsidRPr="004216DA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</w:p>
    <w:p w14:paraId="6389F834" w14:textId="77777777" w:rsidR="001D54B7" w:rsidRPr="004216DA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pacing w:val="-4"/>
          <w:lang w:val="hy-AM"/>
        </w:rPr>
      </w:pPr>
      <w:r w:rsidRPr="004216DA">
        <w:rPr>
          <w:rFonts w:ascii="GHEA Grapalat" w:hAnsi="GHEA Grapalat"/>
          <w:b/>
          <w:bCs/>
          <w:spacing w:val="-4"/>
          <w:lang w:val="hy-AM"/>
        </w:rPr>
        <w:t>2. Կարգավորման նպատակը և բնույթը</w:t>
      </w:r>
    </w:p>
    <w:p w14:paraId="3F03CCEA" w14:textId="6EE58B2C" w:rsidR="001D54B7" w:rsidRPr="004216DA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4216DA">
        <w:rPr>
          <w:rFonts w:ascii="GHEA Grapalat" w:hAnsi="GHEA Grapalat"/>
          <w:spacing w:val="-4"/>
          <w:lang w:val="hy-AM"/>
        </w:rPr>
        <w:t xml:space="preserve">Նախագծով նախատեսվում են՝ </w:t>
      </w:r>
    </w:p>
    <w:p w14:paraId="14082316" w14:textId="385A466B" w:rsidR="001D54B7" w:rsidRPr="009840C3" w:rsidRDefault="00BB069A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9840C3">
        <w:rPr>
          <w:rFonts w:ascii="GHEA Grapalat" w:hAnsi="GHEA Grapalat"/>
          <w:spacing w:val="-4"/>
          <w:lang w:val="hy-AM"/>
        </w:rPr>
        <w:t xml:space="preserve">1) սակագների հաշվարկներում կարգավորման երկրորդ 5-ամյա ժամանակահատվածից սկսած կորուստների թիրախային մեծությունները ամրագրել ծավալային մեծությամբ, մասնավորապես, երկրորդ 5-ամյա ժամանակահատվածի համար </w:t>
      </w:r>
      <w:r w:rsidRPr="00DE274D">
        <w:rPr>
          <w:rFonts w:ascii="GHEA Grapalat" w:hAnsi="GHEA Grapalat"/>
          <w:spacing w:val="-4"/>
          <w:lang w:val="hy-AM"/>
        </w:rPr>
        <w:t>«Գազպրոմ Արմենիա»</w:t>
      </w:r>
      <w:r w:rsidRPr="009840C3">
        <w:rPr>
          <w:rFonts w:ascii="GHEA Grapalat" w:hAnsi="GHEA Grapalat"/>
          <w:spacing w:val="-4"/>
          <w:lang w:val="hy-AM"/>
        </w:rPr>
        <w:t xml:space="preserve"> ՓԲԸ-ի կողմից ներկրվող բնական գազի ծավալի մասով 10</w:t>
      </w:r>
      <w:r w:rsidR="009840C3">
        <w:rPr>
          <w:rFonts w:ascii="GHEA Grapalat" w:hAnsi="GHEA Grapalat"/>
          <w:spacing w:val="-4"/>
          <w:lang w:val="hy-AM"/>
        </w:rPr>
        <w:t>9</w:t>
      </w:r>
      <w:r w:rsidRPr="009840C3">
        <w:rPr>
          <w:rFonts w:ascii="GHEA Grapalat" w:hAnsi="GHEA Grapalat"/>
          <w:spacing w:val="-4"/>
          <w:lang w:val="hy-AM"/>
        </w:rPr>
        <w:t xml:space="preserve"> մլն խմ (այդ թվում՝ փոխադրման ցանցում՝ </w:t>
      </w:r>
      <w:r w:rsidR="009840C3">
        <w:rPr>
          <w:rFonts w:ascii="GHEA Grapalat" w:hAnsi="GHEA Grapalat"/>
          <w:spacing w:val="-4"/>
          <w:lang w:val="hy-AM"/>
        </w:rPr>
        <w:t>74.6</w:t>
      </w:r>
      <w:r w:rsidRPr="009840C3">
        <w:rPr>
          <w:rFonts w:ascii="GHEA Grapalat" w:hAnsi="GHEA Grapalat"/>
          <w:spacing w:val="-4"/>
          <w:lang w:val="hy-AM"/>
        </w:rPr>
        <w:t xml:space="preserve"> մլն խմ և բաշխմա ցանցում՝ 34</w:t>
      </w:r>
      <w:r w:rsidR="009840C3">
        <w:rPr>
          <w:rFonts w:ascii="GHEA Grapalat" w:hAnsi="GHEA Grapalat"/>
          <w:spacing w:val="-4"/>
          <w:lang w:val="hy-AM"/>
        </w:rPr>
        <w:t>.4</w:t>
      </w:r>
      <w:r w:rsidRPr="009840C3">
        <w:rPr>
          <w:rFonts w:ascii="GHEA Grapalat" w:hAnsi="GHEA Grapalat"/>
          <w:spacing w:val="-4"/>
          <w:lang w:val="hy-AM"/>
        </w:rPr>
        <w:t xml:space="preserve"> մլն խմ), իսկ այդ ժամկետի ավարտից հետո՝ </w:t>
      </w:r>
      <w:r w:rsidR="009840C3">
        <w:rPr>
          <w:rFonts w:ascii="GHEA Grapalat" w:hAnsi="GHEA Grapalat"/>
          <w:spacing w:val="-4"/>
          <w:lang w:val="hy-AM"/>
        </w:rPr>
        <w:t>103.3</w:t>
      </w:r>
      <w:r w:rsidRPr="009840C3">
        <w:rPr>
          <w:rFonts w:ascii="GHEA Grapalat" w:hAnsi="GHEA Grapalat"/>
          <w:spacing w:val="-4"/>
          <w:lang w:val="hy-AM"/>
        </w:rPr>
        <w:t xml:space="preserve"> մլն խմ (այդ թվում՝ փոխադրման ցանցում՝ </w:t>
      </w:r>
      <w:r w:rsidR="009840C3">
        <w:rPr>
          <w:rFonts w:ascii="GHEA Grapalat" w:hAnsi="GHEA Grapalat"/>
          <w:spacing w:val="-4"/>
          <w:lang w:val="hy-AM"/>
        </w:rPr>
        <w:t>70</w:t>
      </w:r>
      <w:r w:rsidRPr="009840C3">
        <w:rPr>
          <w:rFonts w:ascii="GHEA Grapalat" w:hAnsi="GHEA Grapalat"/>
          <w:spacing w:val="-4"/>
          <w:lang w:val="hy-AM"/>
        </w:rPr>
        <w:t xml:space="preserve"> մլն խմ և բաշխմա ցանցում՝ 33</w:t>
      </w:r>
      <w:r w:rsidR="009840C3">
        <w:rPr>
          <w:rFonts w:ascii="GHEA Grapalat" w:hAnsi="GHEA Grapalat"/>
          <w:spacing w:val="-4"/>
          <w:lang w:val="hy-AM"/>
        </w:rPr>
        <w:t>.3</w:t>
      </w:r>
      <w:r w:rsidRPr="009840C3">
        <w:rPr>
          <w:rFonts w:ascii="GHEA Grapalat" w:hAnsi="GHEA Grapalat"/>
          <w:spacing w:val="-4"/>
          <w:lang w:val="hy-AM"/>
        </w:rPr>
        <w:t xml:space="preserve"> մլն խմ)։ Այլ անձանց կողմից ներկրվող բնական գազի մասով կորուստները կորոշվեն նշված ծավալների հիման վրա հաշվարկված տոկոսային մեծությունից ելնելով։</w:t>
      </w:r>
    </w:p>
    <w:p w14:paraId="22AC50FE" w14:textId="0D0F95C7" w:rsidR="00BB069A" w:rsidRPr="009840C3" w:rsidRDefault="00BB069A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9840C3">
        <w:rPr>
          <w:rFonts w:ascii="GHEA Grapalat" w:hAnsi="GHEA Grapalat"/>
          <w:spacing w:val="-4"/>
          <w:lang w:val="hy-AM"/>
        </w:rPr>
        <w:t>2) կարգավորման երկրորդ 5-ամյա ժամանակահատվածի համար և դրա ավարտից հետո բաշխիչ ցանցի աշխատողների թվաքանակի թիրախային մեծությունների կրճատման հետ մեկտեղ կատարել նաև բաշխիչ ցանցի երկարության նախատեսվածից ավել աճով կամ նվազմամբ պայմանավորված աշխատողների թվքանակի ճշգրտում։</w:t>
      </w:r>
      <w:r w:rsidR="00741A50" w:rsidRPr="009840C3">
        <w:rPr>
          <w:rFonts w:ascii="GHEA Grapalat" w:hAnsi="GHEA Grapalat"/>
          <w:spacing w:val="-4"/>
          <w:lang w:val="hy-AM"/>
        </w:rPr>
        <w:t xml:space="preserve"> Ընդ որում, որպես ցանցի երկարության բնականոն աճ, առաջարկվում է հիմք ընդունել 2011-2020 թվակաների ընթացքում շահագործման մեջ գտնվող գազատարների երկարության միջին տարեկան աճը և կարգավորման յուրաքանչյուր փուլում ցանցի բնականոն աճից ավել աճով կամ նվազմամբ պայմանավորված նոր միայն կատարել բաշխիչ ցանցի աշխատողների թվաքանակի ճշգրտում։</w:t>
      </w:r>
    </w:p>
    <w:p w14:paraId="3BBCF5AB" w14:textId="4C6C61FA" w:rsidR="00741A50" w:rsidRPr="009840C3" w:rsidRDefault="00741A50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9840C3">
        <w:rPr>
          <w:rFonts w:ascii="GHEA Grapalat" w:hAnsi="GHEA Grapalat"/>
          <w:spacing w:val="-4"/>
          <w:lang w:val="hy-AM"/>
        </w:rPr>
        <w:t>3) երկրորդ 5-ամյա ժամանակահատվածի համար և դրա ավարտից հետո</w:t>
      </w:r>
      <w:r w:rsidRPr="00DE274D">
        <w:rPr>
          <w:rFonts w:ascii="GHEA Grapalat" w:hAnsi="GHEA Grapalat"/>
          <w:spacing w:val="-4"/>
          <w:lang w:val="hy-AM"/>
        </w:rPr>
        <w:t xml:space="preserve"> գումարների հավաքագրման թիրախային մեծությունների կրճատման հետ մեկտեղ կատարել նաև բնակչության սպառման ծավալների աճով կամ նվազմամբ պայմանավորված տվյալ ծախսի ճշգրտում։</w:t>
      </w:r>
    </w:p>
    <w:p w14:paraId="364FC879" w14:textId="71064F96" w:rsidR="00741A50" w:rsidRPr="00DE274D" w:rsidRDefault="00741A50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9840C3">
        <w:rPr>
          <w:rFonts w:ascii="GHEA Grapalat" w:hAnsi="GHEA Grapalat"/>
          <w:spacing w:val="-4"/>
          <w:lang w:val="hy-AM"/>
        </w:rPr>
        <w:lastRenderedPageBreak/>
        <w:t xml:space="preserve">4) </w:t>
      </w:r>
      <w:r w:rsidRPr="00DE274D">
        <w:rPr>
          <w:rFonts w:ascii="GHEA Grapalat" w:hAnsi="GHEA Grapalat"/>
          <w:spacing w:val="-4"/>
          <w:lang w:val="hy-AM"/>
        </w:rPr>
        <w:t>կարգավորման երկրորդ 5-ամյա ժամանակահատվածից սկսած արագամաշ առարկաների գծով ծախսը դիտարկել նյութական ծախսերում։</w:t>
      </w:r>
    </w:p>
    <w:p w14:paraId="32E8208C" w14:textId="02920C75" w:rsidR="00741A50" w:rsidRPr="00DE274D" w:rsidRDefault="00741A50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DE274D">
        <w:rPr>
          <w:rFonts w:ascii="GHEA Grapalat" w:hAnsi="GHEA Grapalat"/>
          <w:spacing w:val="-4"/>
          <w:lang w:val="hy-AM"/>
        </w:rPr>
        <w:t>5) մաշվածության և շահույթի մեծությունների առավելագույն շեմը դիտարկելիս միայն տվյալ հաշվարկների իրականացման նպատակով մաշվածության մեծությունը հաշվարկել 4% նորմայով։</w:t>
      </w:r>
    </w:p>
    <w:p w14:paraId="23E4FB3D" w14:textId="77777777" w:rsidR="00741A50" w:rsidRPr="004216DA" w:rsidRDefault="00741A50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</w:p>
    <w:p w14:paraId="27E65812" w14:textId="77777777" w:rsidR="001D54B7" w:rsidRPr="00DE274D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pacing w:val="-4"/>
          <w:lang w:val="hy-AM"/>
        </w:rPr>
      </w:pPr>
      <w:r w:rsidRPr="00DE274D">
        <w:rPr>
          <w:rFonts w:ascii="GHEA Grapalat" w:hAnsi="GHEA Grapalat"/>
          <w:b/>
          <w:bCs/>
          <w:spacing w:val="-4"/>
          <w:lang w:val="hy-AM"/>
        </w:rPr>
        <w:t>3. Նախագծերի մշակման գործընթացում ներգրավված ինստիտուտները և անձինք</w:t>
      </w:r>
    </w:p>
    <w:p w14:paraId="4ACD75EB" w14:textId="77777777" w:rsidR="001D54B7" w:rsidRPr="004216DA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4216DA">
        <w:rPr>
          <w:rFonts w:ascii="GHEA Grapalat" w:hAnsi="GHEA Grapalat"/>
          <w:spacing w:val="-4"/>
          <w:lang w:val="hy-AM"/>
        </w:rPr>
        <w:t>Նախագիծը մշակվել է ՀՀ հանրային ծառայությունները կարգավորող հանձնաժողովի կողմից։</w:t>
      </w:r>
    </w:p>
    <w:p w14:paraId="1D762DEF" w14:textId="77777777" w:rsidR="00DE274D" w:rsidRPr="004216DA" w:rsidRDefault="00DE274D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</w:p>
    <w:p w14:paraId="473187DF" w14:textId="77777777" w:rsidR="001D54B7" w:rsidRPr="004216DA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pacing w:val="-4"/>
          <w:lang w:val="hy-AM"/>
        </w:rPr>
      </w:pPr>
      <w:r w:rsidRPr="004216DA">
        <w:rPr>
          <w:rFonts w:ascii="GHEA Grapalat" w:hAnsi="GHEA Grapalat"/>
          <w:b/>
          <w:bCs/>
          <w:spacing w:val="-4"/>
          <w:lang w:val="hy-AM"/>
        </w:rPr>
        <w:t>4. Ակնկալվող արդյունքը</w:t>
      </w:r>
    </w:p>
    <w:p w14:paraId="7FAD008A" w14:textId="73BC65B0" w:rsidR="001D54B7" w:rsidRPr="004216DA" w:rsidRDefault="001D54B7" w:rsidP="00DE274D">
      <w:pPr>
        <w:spacing w:after="0" w:line="360" w:lineRule="auto"/>
        <w:ind w:firstLine="567"/>
        <w:jc w:val="both"/>
        <w:rPr>
          <w:rFonts w:ascii="GHEA Grapalat" w:hAnsi="GHEA Grapalat"/>
          <w:spacing w:val="-4"/>
          <w:lang w:val="hy-AM"/>
        </w:rPr>
      </w:pPr>
      <w:r w:rsidRPr="004216DA">
        <w:rPr>
          <w:rFonts w:ascii="GHEA Grapalat" w:hAnsi="GHEA Grapalat"/>
          <w:spacing w:val="-4"/>
          <w:lang w:val="hy-AM"/>
        </w:rPr>
        <w:t xml:space="preserve">Նախագծի ընդունման արդյունքում կապահովվի </w:t>
      </w:r>
      <w:r w:rsidR="00DE274D" w:rsidRPr="00DE274D">
        <w:rPr>
          <w:rFonts w:ascii="GHEA Grapalat" w:hAnsi="GHEA Grapalat"/>
          <w:spacing w:val="-4"/>
          <w:lang w:val="hy-AM"/>
        </w:rPr>
        <w:t xml:space="preserve">խթանիչ սակագնային քաղաքականության և </w:t>
      </w:r>
      <w:r w:rsidR="00DE274D" w:rsidRPr="004216DA">
        <w:rPr>
          <w:rFonts w:ascii="GHEA Grapalat" w:hAnsi="GHEA Grapalat"/>
          <w:spacing w:val="-4"/>
          <w:lang w:val="hy-AM"/>
        </w:rPr>
        <w:t>համակարգում անհրաժեշտ ներդրումների իրականացումը, ինչպես նաև կապահովվի գազամատակարարման համակարգի բնականոն գործունեությունը։</w:t>
      </w:r>
    </w:p>
    <w:p w14:paraId="66F86B54" w14:textId="77777777" w:rsidR="00EC149F" w:rsidRPr="004216DA" w:rsidRDefault="00EC149F" w:rsidP="001D54B7">
      <w:pPr>
        <w:spacing w:after="0" w:line="360" w:lineRule="auto"/>
        <w:rPr>
          <w:rFonts w:ascii="GHEA Grapalat" w:hAnsi="GHEA Grapalat"/>
          <w:lang w:val="hy-AM"/>
        </w:rPr>
      </w:pPr>
    </w:p>
    <w:sectPr w:rsidR="00EC149F" w:rsidRPr="004216DA" w:rsidSect="001D54B7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B7"/>
    <w:rsid w:val="001971D4"/>
    <w:rsid w:val="001C6740"/>
    <w:rsid w:val="001D54B7"/>
    <w:rsid w:val="00315BF3"/>
    <w:rsid w:val="0032604F"/>
    <w:rsid w:val="003A4FC2"/>
    <w:rsid w:val="004216DA"/>
    <w:rsid w:val="00541313"/>
    <w:rsid w:val="00552F2A"/>
    <w:rsid w:val="00631D78"/>
    <w:rsid w:val="0068296C"/>
    <w:rsid w:val="00687502"/>
    <w:rsid w:val="006933B9"/>
    <w:rsid w:val="006B2F44"/>
    <w:rsid w:val="00702972"/>
    <w:rsid w:val="00741A50"/>
    <w:rsid w:val="009840C3"/>
    <w:rsid w:val="00A31436"/>
    <w:rsid w:val="00AD33AA"/>
    <w:rsid w:val="00BA7399"/>
    <w:rsid w:val="00BB069A"/>
    <w:rsid w:val="00D31ADB"/>
    <w:rsid w:val="00D448A3"/>
    <w:rsid w:val="00D71C17"/>
    <w:rsid w:val="00DE274D"/>
    <w:rsid w:val="00EC149F"/>
    <w:rsid w:val="00F8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D392"/>
  <w15:chartTrackingRefBased/>
  <w15:docId w15:val="{C86B085F-8A06-4BA8-A0C1-00186B30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Ashot Ulikhanyan</cp:lastModifiedBy>
  <cp:revision>18</cp:revision>
  <dcterms:created xsi:type="dcterms:W3CDTF">2025-05-26T05:39:00Z</dcterms:created>
  <dcterms:modified xsi:type="dcterms:W3CDTF">2025-05-27T06:31:00Z</dcterms:modified>
</cp:coreProperties>
</file>