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B58D" w14:textId="77777777" w:rsidR="004B2D0D" w:rsidRPr="00F34577" w:rsidRDefault="004B2D0D" w:rsidP="00A852ED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85CECB" w14:textId="77777777" w:rsidR="00220F2C" w:rsidRPr="006672D4" w:rsidRDefault="006672D4" w:rsidP="006672D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35B2328" w14:textId="77777777" w:rsidR="006672D4" w:rsidRDefault="006672D4" w:rsidP="006672D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72D4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Pr="006672D4">
        <w:rPr>
          <w:rFonts w:ascii="GHEA Grapalat" w:hAnsi="GHEA Grapalat"/>
          <w:b/>
          <w:sz w:val="24"/>
          <w:szCs w:val="24"/>
          <w:lang w:val="hy-AM"/>
        </w:rPr>
        <w:t>ատուկ միջոցների տեխնիկական բնութագիրը, կիրառման կանոնները, պահպանման ժամկետները, ինչպես նա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 դրանք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 անհատական պաշտպանության միջոցները ոստիկանության ու ոստիկանության </w:t>
      </w:r>
      <w:proofErr w:type="spellStart"/>
      <w:r w:rsidRPr="006672D4">
        <w:rPr>
          <w:rFonts w:ascii="GHEA Grapalat" w:hAnsi="GHEA Grapalat"/>
          <w:b/>
          <w:sz w:val="24"/>
          <w:szCs w:val="24"/>
          <w:lang w:val="hy-AM"/>
        </w:rPr>
        <w:t>գվարդիայի</w:t>
      </w:r>
      <w:proofErr w:type="spellEnd"/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 սպառազինության մեջ ընդգրկելու, </w:t>
      </w:r>
      <w:proofErr w:type="spellStart"/>
      <w:r w:rsidRPr="006672D4">
        <w:rPr>
          <w:rFonts w:ascii="GHEA Grapalat" w:hAnsi="GHEA Grapalat"/>
          <w:b/>
          <w:sz w:val="24"/>
          <w:szCs w:val="24"/>
          <w:lang w:val="hy-AM"/>
        </w:rPr>
        <w:t>սպառազինությունից</w:t>
      </w:r>
      <w:proofErr w:type="spellEnd"/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 հանելու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 ոչնչացնելու կարգը սահմանելու</w:t>
      </w:r>
      <w:r w:rsidR="000B6E7E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0B6E7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</w:t>
      </w:r>
      <w:r w:rsidR="000B6E7E" w:rsidRPr="006672D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այաստանի </w:t>
      </w:r>
      <w:r w:rsidR="000B6E7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</w:t>
      </w:r>
      <w:r w:rsidR="000B6E7E" w:rsidRPr="006672D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անրապետության կառավարության 2011 թվականի հունիսի 23-ի </w:t>
      </w:r>
      <w:r w:rsidR="000B6E7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</w:t>
      </w:r>
      <w:r w:rsidR="000B6E7E" w:rsidRPr="006672D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 867-Ն որոշումն ուժը կորցրած ճանաչելու</w:t>
      </w:r>
      <w:r w:rsidR="000B6E7E" w:rsidRPr="006672D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մասին» </w:t>
      </w:r>
      <w:r w:rsidR="000B6E7E">
        <w:rPr>
          <w:rFonts w:ascii="GHEA Grapalat" w:hAnsi="GHEA Grapalat"/>
          <w:b/>
          <w:sz w:val="24"/>
          <w:szCs w:val="24"/>
          <w:lang w:val="hy-AM"/>
        </w:rPr>
        <w:t>Հ</w:t>
      </w:r>
      <w:r w:rsidRPr="006672D4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="000B6E7E">
        <w:rPr>
          <w:rFonts w:ascii="GHEA Grapalat" w:hAnsi="GHEA Grapalat"/>
          <w:b/>
          <w:sz w:val="24"/>
          <w:szCs w:val="24"/>
          <w:lang w:val="hy-AM"/>
        </w:rPr>
        <w:t>Հ</w:t>
      </w:r>
      <w:r w:rsidRPr="006672D4">
        <w:rPr>
          <w:rFonts w:ascii="GHEA Grapalat" w:hAnsi="GHEA Grapalat"/>
          <w:b/>
          <w:sz w:val="24"/>
          <w:szCs w:val="24"/>
          <w:lang w:val="hy-AM"/>
        </w:rPr>
        <w:t>անրապետության կառավարության որոշման նախագծի</w:t>
      </w:r>
    </w:p>
    <w:p w14:paraId="2A606E1B" w14:textId="77777777" w:rsidR="006672D4" w:rsidRDefault="006672D4" w:rsidP="006672D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6CBA9B" w14:textId="77777777" w:rsidR="006672D4" w:rsidRPr="00775290" w:rsidRDefault="006672D4" w:rsidP="006672D4">
      <w:pPr>
        <w:pStyle w:val="ListParagraph"/>
        <w:numPr>
          <w:ilvl w:val="0"/>
          <w:numId w:val="3"/>
        </w:numPr>
        <w:spacing w:after="0"/>
        <w:ind w:left="0" w:right="168" w:firstLine="720"/>
        <w:jc w:val="both"/>
        <w:rPr>
          <w:rFonts w:ascii="GHEA Grapalat" w:eastAsia="GHEA Grapalat" w:hAnsi="GHEA Grapalat" w:cs="GHEA Grapalat"/>
          <w:iCs/>
          <w:sz w:val="24"/>
          <w:szCs w:val="24"/>
          <w:lang w:val="hy-AM"/>
        </w:rPr>
      </w:pP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Ընթացիկ</w:t>
      </w:r>
      <w:r w:rsidRPr="00775290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իրավիճակը և</w:t>
      </w:r>
      <w:r w:rsidRPr="00775290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775290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անհրաժեշտությունը</w:t>
      </w:r>
      <w:r w:rsidRPr="00775290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</w:p>
    <w:p w14:paraId="763F9A02" w14:textId="77777777" w:rsidR="006672D4" w:rsidRPr="00831E04" w:rsidRDefault="000B6E7E" w:rsidP="006672D4">
      <w:pPr>
        <w:spacing w:after="0"/>
        <w:ind w:right="168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B6E7E">
        <w:rPr>
          <w:rFonts w:ascii="GHEA Grapalat" w:hAnsi="GHEA Grapalat"/>
          <w:sz w:val="24"/>
          <w:szCs w:val="24"/>
          <w:lang w:val="hy-AM"/>
        </w:rPr>
        <w:t xml:space="preserve">Հատուկ միջոցների տեխնիկական բնութագիրը, կիրառման կանոնները, պահպանման ժամկետները, ինչպես նաև դրանք և անհատական պաշտպանության միջոցները ոստիկանության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ո</w:t>
      </w:r>
      <w:r w:rsidRPr="000B6E7E">
        <w:rPr>
          <w:rFonts w:ascii="GHEA Grapalat" w:hAnsi="GHEA Grapalat"/>
          <w:sz w:val="24"/>
          <w:szCs w:val="24"/>
          <w:lang w:val="hy-AM"/>
        </w:rPr>
        <w:t>սպառազինության</w:t>
      </w:r>
      <w:proofErr w:type="spellEnd"/>
      <w:r w:rsidRPr="000B6E7E">
        <w:rPr>
          <w:rFonts w:ascii="GHEA Grapalat" w:hAnsi="GHEA Grapalat"/>
          <w:sz w:val="24"/>
          <w:szCs w:val="24"/>
          <w:lang w:val="hy-AM"/>
        </w:rPr>
        <w:t xml:space="preserve"> մեջ ընդգրկելու, </w:t>
      </w:r>
      <w:proofErr w:type="spellStart"/>
      <w:r w:rsidRPr="000B6E7E">
        <w:rPr>
          <w:rFonts w:ascii="GHEA Grapalat" w:hAnsi="GHEA Grapalat"/>
          <w:sz w:val="24"/>
          <w:szCs w:val="24"/>
          <w:lang w:val="hy-AM"/>
        </w:rPr>
        <w:t>սպառազինությունից</w:t>
      </w:r>
      <w:proofErr w:type="spellEnd"/>
      <w:r w:rsidRPr="000B6E7E">
        <w:rPr>
          <w:rFonts w:ascii="GHEA Grapalat" w:hAnsi="GHEA Grapalat"/>
          <w:sz w:val="24"/>
          <w:szCs w:val="24"/>
          <w:lang w:val="hy-AM"/>
        </w:rPr>
        <w:t xml:space="preserve"> հանելու և ոչնչացնելու</w:t>
      </w:r>
      <w:r>
        <w:rPr>
          <w:rFonts w:ascii="GHEA Grapalat" w:hAnsi="GHEA Grapalat"/>
          <w:sz w:val="24"/>
          <w:szCs w:val="24"/>
          <w:lang w:val="hy-AM"/>
        </w:rPr>
        <w:t xml:space="preserve"> հետ կապված հարաբերությունները կարգավորվում են </w:t>
      </w:r>
      <w:r w:rsidRPr="000B6E7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2011 թվականի հունիսի 23-ի           N 867-Ն որոշմամբ։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6E7E">
        <w:rPr>
          <w:rFonts w:ascii="GHEA Grapalat" w:hAnsi="GHEA Grapalat"/>
          <w:sz w:val="24"/>
          <w:szCs w:val="24"/>
          <w:lang w:val="hy-AM"/>
        </w:rPr>
        <w:t xml:space="preserve">«Հատուկ միջոցների տեխնիկական բնութագիրը, կիրառման կանոնները, պահպանման ժամկետները, ինչպես նաև դրանք և անհատական պաշտպանության միջոցները ոստիկանության ու ոստիկանության </w:t>
      </w:r>
      <w:proofErr w:type="spellStart"/>
      <w:r w:rsidRPr="000B6E7E">
        <w:rPr>
          <w:rFonts w:ascii="GHEA Grapalat" w:hAnsi="GHEA Grapalat"/>
          <w:sz w:val="24"/>
          <w:szCs w:val="24"/>
          <w:lang w:val="hy-AM"/>
        </w:rPr>
        <w:t>գվարդիայի</w:t>
      </w:r>
      <w:proofErr w:type="spellEnd"/>
      <w:r w:rsidRPr="000B6E7E">
        <w:rPr>
          <w:rFonts w:ascii="GHEA Grapalat" w:hAnsi="GHEA Grapalat"/>
          <w:sz w:val="24"/>
          <w:szCs w:val="24"/>
          <w:lang w:val="hy-AM"/>
        </w:rPr>
        <w:t xml:space="preserve"> սպառազինության մեջ ընդգրկելու, </w:t>
      </w:r>
      <w:proofErr w:type="spellStart"/>
      <w:r w:rsidRPr="000B6E7E">
        <w:rPr>
          <w:rFonts w:ascii="GHEA Grapalat" w:hAnsi="GHEA Grapalat"/>
          <w:sz w:val="24"/>
          <w:szCs w:val="24"/>
          <w:lang w:val="hy-AM"/>
        </w:rPr>
        <w:t>սպառազինությունից</w:t>
      </w:r>
      <w:proofErr w:type="spellEnd"/>
      <w:r w:rsidRPr="000B6E7E">
        <w:rPr>
          <w:rFonts w:ascii="GHEA Grapalat" w:hAnsi="GHEA Grapalat"/>
          <w:sz w:val="24"/>
          <w:szCs w:val="24"/>
          <w:lang w:val="hy-AM"/>
        </w:rPr>
        <w:t xml:space="preserve"> հանելու և ոչնչացնելու կարգը սահմանելու և </w:t>
      </w:r>
      <w:r w:rsidRPr="000B6E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2011 թվականի հունիսի 23-ի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B6E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867-Ն որոշումն ուժը կորցրած ճանաչելու</w:t>
      </w:r>
      <w:r w:rsidRPr="000B6E7E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կառավարության որոշման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ընդունան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անհրաժեշտությունը </w:t>
      </w:r>
      <w:r w:rsidR="00831E04">
        <w:rPr>
          <w:rFonts w:ascii="GHEA Grapalat" w:hAnsi="GHEA Grapalat"/>
          <w:sz w:val="24"/>
          <w:szCs w:val="24"/>
          <w:lang w:val="hy-AM"/>
        </w:rPr>
        <w:t>բխում</w:t>
      </w:r>
      <w:r w:rsidR="001D50EF">
        <w:rPr>
          <w:rFonts w:ascii="GHEA Grapalat" w:hAnsi="GHEA Grapalat"/>
          <w:sz w:val="24"/>
          <w:szCs w:val="24"/>
          <w:lang w:val="hy-AM"/>
        </w:rPr>
        <w:t xml:space="preserve"> է Հայաստանի Հանրապետության </w:t>
      </w:r>
      <w:r w:rsidR="00831E04">
        <w:rPr>
          <w:rFonts w:ascii="GHEA Grapalat" w:hAnsi="GHEA Grapalat"/>
          <w:sz w:val="24"/>
          <w:szCs w:val="24"/>
          <w:lang w:val="hy-AM"/>
        </w:rPr>
        <w:t>Ա</w:t>
      </w:r>
      <w:r w:rsidR="001D50EF">
        <w:rPr>
          <w:rFonts w:ascii="GHEA Grapalat" w:hAnsi="GHEA Grapalat"/>
          <w:sz w:val="24"/>
          <w:szCs w:val="24"/>
          <w:lang w:val="hy-AM"/>
        </w:rPr>
        <w:t>զգային ժողովի</w:t>
      </w:r>
      <w:r w:rsidR="00831E04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1D50EF">
        <w:rPr>
          <w:rFonts w:ascii="GHEA Grapalat" w:hAnsi="GHEA Grapalat"/>
          <w:sz w:val="24"/>
          <w:szCs w:val="24"/>
          <w:lang w:val="hy-AM"/>
        </w:rPr>
        <w:t xml:space="preserve"> </w:t>
      </w:r>
      <w:r w:rsidR="00831E04">
        <w:rPr>
          <w:rFonts w:ascii="GHEA Grapalat" w:hAnsi="GHEA Grapalat"/>
          <w:sz w:val="24"/>
          <w:szCs w:val="24"/>
          <w:lang w:val="hy-AM"/>
        </w:rPr>
        <w:t xml:space="preserve">2024 թվականի հոկտեմբերի 24-ին ընդունված՝ </w:t>
      </w:r>
      <w:r w:rsidR="001D50EF">
        <w:rPr>
          <w:rFonts w:ascii="GHEA Grapalat" w:hAnsi="GHEA Grapalat"/>
          <w:sz w:val="24"/>
          <w:szCs w:val="24"/>
          <w:lang w:val="hy-AM"/>
        </w:rPr>
        <w:t xml:space="preserve">«Ոստիկանության </w:t>
      </w:r>
      <w:proofErr w:type="spellStart"/>
      <w:r w:rsidR="001D50EF">
        <w:rPr>
          <w:rFonts w:ascii="GHEA Grapalat" w:hAnsi="GHEA Grapalat"/>
          <w:sz w:val="24"/>
          <w:szCs w:val="24"/>
          <w:lang w:val="hy-AM"/>
        </w:rPr>
        <w:t>գվարդիայի</w:t>
      </w:r>
      <w:proofErr w:type="spellEnd"/>
      <w:r w:rsidR="001D50EF">
        <w:rPr>
          <w:rFonts w:ascii="GHEA Grapalat" w:hAnsi="GHEA Grapalat"/>
          <w:sz w:val="24"/>
          <w:szCs w:val="24"/>
          <w:lang w:val="hy-AM"/>
        </w:rPr>
        <w:t xml:space="preserve"> մասին» և </w:t>
      </w:r>
      <w:r w:rsidR="00831E04" w:rsidRPr="00831E04">
        <w:rPr>
          <w:rFonts w:ascii="GHEA Grapalat" w:hAnsi="GHEA Grapalat"/>
          <w:sz w:val="24"/>
          <w:szCs w:val="24"/>
          <w:lang w:val="hy-AM"/>
        </w:rPr>
        <w:t>«</w:t>
      </w:r>
      <w:r w:rsidR="00831E04">
        <w:rPr>
          <w:rFonts w:ascii="GHEA Grapalat" w:hAnsi="GHEA Grapalat"/>
          <w:sz w:val="24"/>
          <w:szCs w:val="24"/>
          <w:lang w:val="hy-AM"/>
        </w:rPr>
        <w:t>ո</w:t>
      </w:r>
      <w:r w:rsidR="00831E04" w:rsidRPr="00831E04">
        <w:rPr>
          <w:rFonts w:ascii="GHEA Grapalat" w:hAnsi="GHEA Grapalat"/>
          <w:sz w:val="24"/>
          <w:szCs w:val="24"/>
          <w:lang w:val="hy-AM"/>
        </w:rPr>
        <w:t xml:space="preserve">ստիկանության մասին» օրենքում լրացումներ </w:t>
      </w:r>
      <w:r w:rsidR="00831E04">
        <w:rPr>
          <w:rFonts w:ascii="GHEA Grapalat" w:hAnsi="GHEA Grapalat"/>
          <w:sz w:val="24"/>
          <w:szCs w:val="24"/>
          <w:lang w:val="hy-AM"/>
        </w:rPr>
        <w:t>և</w:t>
      </w:r>
      <w:r w:rsidR="00831E04" w:rsidRPr="00831E04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մասին» օրենքներից։</w:t>
      </w:r>
    </w:p>
    <w:p w14:paraId="0104266E" w14:textId="77777777" w:rsidR="00831E04" w:rsidRPr="00831E04" w:rsidRDefault="00831E04" w:rsidP="006672D4">
      <w:pPr>
        <w:spacing w:after="0"/>
        <w:ind w:right="168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7430C6D" w14:textId="77777777" w:rsidR="006672D4" w:rsidRPr="00775290" w:rsidRDefault="006672D4" w:rsidP="006672D4">
      <w:pPr>
        <w:spacing w:after="0"/>
        <w:ind w:right="168" w:firstLine="720"/>
        <w:contextualSpacing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75290">
        <w:rPr>
          <w:rFonts w:ascii="GHEA Grapalat" w:hAnsi="GHEA Grapalat" w:cs="IRTEK Courier"/>
          <w:b/>
          <w:iCs/>
          <w:sz w:val="24"/>
          <w:szCs w:val="24"/>
          <w:lang w:val="hy-AM"/>
        </w:rPr>
        <w:t>2</w:t>
      </w:r>
      <w:r w:rsidRPr="00775290">
        <w:rPr>
          <w:rFonts w:ascii="MS Mincho" w:eastAsia="MS Mincho" w:hAnsi="MS Mincho" w:cs="MS Mincho" w:hint="eastAsia"/>
          <w:b/>
          <w:iCs/>
          <w:sz w:val="24"/>
          <w:szCs w:val="24"/>
          <w:lang w:val="hy-AM"/>
        </w:rPr>
        <w:t>․</w:t>
      </w:r>
      <w:r w:rsidRPr="00775290">
        <w:rPr>
          <w:rFonts w:ascii="GHEA Grapalat" w:hAnsi="GHEA Grapalat" w:cs="IRTEK Courier"/>
          <w:b/>
          <w:iCs/>
          <w:sz w:val="24"/>
          <w:szCs w:val="24"/>
          <w:lang w:val="hy-AM"/>
        </w:rPr>
        <w:t xml:space="preserve"> </w:t>
      </w:r>
      <w:r w:rsidRPr="0077529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Առաջարկվող կարգավորման բնույթը.</w:t>
      </w:r>
    </w:p>
    <w:p w14:paraId="02406980" w14:textId="77777777" w:rsidR="00831E04" w:rsidRDefault="006672D4" w:rsidP="00831E04">
      <w:pPr>
        <w:spacing w:after="0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Նախագծերով առաջարկվում </w:t>
      </w:r>
      <w:r w:rsidR="00831E04">
        <w:rPr>
          <w:rFonts w:ascii="GHEA Grapalat" w:hAnsi="GHEA Grapalat"/>
          <w:sz w:val="24"/>
          <w:szCs w:val="24"/>
          <w:lang w:val="hy-AM"/>
        </w:rPr>
        <w:t>է</w:t>
      </w:r>
      <w:r w:rsidR="00831E04" w:rsidRPr="000B64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սահմանել՝ ոստիկանության և </w:t>
      </w:r>
      <w:r w:rsidR="00831E04" w:rsidRPr="00A852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ոստիկանության </w:t>
      </w:r>
      <w:proofErr w:type="spellStart"/>
      <w:r w:rsidR="00831E04" w:rsidRPr="00F345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գվարդիայի</w:t>
      </w:r>
      <w:proofErr w:type="spellEnd"/>
      <w:r w:rsidR="00831E04" w:rsidRPr="00F345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E04" w:rsidRPr="00A852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սպառազինության մեջ ընդգրկված հատուկ միջոցների </w:t>
      </w:r>
      <w:r w:rsidR="00831E04" w:rsidRPr="00F345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բնութագ</w:t>
      </w:r>
      <w:r w:rsidR="00831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րեր</w:t>
      </w:r>
      <w:r w:rsidR="00831E04" w:rsidRPr="00F345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831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դրանց </w:t>
      </w:r>
      <w:r w:rsidR="00831E04" w:rsidRPr="00F345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կիրառման կանոնները և պահպանման ժամկետները</w:t>
      </w:r>
      <w:r w:rsidR="00831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հատուկ միջոցները և անհատական պաշտպանության միջոցները</w:t>
      </w:r>
      <w:r w:rsidR="00831E04" w:rsidRPr="00FF5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ոստիկանության և </w:t>
      </w:r>
      <w:r w:rsidR="00831E04" w:rsidRPr="00FF5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ոստիկանության </w:t>
      </w:r>
      <w:proofErr w:type="spellStart"/>
      <w:r w:rsidR="00831E04" w:rsidRPr="00F345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գվարդիայի</w:t>
      </w:r>
      <w:proofErr w:type="spellEnd"/>
      <w:r w:rsidR="00831E04" w:rsidRPr="00F345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E04" w:rsidRPr="00FF5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սպառազինության մեջ ընդգրկելու, </w:t>
      </w:r>
      <w:proofErr w:type="spellStart"/>
      <w:r w:rsidR="00831E04" w:rsidRPr="00FF5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սպառազինությունից</w:t>
      </w:r>
      <w:proofErr w:type="spellEnd"/>
      <w:r w:rsidR="00831E04" w:rsidRPr="00FF5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հանելու և ոչնչացնելու կարգը</w:t>
      </w:r>
      <w:r w:rsidR="00831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ո</w:t>
      </w:r>
      <w:r w:rsidR="00831E04" w:rsidRPr="00FF5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ւժը կորցրած ճանաչել Հայաստանի Հանրապետության կառավարության 2011 թվականի հունիսի 23-ի N 8</w:t>
      </w:r>
      <w:r w:rsidR="00831E04" w:rsidRPr="00F345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67</w:t>
      </w:r>
      <w:r w:rsidR="00831E04" w:rsidRPr="00FF5B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որոշումը:</w:t>
      </w:r>
    </w:p>
    <w:p w14:paraId="7C1BFF71" w14:textId="77777777" w:rsidR="00831E04" w:rsidRDefault="00831E04" w:rsidP="00831E04">
      <w:pPr>
        <w:spacing w:after="0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923937E" w14:textId="77777777" w:rsidR="00831E04" w:rsidRPr="00FF5B52" w:rsidRDefault="00831E04" w:rsidP="00831E04">
      <w:pPr>
        <w:spacing w:after="0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4DE1E44" w14:textId="77777777" w:rsidR="006672D4" w:rsidRPr="0078135B" w:rsidRDefault="006672D4" w:rsidP="00831E04">
      <w:pPr>
        <w:spacing w:after="0"/>
        <w:ind w:right="168"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83BFA36" w14:textId="77777777" w:rsidR="006672D4" w:rsidRPr="006A03F0" w:rsidRDefault="006672D4" w:rsidP="006672D4">
      <w:pPr>
        <w:spacing w:after="0"/>
        <w:ind w:right="168" w:firstLine="720"/>
        <w:contextualSpacing/>
        <w:jc w:val="both"/>
        <w:rPr>
          <w:rStyle w:val="Strong"/>
          <w:rFonts w:ascii="GHEA Grapalat" w:hAnsi="GHEA Grapalat" w:cs="Cambria Math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lastRenderedPageBreak/>
        <w:t>3</w:t>
      </w:r>
      <w:r w:rsidRPr="006A03F0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Կապը</w:t>
      </w:r>
      <w:r w:rsidRPr="006A03F0">
        <w:rPr>
          <w:rStyle w:val="Strong"/>
          <w:rFonts w:ascii="Calibri" w:hAnsi="Calibri" w:cs="Calibri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ռազմավարական</w:t>
      </w:r>
      <w:r w:rsidRPr="006A03F0">
        <w:rPr>
          <w:rStyle w:val="Strong"/>
          <w:rFonts w:ascii="Calibri" w:hAnsi="Calibri" w:cs="Calibri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փաստաթղթերի</w:t>
      </w:r>
      <w:r w:rsidRPr="006A03F0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Pr="006A03F0">
        <w:rPr>
          <w:rStyle w:val="Strong"/>
          <w:rFonts w:ascii="GHEA Grapalat" w:hAnsi="GHEA Grapalat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հետ</w:t>
      </w:r>
      <w:r w:rsidRPr="006A03F0">
        <w:rPr>
          <w:rStyle w:val="Strong"/>
          <w:rFonts w:ascii="MS Mincho" w:eastAsia="MS Mincho" w:hAnsi="MS Mincho" w:cs="MS Mincho" w:hint="eastAsia"/>
          <w:iCs/>
          <w:sz w:val="24"/>
          <w:szCs w:val="24"/>
          <w:bdr w:val="none" w:sz="0" w:space="0" w:color="auto" w:frame="1"/>
          <w:shd w:val="clear" w:color="auto" w:fill="FFFFFF"/>
          <w:lang w:val="hy-AM"/>
        </w:rPr>
        <w:t>․</w:t>
      </w:r>
    </w:p>
    <w:p w14:paraId="4FFAA57C" w14:textId="77777777" w:rsidR="006672D4" w:rsidRPr="002C19C7" w:rsidRDefault="002C19C7" w:rsidP="002C19C7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Նախագծի ընդունումը բխում է </w:t>
      </w:r>
      <w:r w:rsidR="00831E04" w:rsidRPr="002C19C7">
        <w:rPr>
          <w:rFonts w:ascii="GHEA Grapalat" w:hAnsi="GHEA Grapalat"/>
          <w:lang w:val="hy-AM"/>
        </w:rPr>
        <w:t>Հայաստանի Հանրապետության կառավարության 2024 թվականի նոյեմբերի 15-ի N 1803-Լ որոշման</w:t>
      </w:r>
      <w:r w:rsidRPr="002C19C7">
        <w:rPr>
          <w:rFonts w:ascii="GHEA Grapalat" w:hAnsi="GHEA Grapalat"/>
          <w:lang w:val="hy-AM"/>
        </w:rPr>
        <w:t xml:space="preserve"> N 2 հավելվածով հաստատված՝ ոստիկանության բարեփոխումների իրականացման ռազմավարությունից բխող գործողությունների ծրագրի</w:t>
      </w:r>
      <w:r>
        <w:rPr>
          <w:rFonts w:ascii="GHEA Grapalat" w:hAnsi="GHEA Grapalat"/>
          <w:lang w:val="hy-AM"/>
        </w:rPr>
        <w:t xml:space="preserve"> 8-րդ ուղղության 1</w:t>
      </w:r>
      <w:r>
        <w:rPr>
          <w:rFonts w:ascii="Cambria Math" w:hAnsi="Cambria Math"/>
          <w:lang w:val="hy-AM"/>
        </w:rPr>
        <w:t>․</w:t>
      </w:r>
      <w:r w:rsidRPr="002C19C7">
        <w:rPr>
          <w:rFonts w:ascii="GHEA Grapalat" w:hAnsi="GHEA Grapalat"/>
          <w:lang w:val="hy-AM"/>
        </w:rPr>
        <w:t>1-ին</w:t>
      </w:r>
      <w:r>
        <w:rPr>
          <w:rFonts w:ascii="GHEA Grapalat" w:hAnsi="GHEA Grapalat"/>
          <w:lang w:val="hy-AM"/>
        </w:rPr>
        <w:t xml:space="preserve"> գործողությունից։</w:t>
      </w:r>
    </w:p>
    <w:p w14:paraId="5DAB64E8" w14:textId="77777777" w:rsidR="006672D4" w:rsidRPr="00F758F4" w:rsidRDefault="006672D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Style w:val="Strong"/>
          <w:rFonts w:ascii="GHEA Grapalat" w:hAnsi="GHEA Grapalat"/>
          <w:i/>
          <w:iCs/>
          <w:bdr w:val="none" w:sz="0" w:space="0" w:color="auto" w:frame="1"/>
          <w:lang w:val="hy-AM"/>
        </w:rPr>
      </w:pPr>
    </w:p>
    <w:p w14:paraId="134AF07A" w14:textId="77777777" w:rsidR="006672D4" w:rsidRDefault="006672D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bdr w:val="none" w:sz="0" w:space="0" w:color="auto" w:frame="1"/>
          <w:lang w:val="hy-AM"/>
        </w:rPr>
      </w:pP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4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  <w:lang w:val="hy-AM"/>
        </w:rPr>
        <w:t>Նախագծ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ի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մշակման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գործընթացում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ներգրավված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ինստիտուտները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,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անձինք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նրանց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hy-AM"/>
        </w:rPr>
        <w:t>դիրքորոշումը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</w:p>
    <w:p w14:paraId="3CF823C7" w14:textId="77777777" w:rsidR="00831E04" w:rsidRPr="00831E04" w:rsidRDefault="00831E0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</w:p>
    <w:p w14:paraId="1681709F" w14:textId="77777777" w:rsidR="006672D4" w:rsidRPr="00F758F4" w:rsidRDefault="006672D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  <w:r w:rsidRPr="00831E04">
        <w:rPr>
          <w:rFonts w:ascii="GHEA Grapalat" w:hAnsi="GHEA Grapalat"/>
          <w:lang w:val="hy-AM"/>
        </w:rPr>
        <w:t>Նախագիծը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մշակվել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է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ՀՀ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ներքին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գործերի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նախարարության</w:t>
      </w:r>
      <w:r w:rsidRPr="00F758F4">
        <w:rPr>
          <w:rFonts w:ascii="GHEA Grapalat" w:hAnsi="GHEA Grapalat"/>
          <w:lang w:val="es-ES"/>
        </w:rPr>
        <w:t xml:space="preserve"> </w:t>
      </w:r>
      <w:r w:rsidRPr="00831E04">
        <w:rPr>
          <w:rFonts w:ascii="GHEA Grapalat" w:hAnsi="GHEA Grapalat"/>
          <w:lang w:val="hy-AM"/>
        </w:rPr>
        <w:t>կողմից</w:t>
      </w:r>
      <w:r w:rsidRPr="00F758F4">
        <w:rPr>
          <w:rFonts w:ascii="GHEA Grapalat" w:hAnsi="GHEA Grapalat"/>
          <w:lang w:val="es-ES"/>
        </w:rPr>
        <w:t>:</w:t>
      </w:r>
    </w:p>
    <w:p w14:paraId="7ECA49BE" w14:textId="77777777" w:rsidR="006672D4" w:rsidRPr="00F758F4" w:rsidRDefault="006672D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317BF0E4" w14:textId="77777777" w:rsidR="006672D4" w:rsidRDefault="006672D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09"/>
        <w:contextualSpacing/>
        <w:jc w:val="both"/>
        <w:textAlignment w:val="baseline"/>
        <w:rPr>
          <w:rStyle w:val="Strong"/>
          <w:rFonts w:asciiTheme="minorHAnsi" w:eastAsia="MS Mincho" w:hAnsiTheme="minorHAnsi" w:cs="MS Mincho"/>
          <w:iCs/>
          <w:bdr w:val="none" w:sz="0" w:space="0" w:color="auto" w:frame="1"/>
          <w:lang w:val="hy-AM"/>
        </w:rPr>
      </w:pPr>
      <w:r w:rsidRPr="006A03F0">
        <w:rPr>
          <w:rFonts w:ascii="Calibri" w:hAnsi="Calibri" w:cs="Calibri"/>
          <w:lang w:val="es-ES"/>
        </w:rPr>
        <w:t> 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>5</w:t>
      </w:r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  <w:r w:rsidRPr="006A03F0">
        <w:rPr>
          <w:rStyle w:val="Strong"/>
          <w:rFonts w:ascii="Calibri" w:hAnsi="Calibri" w:cs="Calibri"/>
          <w:iCs/>
          <w:bdr w:val="none" w:sz="0" w:space="0" w:color="auto" w:frame="1"/>
          <w:lang w:val="es-ES"/>
        </w:rPr>
        <w:t> 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Լրացուցիչ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ֆինանսական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միջոցների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անհրաժեշտությունը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պետական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բյուջեի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եկամուտներում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և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ծախսերում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սպասվելիք</w:t>
      </w:r>
      <w:proofErr w:type="spellEnd"/>
      <w:r w:rsidRPr="006A03F0">
        <w:rPr>
          <w:rStyle w:val="Strong"/>
          <w:rFonts w:ascii="GHEA Grapalat" w:hAnsi="GHEA Grapalat"/>
          <w:iCs/>
          <w:bdr w:val="none" w:sz="0" w:space="0" w:color="auto" w:frame="1"/>
          <w:lang w:val="es-ES"/>
        </w:rPr>
        <w:t xml:space="preserve"> </w:t>
      </w:r>
      <w:proofErr w:type="spellStart"/>
      <w:r w:rsidRPr="006A03F0">
        <w:rPr>
          <w:rStyle w:val="Strong"/>
          <w:rFonts w:ascii="GHEA Grapalat" w:hAnsi="GHEA Grapalat" w:cs="GHEA Grapalat"/>
          <w:iCs/>
          <w:bdr w:val="none" w:sz="0" w:space="0" w:color="auto" w:frame="1"/>
        </w:rPr>
        <w:t>փոփոխություններ</w:t>
      </w:r>
      <w:r w:rsidRPr="006A03F0">
        <w:rPr>
          <w:rStyle w:val="Strong"/>
          <w:rFonts w:ascii="GHEA Grapalat" w:hAnsi="GHEA Grapalat"/>
          <w:iCs/>
          <w:bdr w:val="none" w:sz="0" w:space="0" w:color="auto" w:frame="1"/>
        </w:rPr>
        <w:t>ը</w:t>
      </w:r>
      <w:proofErr w:type="spellEnd"/>
      <w:r w:rsidRPr="006A03F0">
        <w:rPr>
          <w:rStyle w:val="Strong"/>
          <w:rFonts w:ascii="MS Mincho" w:eastAsia="MS Mincho" w:hAnsi="MS Mincho" w:cs="MS Mincho" w:hint="eastAsia"/>
          <w:iCs/>
          <w:bdr w:val="none" w:sz="0" w:space="0" w:color="auto" w:frame="1"/>
          <w:lang w:val="es-ES"/>
        </w:rPr>
        <w:t>․</w:t>
      </w:r>
    </w:p>
    <w:p w14:paraId="7AD51FD5" w14:textId="77777777" w:rsidR="00831E04" w:rsidRPr="00831E04" w:rsidRDefault="00831E0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09"/>
        <w:contextualSpacing/>
        <w:jc w:val="both"/>
        <w:textAlignment w:val="baseline"/>
        <w:rPr>
          <w:rFonts w:asciiTheme="minorHAnsi" w:hAnsiTheme="minorHAnsi"/>
          <w:iCs/>
          <w:lang w:val="hy-AM"/>
        </w:rPr>
      </w:pPr>
    </w:p>
    <w:p w14:paraId="5D3339BE" w14:textId="77777777" w:rsidR="006672D4" w:rsidRPr="00F05F89" w:rsidRDefault="006672D4" w:rsidP="00F05F89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color w:val="000000"/>
          <w:lang w:val="hy-AM"/>
        </w:rPr>
      </w:pPr>
      <w:r w:rsidRPr="00F05F89">
        <w:rPr>
          <w:rFonts w:ascii="GHEA Grapalat" w:hAnsi="GHEA Grapalat"/>
          <w:color w:val="000000"/>
          <w:lang w:val="hy-AM"/>
        </w:rPr>
        <w:t xml:space="preserve">Նախագծի </w:t>
      </w:r>
      <w:proofErr w:type="spellStart"/>
      <w:r w:rsidRPr="00F05F89">
        <w:rPr>
          <w:rFonts w:ascii="GHEA Grapalat" w:hAnsi="GHEA Grapalat"/>
          <w:color w:val="000000"/>
          <w:lang w:val="hy-AM"/>
        </w:rPr>
        <w:t>ընդունմամբ</w:t>
      </w:r>
      <w:proofErr w:type="spellEnd"/>
      <w:r w:rsidRPr="00F05F89">
        <w:rPr>
          <w:rFonts w:ascii="GHEA Grapalat" w:hAnsi="GHEA Grapalat"/>
          <w:color w:val="000000"/>
          <w:lang w:val="hy-AM"/>
        </w:rPr>
        <w:t xml:space="preserve"> 2025 թվականի պետական բյուջեում եկամուտների կամ ծախսերի էական փոփոխություններ չեն նախատեսվում։ </w:t>
      </w:r>
    </w:p>
    <w:p w14:paraId="113B2889" w14:textId="77777777" w:rsidR="006672D4" w:rsidRPr="00F758F4" w:rsidRDefault="006672D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textAlignment w:val="baseline"/>
        <w:rPr>
          <w:rFonts w:ascii="GHEA Grapalat" w:hAnsi="GHEA Grapalat"/>
          <w:lang w:val="es-ES"/>
        </w:rPr>
      </w:pPr>
    </w:p>
    <w:p w14:paraId="258EC293" w14:textId="77777777" w:rsidR="006672D4" w:rsidRPr="006A03F0" w:rsidRDefault="006672D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b/>
          <w:iCs/>
          <w:lang w:val="hy-AM"/>
        </w:rPr>
      </w:pPr>
      <w:r w:rsidRPr="006A03F0">
        <w:rPr>
          <w:rFonts w:ascii="GHEA Grapalat" w:hAnsi="GHEA Grapalat"/>
          <w:b/>
          <w:iCs/>
          <w:lang w:val="hy-AM"/>
        </w:rPr>
        <w:t>6</w:t>
      </w:r>
      <w:r w:rsidRPr="006A03F0">
        <w:rPr>
          <w:rFonts w:ascii="MS Mincho" w:eastAsia="MS Mincho" w:hAnsi="MS Mincho" w:cs="MS Mincho" w:hint="eastAsia"/>
          <w:b/>
          <w:iCs/>
          <w:lang w:val="hy-AM"/>
        </w:rPr>
        <w:t>․</w:t>
      </w:r>
      <w:r w:rsidRPr="006A03F0">
        <w:rPr>
          <w:rFonts w:ascii="GHEA Grapalat" w:hAnsi="GHEA Grapalat"/>
          <w:b/>
          <w:iCs/>
          <w:lang w:val="hy-AM"/>
        </w:rPr>
        <w:t xml:space="preserve"> </w:t>
      </w:r>
      <w:r w:rsidRPr="006A03F0">
        <w:rPr>
          <w:rFonts w:ascii="GHEA Grapalat" w:hAnsi="GHEA Grapalat"/>
          <w:b/>
          <w:iCs/>
          <w:lang w:val="pt-BR"/>
        </w:rPr>
        <w:t>Ակնկալվող արդյունքը.</w:t>
      </w:r>
    </w:p>
    <w:p w14:paraId="70CB3AB8" w14:textId="77777777" w:rsidR="00F05F89" w:rsidRDefault="006672D4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eastAsia="Calibri" w:hAnsi="GHEA Grapalat"/>
          <w:lang w:val="hy-AM"/>
        </w:rPr>
      </w:pPr>
      <w:r w:rsidRPr="00F758F4">
        <w:rPr>
          <w:rFonts w:ascii="GHEA Grapalat" w:eastAsia="Calibri" w:hAnsi="GHEA Grapalat"/>
          <w:lang w:val="hy-AM"/>
        </w:rPr>
        <w:t>Նախագծի ընդունման արդյունքում</w:t>
      </w:r>
      <w:r w:rsidR="00F05F89">
        <w:rPr>
          <w:rFonts w:ascii="GHEA Grapalat" w:eastAsia="Calibri" w:hAnsi="GHEA Grapalat"/>
          <w:lang w:val="hy-AM"/>
        </w:rPr>
        <w:t>՝</w:t>
      </w:r>
    </w:p>
    <w:p w14:paraId="3F98A353" w14:textId="77777777" w:rsidR="00F05F89" w:rsidRDefault="00F05F89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/>
        </w:rPr>
        <w:t>1</w:t>
      </w:r>
      <w:r>
        <w:rPr>
          <w:rFonts w:ascii="Cambria Math" w:eastAsia="Calibri" w:hAnsi="Cambria Math"/>
          <w:lang w:val="hy-AM"/>
        </w:rPr>
        <w:t>․</w:t>
      </w:r>
      <w:r w:rsidR="006672D4" w:rsidRPr="00F758F4">
        <w:rPr>
          <w:rFonts w:ascii="GHEA Grapalat" w:eastAsia="Calibri" w:hAnsi="GHEA Grapalat"/>
          <w:lang w:val="es-ES"/>
        </w:rPr>
        <w:t xml:space="preserve"> </w:t>
      </w:r>
      <w:r w:rsidR="002C19C7">
        <w:rPr>
          <w:rFonts w:ascii="GHEA Grapalat" w:hAnsi="GHEA Grapalat"/>
          <w:color w:val="000000"/>
          <w:lang w:val="hy-AM"/>
        </w:rPr>
        <w:t xml:space="preserve">ոստիկանության և </w:t>
      </w:r>
      <w:r w:rsidR="002C19C7" w:rsidRPr="00A852ED">
        <w:rPr>
          <w:rFonts w:ascii="GHEA Grapalat" w:hAnsi="GHEA Grapalat"/>
          <w:color w:val="000000"/>
          <w:lang w:val="hy-AM"/>
        </w:rPr>
        <w:t xml:space="preserve">ոստիկանության </w:t>
      </w:r>
      <w:proofErr w:type="spellStart"/>
      <w:r w:rsidR="002C19C7" w:rsidRPr="00F34577">
        <w:rPr>
          <w:rFonts w:ascii="GHEA Grapalat" w:hAnsi="GHEA Grapalat"/>
          <w:color w:val="000000"/>
          <w:lang w:val="hy-AM"/>
        </w:rPr>
        <w:t>գվարդիայի</w:t>
      </w:r>
      <w:proofErr w:type="spellEnd"/>
      <w:r w:rsidR="002C19C7" w:rsidRPr="00F34577">
        <w:rPr>
          <w:rFonts w:ascii="GHEA Grapalat" w:hAnsi="GHEA Grapalat"/>
          <w:color w:val="000000"/>
          <w:lang w:val="hy-AM"/>
        </w:rPr>
        <w:t xml:space="preserve"> </w:t>
      </w:r>
      <w:r w:rsidR="002C19C7">
        <w:rPr>
          <w:rFonts w:ascii="GHEA Grapalat" w:hAnsi="GHEA Grapalat"/>
          <w:color w:val="000000"/>
          <w:lang w:val="hy-AM"/>
        </w:rPr>
        <w:t>սպառազինության մեջ կընդգրկվեն միայն այնպիսի հատուկ միջոցներ, որոնք մարդու առողջության</w:t>
      </w:r>
      <w:r>
        <w:rPr>
          <w:rFonts w:ascii="GHEA Grapalat" w:hAnsi="GHEA Grapalat"/>
          <w:color w:val="000000"/>
          <w:lang w:val="hy-AM"/>
        </w:rPr>
        <w:t xml:space="preserve"> համար</w:t>
      </w:r>
      <w:r w:rsidR="002C19C7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ավելի</w:t>
      </w:r>
      <w:r w:rsidR="002C19C7">
        <w:rPr>
          <w:rFonts w:ascii="GHEA Grapalat" w:hAnsi="GHEA Grapalat"/>
          <w:color w:val="000000"/>
          <w:lang w:val="hy-AM"/>
        </w:rPr>
        <w:t xml:space="preserve"> նվազ վնաս</w:t>
      </w:r>
      <w:r>
        <w:rPr>
          <w:rFonts w:ascii="GHEA Grapalat" w:hAnsi="GHEA Grapalat"/>
          <w:color w:val="000000"/>
          <w:lang w:val="hy-AM"/>
        </w:rPr>
        <w:t xml:space="preserve">ակար են, սակայն իրենց տեխնիկական </w:t>
      </w:r>
      <w:proofErr w:type="spellStart"/>
      <w:r>
        <w:rPr>
          <w:rFonts w:ascii="GHEA Grapalat" w:hAnsi="GHEA Grapalat"/>
          <w:color w:val="000000"/>
          <w:lang w:val="hy-AM"/>
        </w:rPr>
        <w:t>բնութագրորով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r w:rsidR="002C19C7">
        <w:rPr>
          <w:rFonts w:ascii="GHEA Grapalat" w:hAnsi="GHEA Grapalat"/>
          <w:color w:val="000000"/>
          <w:lang w:val="hy-AM"/>
        </w:rPr>
        <w:t>կ</w:t>
      </w:r>
      <w:r>
        <w:rPr>
          <w:rFonts w:ascii="GHEA Grapalat" w:hAnsi="GHEA Grapalat"/>
          <w:color w:val="000000"/>
          <w:lang w:val="hy-AM"/>
        </w:rPr>
        <w:t>նպաստ</w:t>
      </w:r>
      <w:r w:rsidR="002C19C7">
        <w:rPr>
          <w:rFonts w:ascii="GHEA Grapalat" w:hAnsi="GHEA Grapalat"/>
          <w:color w:val="000000"/>
          <w:lang w:val="hy-AM"/>
        </w:rPr>
        <w:t>են</w:t>
      </w:r>
      <w:r w:rsidR="002C19C7">
        <w:rPr>
          <w:rFonts w:ascii="GHEA Grapalat" w:hAnsi="GHEA Grapalat"/>
          <w:lang w:val="hy-AM"/>
        </w:rPr>
        <w:t xml:space="preserve"> ոստիկանության և</w:t>
      </w:r>
      <w:r w:rsidR="002C19C7" w:rsidRPr="00207CB2">
        <w:rPr>
          <w:rFonts w:ascii="GHEA Grapalat" w:hAnsi="GHEA Grapalat"/>
          <w:lang w:val="hy-AM"/>
        </w:rPr>
        <w:t xml:space="preserve"> ոստիկանության </w:t>
      </w:r>
      <w:proofErr w:type="spellStart"/>
      <w:r w:rsidR="002C19C7" w:rsidRPr="00207CB2">
        <w:rPr>
          <w:rFonts w:ascii="GHEA Grapalat" w:hAnsi="GHEA Grapalat"/>
          <w:lang w:val="hy-AM"/>
        </w:rPr>
        <w:t>գվարդիայի</w:t>
      </w:r>
      <w:proofErr w:type="spellEnd"/>
      <w:r w:rsidR="002C19C7" w:rsidRPr="00207CB2">
        <w:rPr>
          <w:rFonts w:ascii="GHEA Grapalat" w:hAnsi="GHEA Grapalat"/>
          <w:lang w:val="hy-AM"/>
        </w:rPr>
        <w:t xml:space="preserve"> ծառայողների կողմից իրենց լիազորությունների</w:t>
      </w:r>
      <w:r>
        <w:rPr>
          <w:rFonts w:ascii="GHEA Grapalat" w:hAnsi="GHEA Grapalat"/>
          <w:lang w:val="hy-AM"/>
        </w:rPr>
        <w:t xml:space="preserve"> առավել արդյունավետ</w:t>
      </w:r>
      <w:r w:rsidR="002C19C7" w:rsidRPr="00207CB2">
        <w:rPr>
          <w:rFonts w:ascii="GHEA Grapalat" w:hAnsi="GHEA Grapalat"/>
          <w:lang w:val="hy-AM"/>
        </w:rPr>
        <w:t xml:space="preserve"> իրականաց</w:t>
      </w:r>
      <w:r>
        <w:rPr>
          <w:rFonts w:ascii="GHEA Grapalat" w:hAnsi="GHEA Grapalat"/>
          <w:lang w:val="hy-AM"/>
        </w:rPr>
        <w:t>մանը,</w:t>
      </w:r>
    </w:p>
    <w:p w14:paraId="5DBE7201" w14:textId="77777777" w:rsidR="00F05F89" w:rsidRDefault="00F05F89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 xml:space="preserve">․ </w:t>
      </w:r>
      <w:r w:rsidRPr="00F05F89">
        <w:rPr>
          <w:rFonts w:ascii="GHEA Grapalat" w:hAnsi="GHEA Grapalat"/>
          <w:color w:val="000000"/>
          <w:lang w:val="hy-AM"/>
        </w:rPr>
        <w:t xml:space="preserve">կառավարության որոշմամբ </w:t>
      </w:r>
      <w:r w:rsidR="003D601A">
        <w:rPr>
          <w:rFonts w:ascii="GHEA Grapalat" w:hAnsi="GHEA Grapalat"/>
          <w:color w:val="000000"/>
          <w:lang w:val="hy-AM"/>
        </w:rPr>
        <w:t xml:space="preserve">հստակ </w:t>
      </w:r>
      <w:r w:rsidRPr="00F05F89">
        <w:rPr>
          <w:rFonts w:ascii="GHEA Grapalat" w:hAnsi="GHEA Grapalat"/>
          <w:color w:val="000000"/>
          <w:lang w:val="hy-AM"/>
        </w:rPr>
        <w:t xml:space="preserve">կսահմանվեն </w:t>
      </w:r>
      <w:r w:rsidRPr="00A852ED">
        <w:rPr>
          <w:rFonts w:ascii="GHEA Grapalat" w:hAnsi="GHEA Grapalat"/>
          <w:color w:val="000000"/>
          <w:lang w:val="hy-AM"/>
        </w:rPr>
        <w:t xml:space="preserve">հատուկ միջոցների </w:t>
      </w:r>
      <w:r w:rsidRPr="00F34577">
        <w:rPr>
          <w:rFonts w:ascii="GHEA Grapalat" w:hAnsi="GHEA Grapalat"/>
          <w:color w:val="000000"/>
          <w:lang w:val="hy-AM"/>
        </w:rPr>
        <w:t xml:space="preserve">կիրառման </w:t>
      </w:r>
      <w:r w:rsidR="003D601A">
        <w:rPr>
          <w:rFonts w:ascii="GHEA Grapalat" w:hAnsi="GHEA Grapalat"/>
          <w:color w:val="000000"/>
          <w:lang w:val="hy-AM"/>
        </w:rPr>
        <w:t>նոր ստանդարտներ</w:t>
      </w:r>
      <w:r>
        <w:rPr>
          <w:rFonts w:ascii="GHEA Grapalat" w:hAnsi="GHEA Grapalat"/>
          <w:color w:val="000000"/>
          <w:lang w:val="hy-AM"/>
        </w:rPr>
        <w:t>, որոնք նախկինում մասնակի սահմանված էին ոստիկանության պետի հրամաններով,</w:t>
      </w:r>
    </w:p>
    <w:p w14:paraId="6E287BCF" w14:textId="77777777" w:rsidR="006672D4" w:rsidRDefault="00F05F89" w:rsidP="006672D4">
      <w:pPr>
        <w:pStyle w:val="NormalWeb"/>
        <w:shd w:val="clear" w:color="auto" w:fill="FFFFFF"/>
        <w:spacing w:before="0" w:beforeAutospacing="0" w:after="0" w:afterAutospacing="0" w:line="276" w:lineRule="auto"/>
        <w:ind w:right="168" w:firstLine="720"/>
        <w:contextualSpacing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>
        <w:rPr>
          <w:rFonts w:ascii="Cambria Math" w:hAnsi="Cambria Math"/>
          <w:color w:val="000000"/>
          <w:lang w:val="hy-AM"/>
        </w:rPr>
        <w:t xml:space="preserve">․ </w:t>
      </w:r>
      <w:proofErr w:type="spellStart"/>
      <w:r w:rsidRPr="00F05F89">
        <w:rPr>
          <w:rFonts w:ascii="GHEA Grapalat" w:hAnsi="GHEA Grapalat"/>
          <w:color w:val="000000"/>
          <w:lang w:val="hy-AM"/>
        </w:rPr>
        <w:t>կհստակեցվի</w:t>
      </w:r>
      <w:proofErr w:type="spellEnd"/>
      <w:r w:rsidRPr="00F05F89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հատուկ միջոցները և անհատական պաշտպանության միջոցները</w:t>
      </w:r>
      <w:r w:rsidRPr="00FF5B52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ոստիկանության և </w:t>
      </w:r>
      <w:r w:rsidRPr="00FF5B52">
        <w:rPr>
          <w:rFonts w:ascii="GHEA Grapalat" w:hAnsi="GHEA Grapalat"/>
          <w:color w:val="000000"/>
          <w:lang w:val="hy-AM"/>
        </w:rPr>
        <w:t xml:space="preserve">ոստիկանության </w:t>
      </w:r>
      <w:proofErr w:type="spellStart"/>
      <w:r w:rsidRPr="00F34577">
        <w:rPr>
          <w:rFonts w:ascii="GHEA Grapalat" w:hAnsi="GHEA Grapalat"/>
          <w:color w:val="000000"/>
          <w:lang w:val="hy-AM"/>
        </w:rPr>
        <w:t>գվարդիայի</w:t>
      </w:r>
      <w:proofErr w:type="spellEnd"/>
      <w:r w:rsidRPr="00F34577">
        <w:rPr>
          <w:rFonts w:ascii="GHEA Grapalat" w:hAnsi="GHEA Grapalat"/>
          <w:color w:val="000000"/>
          <w:lang w:val="hy-AM"/>
        </w:rPr>
        <w:t xml:space="preserve"> </w:t>
      </w:r>
      <w:r w:rsidRPr="00FF5B52">
        <w:rPr>
          <w:rFonts w:ascii="GHEA Grapalat" w:hAnsi="GHEA Grapalat"/>
          <w:color w:val="000000"/>
          <w:lang w:val="hy-AM"/>
        </w:rPr>
        <w:t xml:space="preserve">սպառազինության մեջ ընդգրկելու, </w:t>
      </w:r>
      <w:proofErr w:type="spellStart"/>
      <w:r w:rsidRPr="00FF5B52">
        <w:rPr>
          <w:rFonts w:ascii="GHEA Grapalat" w:hAnsi="GHEA Grapalat"/>
          <w:color w:val="000000"/>
          <w:lang w:val="hy-AM"/>
        </w:rPr>
        <w:t>սպառազինությունից</w:t>
      </w:r>
      <w:proofErr w:type="spellEnd"/>
      <w:r w:rsidRPr="00FF5B52">
        <w:rPr>
          <w:rFonts w:ascii="GHEA Grapalat" w:hAnsi="GHEA Grapalat"/>
          <w:color w:val="000000"/>
          <w:lang w:val="hy-AM"/>
        </w:rPr>
        <w:t xml:space="preserve"> հանելու և ոչնչացնելու կարգ</w:t>
      </w:r>
      <w:r>
        <w:rPr>
          <w:rFonts w:ascii="GHEA Grapalat" w:hAnsi="GHEA Grapalat"/>
          <w:color w:val="000000"/>
          <w:lang w:val="hy-AM"/>
        </w:rPr>
        <w:t>ը</w:t>
      </w:r>
      <w:r w:rsidR="006672D4">
        <w:rPr>
          <w:rFonts w:ascii="GHEA Grapalat" w:hAnsi="GHEA Grapalat"/>
          <w:shd w:val="clear" w:color="auto" w:fill="FFFFFF"/>
          <w:lang w:val="hy-AM"/>
        </w:rPr>
        <w:t>։</w:t>
      </w:r>
    </w:p>
    <w:p w14:paraId="2222A02C" w14:textId="77777777" w:rsidR="006672D4" w:rsidRPr="00F758F4" w:rsidRDefault="006672D4" w:rsidP="006672D4">
      <w:pPr>
        <w:tabs>
          <w:tab w:val="left" w:pos="-5812"/>
        </w:tabs>
        <w:spacing w:after="0"/>
        <w:ind w:right="168" w:firstLine="720"/>
        <w:contextualSpacing/>
        <w:jc w:val="both"/>
        <w:rPr>
          <w:rFonts w:ascii="GHEA Grapalat" w:eastAsia="Times New Roman" w:hAnsi="GHEA Grapalat" w:cs="Calibri"/>
          <w:b/>
          <w:bCs/>
          <w:i/>
          <w:iCs/>
          <w:sz w:val="24"/>
          <w:szCs w:val="24"/>
          <w:lang w:val="hy-AM"/>
        </w:rPr>
      </w:pPr>
    </w:p>
    <w:p w14:paraId="25678816" w14:textId="77777777" w:rsidR="006672D4" w:rsidRPr="000E4482" w:rsidRDefault="006672D4" w:rsidP="006672D4">
      <w:pPr>
        <w:tabs>
          <w:tab w:val="left" w:pos="-5812"/>
        </w:tabs>
        <w:spacing w:after="0"/>
        <w:ind w:right="168" w:firstLine="720"/>
        <w:contextualSpacing/>
        <w:jc w:val="right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0E4482">
        <w:rPr>
          <w:rFonts w:ascii="GHEA Grapalat" w:eastAsia="Times New Roman" w:hAnsi="GHEA Grapalat" w:cs="Calibri"/>
          <w:b/>
          <w:bCs/>
          <w:iCs/>
          <w:sz w:val="24"/>
          <w:szCs w:val="24"/>
          <w:lang w:val="hy-AM"/>
        </w:rPr>
        <w:t>ՀՀ ներքին գործերի նախարարություն</w:t>
      </w:r>
    </w:p>
    <w:p w14:paraId="0FDC6E24" w14:textId="77777777" w:rsidR="006672D4" w:rsidRPr="006672D4" w:rsidRDefault="006672D4" w:rsidP="006672D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6672D4" w:rsidRPr="006672D4" w:rsidSect="00490A15">
      <w:pgSz w:w="12240" w:h="15840"/>
      <w:pgMar w:top="63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Klavika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365"/>
    <w:multiLevelType w:val="hybridMultilevel"/>
    <w:tmpl w:val="F07E902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3291C"/>
    <w:multiLevelType w:val="hybridMultilevel"/>
    <w:tmpl w:val="08EE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52A804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D0D"/>
    <w:rsid w:val="000123D5"/>
    <w:rsid w:val="0004056A"/>
    <w:rsid w:val="00043A62"/>
    <w:rsid w:val="000B64AA"/>
    <w:rsid w:val="000B6E7E"/>
    <w:rsid w:val="000D76F1"/>
    <w:rsid w:val="00106C6C"/>
    <w:rsid w:val="001145A4"/>
    <w:rsid w:val="00115CA5"/>
    <w:rsid w:val="001215C0"/>
    <w:rsid w:val="00122B72"/>
    <w:rsid w:val="0017456D"/>
    <w:rsid w:val="001C3C19"/>
    <w:rsid w:val="001D50EF"/>
    <w:rsid w:val="001E0571"/>
    <w:rsid w:val="00207CB2"/>
    <w:rsid w:val="00220F2C"/>
    <w:rsid w:val="002256BF"/>
    <w:rsid w:val="002C0E67"/>
    <w:rsid w:val="002C19C7"/>
    <w:rsid w:val="002C4281"/>
    <w:rsid w:val="00364A32"/>
    <w:rsid w:val="003A1DAF"/>
    <w:rsid w:val="003D601A"/>
    <w:rsid w:val="003E50C3"/>
    <w:rsid w:val="00490A15"/>
    <w:rsid w:val="004B2D0D"/>
    <w:rsid w:val="004B6F16"/>
    <w:rsid w:val="005024CF"/>
    <w:rsid w:val="00511DC8"/>
    <w:rsid w:val="0056008B"/>
    <w:rsid w:val="0056471E"/>
    <w:rsid w:val="00590CEE"/>
    <w:rsid w:val="005A1EF2"/>
    <w:rsid w:val="005A2BFB"/>
    <w:rsid w:val="005A6755"/>
    <w:rsid w:val="006179DD"/>
    <w:rsid w:val="006672D4"/>
    <w:rsid w:val="006F0B3E"/>
    <w:rsid w:val="006F5FF6"/>
    <w:rsid w:val="00735F52"/>
    <w:rsid w:val="007D053E"/>
    <w:rsid w:val="00831E04"/>
    <w:rsid w:val="00882246"/>
    <w:rsid w:val="008C4842"/>
    <w:rsid w:val="008D1051"/>
    <w:rsid w:val="008D3939"/>
    <w:rsid w:val="008F63DE"/>
    <w:rsid w:val="00924E2A"/>
    <w:rsid w:val="00950AB3"/>
    <w:rsid w:val="00976F8A"/>
    <w:rsid w:val="00A03A84"/>
    <w:rsid w:val="00A50F13"/>
    <w:rsid w:val="00A5119B"/>
    <w:rsid w:val="00A72C04"/>
    <w:rsid w:val="00A852ED"/>
    <w:rsid w:val="00AC6447"/>
    <w:rsid w:val="00B20544"/>
    <w:rsid w:val="00B26448"/>
    <w:rsid w:val="00B35AF6"/>
    <w:rsid w:val="00B472CD"/>
    <w:rsid w:val="00B91DC1"/>
    <w:rsid w:val="00C074BD"/>
    <w:rsid w:val="00C10D96"/>
    <w:rsid w:val="00C12DF6"/>
    <w:rsid w:val="00CB0154"/>
    <w:rsid w:val="00D40310"/>
    <w:rsid w:val="00D94A0F"/>
    <w:rsid w:val="00DD59F5"/>
    <w:rsid w:val="00E34325"/>
    <w:rsid w:val="00E42EC4"/>
    <w:rsid w:val="00E6293E"/>
    <w:rsid w:val="00E76391"/>
    <w:rsid w:val="00EA10E6"/>
    <w:rsid w:val="00EC697D"/>
    <w:rsid w:val="00ED32F9"/>
    <w:rsid w:val="00F05F89"/>
    <w:rsid w:val="00F46788"/>
    <w:rsid w:val="00F638B6"/>
    <w:rsid w:val="00F65AF2"/>
    <w:rsid w:val="00FB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325C"/>
  <w15:docId w15:val="{5205E993-648B-4EFC-A8EB-AEB58880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B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2D0D"/>
    <w:pPr>
      <w:autoSpaceDE w:val="0"/>
      <w:autoSpaceDN w:val="0"/>
      <w:adjustRightInd w:val="0"/>
      <w:spacing w:after="0" w:line="240" w:lineRule="auto"/>
    </w:pPr>
    <w:rPr>
      <w:rFonts w:ascii="Klavika Md" w:hAnsi="Klavika Md" w:cs="Klavika Md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1"/>
    <w:qFormat/>
    <w:rsid w:val="004B2D0D"/>
    <w:pPr>
      <w:ind w:left="720"/>
      <w:contextualSpacing/>
    </w:pPr>
    <w:rPr>
      <w:rFonts w:eastAsiaTheme="minorEastAsia"/>
      <w:lang w:val="ru-RU" w:eastAsia="ru-RU"/>
    </w:rPr>
  </w:style>
  <w:style w:type="character" w:styleId="Strong">
    <w:name w:val="Strong"/>
    <w:basedOn w:val="DefaultParagraphFont"/>
    <w:uiPriority w:val="22"/>
    <w:qFormat/>
    <w:rsid w:val="007D053E"/>
    <w:rPr>
      <w:b/>
      <w:bCs/>
    </w:rPr>
  </w:style>
  <w:style w:type="table" w:styleId="TableGrid">
    <w:name w:val="Table Grid"/>
    <w:basedOn w:val="TableNormal"/>
    <w:uiPriority w:val="59"/>
    <w:rsid w:val="00CB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123D5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72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AD37-6BBB-40F3-B9C1-1092420F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https://mul2-mia.gov.am/tasks/4220170/oneclick?token=56516ca793fe7371c6f3213888f94c71</cp:keywords>
  <cp:lastModifiedBy>Gohar Harutyunyan</cp:lastModifiedBy>
  <cp:revision>36</cp:revision>
  <dcterms:created xsi:type="dcterms:W3CDTF">2025-04-11T05:37:00Z</dcterms:created>
  <dcterms:modified xsi:type="dcterms:W3CDTF">2025-05-05T14:47:00Z</dcterms:modified>
</cp:coreProperties>
</file>