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E971" w14:textId="77777777" w:rsidR="0056194D" w:rsidRPr="00892AB8" w:rsidRDefault="0056194D" w:rsidP="0056194D">
      <w:pPr>
        <w:spacing w:after="0" w:line="240" w:lineRule="auto"/>
        <w:ind w:right="-360" w:firstLine="864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bookmarkStart w:id="0" w:name="_GoBack"/>
      <w:bookmarkEnd w:id="0"/>
      <w:r w:rsidRPr="00892AB8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Հավելված </w:t>
      </w:r>
    </w:p>
    <w:p w14:paraId="170D582A" w14:textId="77777777" w:rsidR="0056194D" w:rsidRPr="00892AB8" w:rsidRDefault="0056194D" w:rsidP="0056194D">
      <w:pPr>
        <w:spacing w:after="0" w:line="240" w:lineRule="auto"/>
        <w:ind w:right="-360" w:firstLine="864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92AB8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ՀՀ կառավարության</w:t>
      </w:r>
    </w:p>
    <w:p w14:paraId="75FBFB01" w14:textId="77777777" w:rsidR="0056194D" w:rsidRPr="00E076CD" w:rsidRDefault="0056194D" w:rsidP="0056194D">
      <w:pPr>
        <w:spacing w:after="0" w:line="240" w:lineRule="auto"/>
        <w:ind w:right="-360" w:firstLine="864"/>
        <w:jc w:val="right"/>
        <w:rPr>
          <w:rFonts w:ascii="GHEA Grapalat" w:eastAsia="Merriweather" w:hAnsi="GHEA Grapalat" w:cs="Merriweather"/>
          <w:b/>
          <w:sz w:val="24"/>
          <w:szCs w:val="24"/>
          <w:lang w:val="hy-AM"/>
        </w:rPr>
      </w:pPr>
      <w:r w:rsidRPr="00892AB8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2025 թվականի ______________-ի N _______ Ն որոշման</w:t>
      </w:r>
    </w:p>
    <w:p w14:paraId="5ED94B99" w14:textId="77777777" w:rsidR="0056194D" w:rsidRPr="00E076CD" w:rsidRDefault="0056194D" w:rsidP="0056194D">
      <w:pPr>
        <w:spacing w:after="0" w:line="360" w:lineRule="auto"/>
        <w:ind w:right="-36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51361EB2" w14:textId="77777777" w:rsidR="0056194D" w:rsidRPr="00E076CD" w:rsidRDefault="0056194D" w:rsidP="0056194D">
      <w:pPr>
        <w:spacing w:after="0" w:line="360" w:lineRule="auto"/>
        <w:ind w:right="-36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24448502" w14:textId="77777777" w:rsidR="0056194D" w:rsidRPr="00E076CD" w:rsidRDefault="0056194D" w:rsidP="0056194D">
      <w:pPr>
        <w:spacing w:after="0" w:line="360" w:lineRule="auto"/>
        <w:ind w:right="-36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E076CD">
        <w:rPr>
          <w:rFonts w:ascii="GHEA Grapalat" w:eastAsia="Tahoma" w:hAnsi="GHEA Grapalat" w:cs="Tahoma"/>
          <w:b/>
          <w:sz w:val="24"/>
          <w:szCs w:val="24"/>
          <w:lang w:val="hy-AM"/>
        </w:rPr>
        <w:t>ՑԱՆԿ</w:t>
      </w:r>
    </w:p>
    <w:p w14:paraId="73AF583E" w14:textId="77777777" w:rsidR="0056194D" w:rsidRPr="00E076CD" w:rsidRDefault="0056194D" w:rsidP="0056194D">
      <w:pPr>
        <w:pStyle w:val="NormalWeb"/>
        <w:shd w:val="clear" w:color="auto" w:fill="FFFFFF"/>
        <w:spacing w:before="0" w:beforeAutospacing="0" w:after="0" w:afterAutospacing="0" w:line="360" w:lineRule="auto"/>
        <w:ind w:right="-360" w:firstLine="374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076CD">
        <w:rPr>
          <w:rFonts w:ascii="GHEA Grapalat" w:hAnsi="GHEA Grapalat"/>
          <w:b/>
          <w:bCs/>
          <w:color w:val="191919"/>
          <w:shd w:val="clear" w:color="auto" w:fill="FFFFFF"/>
          <w:lang w:val="hy-AM"/>
        </w:rPr>
        <w:t>ՇԱՐՈՒՆԱԿԱԿԱՆ ՄԱՍՆԱԳԻՏԱԿԱՆ ԶԱՐԳԱՑՈՒՄՆ ԱՊԱՀՈՎՈՂ ՊԱՐՏԱԴԻՐ ՄԻՋՈՑԱՌՈՒՄՆԵՐԻ</w:t>
      </w:r>
    </w:p>
    <w:p w14:paraId="28D93D68" w14:textId="77777777" w:rsidR="0056194D" w:rsidRPr="00E076CD" w:rsidRDefault="0056194D" w:rsidP="0056194D">
      <w:pPr>
        <w:pStyle w:val="NormalWeb"/>
        <w:shd w:val="clear" w:color="auto" w:fill="FFFFFF"/>
        <w:spacing w:before="0" w:beforeAutospacing="0" w:after="0" w:afterAutospacing="0" w:line="360" w:lineRule="auto"/>
        <w:ind w:right="-360" w:firstLine="450"/>
        <w:jc w:val="both"/>
        <w:rPr>
          <w:rFonts w:ascii="GHEA Grapalat" w:hAnsi="GHEA Grapalat"/>
          <w:color w:val="000000"/>
          <w:lang w:val="hy-AM"/>
        </w:rPr>
      </w:pPr>
    </w:p>
    <w:p w14:paraId="3115946D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bookmarkStart w:id="1" w:name="_Hlk191564038"/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  <w:t>1</w:t>
      </w:r>
      <w:r w:rsidRPr="00D317A6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Արտակարգ իրավիճակներում առաջին բուժօգնություն.</w:t>
      </w:r>
    </w:p>
    <w:p w14:paraId="23EBE4AE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  <w:t>Ծրագրի նկարագիր</w:t>
      </w:r>
      <w:r w:rsidRPr="00D317A6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դասընթացը նպատակ ունի բուժաշխատողներին սովորեցնելու արտակարգ իրավիճակներում տուժածներին առաջին բուժօգնութուն ցուցաբերել, ճիշտ արձագանքել արտակարգ իրավիճակների ժամանակ, ինչը պահանջում է արագություն, ճշգրտություն և ճիշտ որոշումների կայացում՝ հաշվի առնելով տվյալ իրավիճակի բոլոր ռիսկերը, ինչպես նաև  ինչպես աշխատել թիմով նման իրավիճակներում։</w:t>
      </w:r>
    </w:p>
    <w:p w14:paraId="2BB09AD7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130E35A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Ուսուցանվող գիտելիքների շրջանակ</w:t>
      </w:r>
      <w:r w:rsidRPr="00D317A6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</w:p>
    <w:p w14:paraId="3B8EC4D8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1 Առաջին բուժօգնության հիմունքներ՝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ներածական մաս, արտակարգ իրավիճակների պայմաններում առաջին բուժօգնության կազմակերպում, հիմնական սկզբունքների ներկայացում</w:t>
      </w:r>
      <w:r w:rsidRPr="00D317A6"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hy-AM"/>
          <w14:ligatures w14:val="none"/>
        </w:rPr>
        <w:t>․</w:t>
      </w:r>
    </w:p>
    <w:p w14:paraId="6F226171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2 Սիրտ թոքային վերակենդանացում ՍԹՎ՝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մեծահասակների,  երեխաների և նորածինների՝ ՍԹՎ-ի հիմնական բաղադրիչները և տարբերությունները, սրտի անուղղակի մերսում, ցուցում, կատարման տեխնիկա, ՍԹՎ-ի ավարտը, արդյունավետության և անարդյունավետության գնահատում</w:t>
      </w:r>
      <w:r w:rsidRPr="00D317A6"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hy-AM"/>
          <w14:ligatures w14:val="none"/>
        </w:rPr>
        <w:t>․</w:t>
      </w:r>
    </w:p>
    <w:p w14:paraId="15011720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3 Ավտոմատ արտաքին դեֆիբրիլյատորներների օգտագործում՝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ավտոմատ արտաքին դեֆիբրիլյատորներների կարևորությունը, ճիշտ և ժամանակին օգտագործելու հմտությունները։</w:t>
      </w:r>
    </w:p>
    <w:p w14:paraId="65E0EFD4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015D839E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4 Թոքերի արհեստական արդյունավետ օդափոխություն՝ սարքի միջոցով՝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ցուցումը, կատարման տեխնիկան, ավարտը</w:t>
      </w:r>
      <w:r w:rsidRPr="00D317A6"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hy-AM"/>
          <w14:ligatures w14:val="none"/>
        </w:rPr>
        <w:t>․</w:t>
      </w:r>
    </w:p>
    <w:p w14:paraId="7B8EF194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5 Շնչառություն, շնչուղիների անցանելիություն, օտար մարմի հեռացում շնչուղիներից՝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շնչուղիների անցանելիություն, շնչառություն և արյան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շրջանառություն ABC, օտար մարմնի հեռացում շնչուղիներից, արհեստական շնչառություն, մանեկենի վրա արհեստական շնչառության տեխնիկայի ցուցադրում (բերան-բերան, բերան-քիթ, Ամբու պարկ)։</w:t>
      </w:r>
    </w:p>
    <w:p w14:paraId="35D6A8EA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071AD87A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12639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Տևողությունը՝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8 ժամ 8 ՇՄԶ կրեդիտ։</w:t>
      </w:r>
    </w:p>
    <w:p w14:paraId="2BEF6E07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12639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Թիրախային լսարան՝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ավագ և միջին բուժաշխատողներ։</w:t>
      </w:r>
    </w:p>
    <w:p w14:paraId="1B5CD4BE" w14:textId="77777777" w:rsidR="0056194D" w:rsidRPr="00D317A6" w:rsidRDefault="0056194D" w:rsidP="0056194D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14:paraId="535A3A77" w14:textId="77777777" w:rsidR="0056194D" w:rsidRPr="00D317A6" w:rsidRDefault="0056194D" w:rsidP="0056194D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14:paraId="4781BEF9" w14:textId="77777777" w:rsidR="0056194D" w:rsidRPr="00D317A6" w:rsidRDefault="0056194D" w:rsidP="0056194D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Courier New"/>
          <w:b/>
          <w:bCs/>
          <w:color w:val="000000" w:themeColor="text1"/>
          <w:lang w:val="hy-AM"/>
        </w:rPr>
      </w:pPr>
      <w:r w:rsidRPr="00D317A6">
        <w:rPr>
          <w:rFonts w:ascii="GHEA Grapalat" w:eastAsia="GHEA Grapalat" w:hAnsi="GHEA Grapalat" w:cs="GHEA Grapalat"/>
          <w:b/>
          <w:bCs/>
          <w:lang w:val="hy-AM"/>
        </w:rPr>
        <w:t>2</w:t>
      </w:r>
      <w:r w:rsidRPr="00D317A6">
        <w:rPr>
          <w:rFonts w:ascii="MS Mincho" w:eastAsia="MS Mincho" w:hAnsi="MS Mincho" w:cs="MS Mincho" w:hint="eastAsia"/>
          <w:b/>
          <w:bCs/>
          <w:lang w:val="hy-AM"/>
        </w:rPr>
        <w:t>․</w:t>
      </w:r>
      <w:bookmarkEnd w:id="1"/>
      <w:r w:rsidRPr="00D317A6">
        <w:rPr>
          <w:rFonts w:ascii="GHEA Grapalat" w:hAnsi="GHEA Grapalat"/>
          <w:b/>
          <w:bCs/>
          <w:color w:val="1D2228"/>
          <w:shd w:val="clear" w:color="auto" w:fill="FFFFFF"/>
          <w:lang w:val="hy-AM"/>
        </w:rPr>
        <w:t>Բուժաշխատողի մասնագիտական էթիկայի կանոններ</w:t>
      </w:r>
    </w:p>
    <w:p w14:paraId="578824D5" w14:textId="77777777" w:rsidR="0056194D" w:rsidRPr="00D317A6" w:rsidRDefault="0056194D" w:rsidP="0056194D">
      <w:pPr>
        <w:spacing w:after="0"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317A6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Ծրագրի նկարագիր – 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«Բուժաշխատողի մասնագիտական էթիկայի կանոններ» դասընթացը նպատակ ունի բուժաշխատողներին սովորեցնելու մասնագիտական </w:t>
      </w:r>
      <w:r w:rsidRPr="00D317A6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գործունեության հիմքում վարքաբանությունը։ Դասընթացն իր մեջ ներառում է բուժաշխատողի վարքագծի հիմնական ասպեկտները, որոնք ապահովում են արդյունավետ և հարգալից փոխհարաբերություններ պացիենտների, գործընկերների և ընդհանրապես, հասարակության հետ։</w:t>
      </w:r>
    </w:p>
    <w:p w14:paraId="1CF9D912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38094B46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D317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Ուսուցանվող գիտելիքների շրջանակ</w:t>
      </w:r>
      <w:r w:rsidRPr="00D317A6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</w:p>
    <w:p w14:paraId="57999E0F" w14:textId="77777777" w:rsidR="0056194D" w:rsidRPr="00D317A6" w:rsidRDefault="0056194D" w:rsidP="0056194D">
      <w:pPr>
        <w:spacing w:after="0"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3B51994A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Pr="00D317A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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D317A6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Բուժաշխատողի էթիկական պարտականությունները</w:t>
      </w:r>
      <w:r w:rsidRPr="00D317A6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պացինետների նկատմամբ համակրանք, հարգանք, գաղտնիություն և տեղեկացված համաձայնություն</w:t>
      </w:r>
      <w:r w:rsidRPr="00D317A6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44727EAE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Pr="00D317A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 </w:t>
      </w:r>
      <w:r w:rsidRPr="00D317A6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Բուժաշխատողների փոխհարաբերությունները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գործընկերների, պացինետների և նրանց ընտանիքների, երրորդ անձանց հետ, ինչպես նաև թիմային աշխատանքի նշանակությունը</w:t>
      </w:r>
      <w:r w:rsidRPr="00D317A6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7772A808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D317A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 </w:t>
      </w:r>
      <w:r w:rsidRPr="00D317A6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Մասնագիտական պատասխանատվությունը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բարձր մակարդակի պրոֆեսիոնալիզմի ապահովում, ինչպես նաև բժշկական գիտելիքների շարունակական ձեռքբերում</w:t>
      </w:r>
      <w:r w:rsidRPr="00D317A6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04A53E69" w14:textId="77777777" w:rsidR="0056194D" w:rsidRPr="00D317A6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4</w:t>
      </w:r>
      <w:r w:rsidRPr="00D317A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 </w:t>
      </w:r>
      <w:r w:rsidRPr="00D317A6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Բժշկական գաղտնիք համարվող տվյալները և դրանց պահպանման կանոնները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ինչպես պաշտպանել պացիենտների տվյալները և խուսափել էթիկական խախտումներից</w:t>
      </w:r>
      <w:r w:rsidRPr="00D317A6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5257ED3A" w14:textId="77777777" w:rsidR="0056194D" w:rsidRPr="00D317A6" w:rsidRDefault="0056194D" w:rsidP="0056194D">
      <w:pPr>
        <w:spacing w:after="0"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5</w:t>
      </w:r>
      <w:r w:rsidRPr="00D317A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 </w:t>
      </w:r>
      <w:r w:rsidRPr="00D317A6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Իրազեկված համաձայնություն՝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բժշկական միջամտություն ստանալու կամ դրանից հրաժարվելու վերաբերյալ իրազեկված համաձայնության ստացման կարգը և առանձնահատկությունները։</w:t>
      </w:r>
    </w:p>
    <w:p w14:paraId="1234B4EC" w14:textId="77777777" w:rsidR="0056194D" w:rsidRPr="00D317A6" w:rsidRDefault="0056194D" w:rsidP="0056194D">
      <w:pPr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6</w:t>
      </w:r>
      <w:r w:rsidRPr="00D317A6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D317A6"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D317A6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Բուժաշխատողների մասնագիտական էթիկայի կանոնների խախտումները քննող հանձնաժողով</w:t>
      </w:r>
      <w:r w:rsidRPr="00D317A6"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lang w:val="hy-AM"/>
        </w:rPr>
        <w:t xml:space="preserve">՝ </w:t>
      </w:r>
      <w:r w:rsidRPr="00D317A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հանձնաժողովի </w:t>
      </w:r>
      <w:r w:rsidRPr="00D317A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գործունեությունը, վերջինիս կողմից կայացվող որոշումները և դրանց իրավական հետևանքները։</w:t>
      </w:r>
    </w:p>
    <w:p w14:paraId="0B0D75F7" w14:textId="77777777" w:rsidR="0056194D" w:rsidRPr="00D317A6" w:rsidRDefault="0056194D" w:rsidP="0056194D">
      <w:pPr>
        <w:spacing w:after="0"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91FA7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Տևողությունը՝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5 ժամ 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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</w:t>
      </w:r>
      <w:r w:rsidRPr="00D317A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ՇՄԶ կրեդիտ։</w:t>
      </w:r>
    </w:p>
    <w:p w14:paraId="7221F694" w14:textId="387DE865" w:rsidR="00421CBC" w:rsidRPr="0056194D" w:rsidRDefault="0056194D" w:rsidP="0056194D">
      <w:pPr>
        <w:spacing w:after="0" w:line="360" w:lineRule="auto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F91FA7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Թիրախային լսարան՝</w:t>
      </w:r>
      <w:r w:rsidRPr="00D317A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ավագ և միջին բուժաշխատողներ։</w:t>
      </w:r>
    </w:p>
    <w:sectPr w:rsidR="00421CBC" w:rsidRPr="0056194D" w:rsidSect="00DB7CAB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4D"/>
    <w:rsid w:val="00092FA3"/>
    <w:rsid w:val="00296A89"/>
    <w:rsid w:val="00312D14"/>
    <w:rsid w:val="003940E7"/>
    <w:rsid w:val="00421CBC"/>
    <w:rsid w:val="0056194D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45B6F5"/>
  <w15:chartTrackingRefBased/>
  <w15:docId w15:val="{93AED2AB-E192-48EF-A299-FF77135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94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56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56194D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61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2025-03-31T10:06:00Z</dcterms:created>
  <dcterms:modified xsi:type="dcterms:W3CDTF">2025-03-31T10:06:00Z</dcterms:modified>
</cp:coreProperties>
</file>