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BD4A1" w14:textId="77777777" w:rsidR="000779FA" w:rsidRPr="00026F47" w:rsidRDefault="000779FA" w:rsidP="00CB1E24">
      <w:pPr>
        <w:spacing w:after="0" w:line="360" w:lineRule="auto"/>
        <w:jc w:val="center"/>
        <w:rPr>
          <w:rFonts w:ascii="GHEA Grapalat" w:hAnsi="GHEA Grapalat" w:cs="Sylfaen"/>
          <w:b/>
          <w:sz w:val="24"/>
          <w:szCs w:val="24"/>
          <w:lang w:val="hy-AM"/>
        </w:rPr>
      </w:pPr>
      <w:r w:rsidRPr="00026F47">
        <w:rPr>
          <w:rFonts w:ascii="GHEA Grapalat" w:hAnsi="GHEA Grapalat" w:cs="Sylfaen"/>
          <w:b/>
          <w:sz w:val="24"/>
          <w:szCs w:val="24"/>
          <w:lang w:val="hy-AM"/>
        </w:rPr>
        <w:t>ՀԻՄՆԱՎՈՐՈՒՄ</w:t>
      </w:r>
    </w:p>
    <w:p w14:paraId="6508D21E" w14:textId="59880B4A" w:rsidR="000779FA" w:rsidRPr="00026F47" w:rsidRDefault="000779FA" w:rsidP="00CB1E24">
      <w:pPr>
        <w:spacing w:after="0" w:line="360" w:lineRule="auto"/>
        <w:jc w:val="center"/>
        <w:rPr>
          <w:rFonts w:ascii="GHEA Grapalat" w:hAnsi="GHEA Grapalat" w:cs="Sylfaen"/>
          <w:b/>
          <w:sz w:val="24"/>
          <w:szCs w:val="24"/>
          <w:lang w:val="hy-AM"/>
        </w:rPr>
      </w:pPr>
      <w:r w:rsidRPr="00026F47">
        <w:rPr>
          <w:rFonts w:ascii="GHEA Grapalat" w:hAnsi="GHEA Grapalat"/>
          <w:b/>
          <w:sz w:val="24"/>
          <w:szCs w:val="24"/>
          <w:lang w:val="hy-AM"/>
        </w:rPr>
        <w:t>«</w:t>
      </w:r>
      <w:r w:rsidR="002E4997" w:rsidRPr="00026F47">
        <w:rPr>
          <w:rFonts w:ascii="GHEA Grapalat" w:hAnsi="GHEA Grapalat"/>
          <w:b/>
          <w:sz w:val="24"/>
          <w:szCs w:val="24"/>
          <w:lang w:val="hy-AM"/>
        </w:rPr>
        <w:t>ՀԱՅԱՍՏԱՆԻ ՀԱՆՐԱՊԵՏՈՒԹՅԱՆ ԿԱՌԱՎԱՐՈՒԹՅԱՆ 2006 ԹՎԱԿԱՆԻ ՆՈՅԵՄԲԵՐԻ 2-Ի N 1911-Ն ՈՐՈՇՄԱՆ ՄԵՋ ՓՈՓՈԽՈՒԹՅՈՒՆՆԵՐ ԵՎ ԼՐԱՑՈՒՄՆԵՐ ԿԱՏԱՐԵԼՈՒ ՄԱՍԻՆ</w:t>
      </w:r>
      <w:r w:rsidRPr="00026F47">
        <w:rPr>
          <w:rFonts w:ascii="GHEA Grapalat" w:hAnsi="GHEA Grapalat"/>
          <w:b/>
          <w:sz w:val="24"/>
          <w:szCs w:val="24"/>
          <w:lang w:val="hy-AM"/>
        </w:rPr>
        <w:t>» ՀՀ ԿԱՌԱՎԱՐՈՒԹՅԱՆ ՈՐՈՇՄԱՆ ՆԱԽԱԳԾԻ</w:t>
      </w:r>
      <w:r w:rsidRPr="00026F47">
        <w:rPr>
          <w:rFonts w:ascii="GHEA Grapalat" w:hAnsi="GHEA Grapalat" w:cs="Times Armenian"/>
          <w:b/>
          <w:sz w:val="24"/>
          <w:szCs w:val="24"/>
          <w:lang w:val="hy-AM"/>
        </w:rPr>
        <w:t xml:space="preserve"> </w:t>
      </w:r>
      <w:r w:rsidRPr="00026F47">
        <w:rPr>
          <w:rFonts w:ascii="GHEA Grapalat" w:hAnsi="GHEA Grapalat" w:cs="Sylfaen"/>
          <w:b/>
          <w:sz w:val="24"/>
          <w:szCs w:val="24"/>
          <w:lang w:val="hy-AM"/>
        </w:rPr>
        <w:t>ՎԵՐԱԲԵՐՅԱԼ</w:t>
      </w:r>
    </w:p>
    <w:p w14:paraId="53260A9F" w14:textId="3BB8FD65" w:rsidR="002E4997" w:rsidRDefault="002E4997" w:rsidP="002E4997">
      <w:pPr>
        <w:spacing w:after="0" w:line="240" w:lineRule="auto"/>
        <w:jc w:val="center"/>
        <w:rPr>
          <w:rFonts w:ascii="GHEA Grapalat" w:hAnsi="GHEA Grapalat"/>
          <w:b/>
          <w:sz w:val="24"/>
          <w:szCs w:val="24"/>
          <w:lang w:val="hy-AM"/>
        </w:rPr>
      </w:pPr>
    </w:p>
    <w:p w14:paraId="3EA6EE03" w14:textId="77777777" w:rsidR="00CB1E24" w:rsidRPr="00CB1E24" w:rsidRDefault="00686638" w:rsidP="00CB1E24">
      <w:pPr>
        <w:pStyle w:val="ListParagraph"/>
        <w:numPr>
          <w:ilvl w:val="0"/>
          <w:numId w:val="2"/>
        </w:numPr>
        <w:spacing w:after="0" w:line="360" w:lineRule="auto"/>
        <w:ind w:left="0" w:firstLine="540"/>
        <w:jc w:val="both"/>
        <w:rPr>
          <w:rFonts w:ascii="GHEA Grapalat" w:eastAsia="MS Mincho" w:hAnsi="GHEA Grapalat" w:cs="MS Mincho"/>
          <w:color w:val="000000"/>
          <w:sz w:val="24"/>
          <w:szCs w:val="24"/>
          <w:shd w:val="clear" w:color="auto" w:fill="FFFFFF"/>
          <w:lang w:val="hy-AM"/>
        </w:rPr>
      </w:pPr>
      <w:r w:rsidRPr="00CB1E24">
        <w:rPr>
          <w:rFonts w:ascii="GHEA Grapalat" w:hAnsi="GHEA Grapalat"/>
          <w:b/>
          <w:bCs/>
          <w:sz w:val="24"/>
          <w:szCs w:val="24"/>
          <w:lang w:val="hy-AM"/>
        </w:rPr>
        <w:t>Ընթացիկ իրավիճակը և խնդիրները, նախագծերի ընդունման անհրաժեշտությունը</w:t>
      </w:r>
      <w:r w:rsidRPr="00CB1E24">
        <w:rPr>
          <w:rFonts w:ascii="GHEA Grapalat" w:hAnsi="GHEA Grapalat"/>
          <w:b/>
          <w:bCs/>
          <w:color w:val="000000"/>
          <w:sz w:val="24"/>
          <w:szCs w:val="24"/>
          <w:lang w:val="hy-AM"/>
        </w:rPr>
        <w:t>.</w:t>
      </w:r>
      <w:r w:rsidR="00CB1E24">
        <w:rPr>
          <w:rFonts w:ascii="GHEA Grapalat" w:hAnsi="GHEA Grapalat"/>
          <w:b/>
          <w:bCs/>
          <w:color w:val="000000"/>
          <w:sz w:val="24"/>
          <w:szCs w:val="24"/>
          <w:lang w:val="hy-AM"/>
        </w:rPr>
        <w:t xml:space="preserve"> </w:t>
      </w:r>
    </w:p>
    <w:p w14:paraId="7F1DE461" w14:textId="786E685F" w:rsidR="002E4997" w:rsidRPr="00CB1E24" w:rsidRDefault="000779FA" w:rsidP="00CB1E24">
      <w:pPr>
        <w:spacing w:after="0" w:line="360" w:lineRule="auto"/>
        <w:ind w:firstLine="360"/>
        <w:jc w:val="both"/>
        <w:rPr>
          <w:rFonts w:ascii="GHEA Grapalat" w:eastAsia="MS Mincho" w:hAnsi="GHEA Grapalat" w:cs="MS Mincho"/>
          <w:color w:val="000000"/>
          <w:sz w:val="24"/>
          <w:szCs w:val="24"/>
          <w:shd w:val="clear" w:color="auto" w:fill="FFFFFF"/>
          <w:lang w:val="hy-AM"/>
        </w:rPr>
      </w:pPr>
      <w:r w:rsidRPr="00CB1E24">
        <w:rPr>
          <w:rFonts w:ascii="GHEA Grapalat" w:hAnsi="GHEA Grapalat"/>
          <w:bCs/>
          <w:sz w:val="24"/>
          <w:szCs w:val="24"/>
          <w:lang w:val="hy-AM"/>
        </w:rPr>
        <w:t>Սույն Նախագծի ընդունման</w:t>
      </w:r>
      <w:r w:rsidR="002E4997" w:rsidRPr="00CB1E24">
        <w:rPr>
          <w:rFonts w:ascii="GHEA Grapalat" w:hAnsi="GHEA Grapalat"/>
          <w:bCs/>
          <w:sz w:val="24"/>
          <w:szCs w:val="24"/>
          <w:lang w:val="hy-AM"/>
        </w:rPr>
        <w:t xml:space="preserve"> անհրաժեշտությունը </w:t>
      </w:r>
      <w:r w:rsidRPr="00CB1E24">
        <w:rPr>
          <w:rFonts w:ascii="GHEA Grapalat" w:hAnsi="GHEA Grapalat"/>
          <w:bCs/>
          <w:sz w:val="24"/>
          <w:szCs w:val="24"/>
          <w:lang w:val="hy-AM"/>
        </w:rPr>
        <w:t>պայմանավորված է Հայաստանի Հանրապետությ</w:t>
      </w:r>
      <w:r w:rsidR="002E4997" w:rsidRPr="00CB1E24">
        <w:rPr>
          <w:rFonts w:ascii="GHEA Grapalat" w:hAnsi="GHEA Grapalat"/>
          <w:bCs/>
          <w:sz w:val="24"/>
          <w:szCs w:val="24"/>
          <w:lang w:val="hy-AM"/>
        </w:rPr>
        <w:t xml:space="preserve">ան մարզային առողջապահական կազմակերպությունների կառավարման մոդելի փոփոխությամբ: </w:t>
      </w:r>
    </w:p>
    <w:p w14:paraId="4F675635" w14:textId="0AB8E1D4" w:rsidR="002E4997" w:rsidRPr="00026F47" w:rsidRDefault="002E4997" w:rsidP="00CB1E24">
      <w:pPr>
        <w:spacing w:after="0" w:line="360" w:lineRule="auto"/>
        <w:ind w:firstLine="360"/>
        <w:jc w:val="both"/>
        <w:rPr>
          <w:rFonts w:ascii="GHEA Grapalat" w:hAnsi="GHEA Grapalat"/>
          <w:bCs/>
          <w:sz w:val="24"/>
          <w:szCs w:val="24"/>
          <w:lang w:val="hy-AM"/>
        </w:rPr>
      </w:pPr>
      <w:r w:rsidRPr="00026F47">
        <w:rPr>
          <w:rFonts w:ascii="GHEA Grapalat" w:hAnsi="GHEA Grapalat"/>
          <w:bCs/>
          <w:sz w:val="24"/>
          <w:szCs w:val="24"/>
          <w:lang w:val="hy-AM"/>
        </w:rPr>
        <w:t xml:space="preserve">Ներկայումս ՀՀ մարզային առողջապահական կազմակերպությունները համարվում են մարզպետարանի ենթակայության կազմակերպություններ, մասնավորապես վերջիններիս կառավարան լիազրությունները պատկանում են մարզպետներին: </w:t>
      </w:r>
    </w:p>
    <w:p w14:paraId="1A274834" w14:textId="2E6B7EC9" w:rsidR="002E4997" w:rsidRPr="00026F47" w:rsidRDefault="002E4997" w:rsidP="00CB1E24">
      <w:pPr>
        <w:spacing w:after="0" w:line="360" w:lineRule="auto"/>
        <w:ind w:firstLine="360"/>
        <w:jc w:val="both"/>
        <w:rPr>
          <w:rFonts w:ascii="GHEA Grapalat" w:hAnsi="GHEA Grapalat"/>
          <w:sz w:val="24"/>
          <w:szCs w:val="24"/>
          <w:lang w:val="hy-AM"/>
        </w:rPr>
      </w:pPr>
      <w:r w:rsidRPr="00026F47">
        <w:rPr>
          <w:rFonts w:ascii="GHEA Grapalat" w:hAnsi="GHEA Grapalat"/>
          <w:sz w:val="24"/>
          <w:szCs w:val="24"/>
          <w:lang w:val="hy-AM"/>
        </w:rPr>
        <w:t>Առողջապահական կազմակերպությունների կողմից ներկայացված տեղեկատվության ուսումնասիրությունների արդյունքում, արձանագրվել է, որ բացակայում են առողջապահական կազմակերպությունների ընթացիկ կառավարման, այդ թվում ֆինանսական կառավարման հմտությունները։</w:t>
      </w:r>
      <w:r w:rsidR="007A2484">
        <w:rPr>
          <w:rFonts w:ascii="GHEA Grapalat" w:hAnsi="GHEA Grapalat"/>
          <w:sz w:val="24"/>
          <w:szCs w:val="24"/>
          <w:lang w:val="hy-AM"/>
        </w:rPr>
        <w:t xml:space="preserve"> </w:t>
      </w:r>
      <w:r w:rsidRPr="00026F47">
        <w:rPr>
          <w:rFonts w:ascii="GHEA Grapalat" w:hAnsi="GHEA Grapalat"/>
          <w:sz w:val="24"/>
          <w:szCs w:val="24"/>
          <w:lang w:val="hy-AM"/>
        </w:rPr>
        <w:t>Բոլոր կազմակերպությունների համար բնորոշ էին հետևյալ հիմնական թերությունները</w:t>
      </w:r>
      <w:r w:rsidRPr="00026F47">
        <w:rPr>
          <w:rFonts w:ascii="Cambria Math" w:hAnsi="Cambria Math" w:cs="Cambria Math"/>
          <w:sz w:val="24"/>
          <w:szCs w:val="24"/>
          <w:lang w:val="hy-AM"/>
        </w:rPr>
        <w:t>․</w:t>
      </w:r>
    </w:p>
    <w:p w14:paraId="7009B6FF" w14:textId="31A0DC30" w:rsidR="002E4997" w:rsidRPr="00026F47" w:rsidRDefault="002E4997" w:rsidP="00D06CA5">
      <w:pPr>
        <w:pStyle w:val="ListParagraph"/>
        <w:numPr>
          <w:ilvl w:val="0"/>
          <w:numId w:val="1"/>
        </w:numPr>
        <w:spacing w:after="0" w:line="360" w:lineRule="auto"/>
        <w:ind w:left="0" w:firstLine="450"/>
        <w:jc w:val="both"/>
        <w:rPr>
          <w:rFonts w:ascii="GHEA Grapalat" w:eastAsia="Times New Roman" w:hAnsi="GHEA Grapalat"/>
          <w:sz w:val="24"/>
          <w:szCs w:val="24"/>
          <w:lang w:val="hy-AM"/>
        </w:rPr>
      </w:pPr>
      <w:r w:rsidRPr="00026F47">
        <w:rPr>
          <w:rFonts w:ascii="GHEA Grapalat" w:hAnsi="GHEA Grapalat"/>
          <w:sz w:val="24"/>
          <w:szCs w:val="24"/>
          <w:lang w:val="hy-AM"/>
        </w:rPr>
        <w:t>Առողջապահական կազմակերպությունների նախահաշիվները չեն արտացոլում վերջիններիս ծախսերի և եկամուտների եռամսյակային ցուցանիշները, դրանք չեն համապատասխանեցվում եկամուտների կամ ծախսերի փոփոխություններին, ինչը լրջագույն ռիսկեր է ստեղծում բժշկական օգնության և սպասարկման ծառայությունների մատուցման համար անհրաժեշտ ծախսերի ապահովման տեսանկյունից։</w:t>
      </w:r>
    </w:p>
    <w:p w14:paraId="3FBE591C" w14:textId="28FAA722" w:rsidR="002E4997" w:rsidRPr="00026F47" w:rsidRDefault="002E4997" w:rsidP="00D06CA5">
      <w:pPr>
        <w:pStyle w:val="ListParagraph"/>
        <w:numPr>
          <w:ilvl w:val="0"/>
          <w:numId w:val="1"/>
        </w:numPr>
        <w:spacing w:after="0" w:line="360" w:lineRule="auto"/>
        <w:ind w:left="0" w:firstLine="450"/>
        <w:jc w:val="both"/>
        <w:rPr>
          <w:rFonts w:ascii="GHEA Grapalat" w:eastAsia="Times New Roman" w:hAnsi="GHEA Grapalat"/>
          <w:sz w:val="24"/>
          <w:szCs w:val="24"/>
          <w:lang w:val="hy-AM"/>
        </w:rPr>
      </w:pPr>
      <w:r w:rsidRPr="00026F47">
        <w:rPr>
          <w:rFonts w:ascii="GHEA Grapalat" w:hAnsi="GHEA Grapalat"/>
          <w:sz w:val="24"/>
          <w:szCs w:val="24"/>
          <w:lang w:val="hy-AM"/>
        </w:rPr>
        <w:t>Ծախսերում հիմնական տեսակարար կշիռը կազմում է աշխատավարձի մասով ծախսը տատանվելով 73-ից մինչև 89 տոկոս, ինչը խնդրահարույց է առողջապահական կազմակերպության համար, քանզի ըստ ծառայությունների տեսակների, բժշկական ծառայությունների ծախսերի կառուցվածքում դեղորայքի և բժշկական նշանակության ապրանքների ծախսերը կազմում են միջինում 15-25% և եթե սրան ավելացնենք նաև առողջապահական</w:t>
      </w:r>
      <w:r w:rsidR="007A2484">
        <w:rPr>
          <w:rFonts w:ascii="GHEA Grapalat" w:hAnsi="GHEA Grapalat"/>
          <w:sz w:val="24"/>
          <w:szCs w:val="24"/>
          <w:lang w:val="hy-AM"/>
        </w:rPr>
        <w:t xml:space="preserve"> </w:t>
      </w:r>
      <w:r w:rsidRPr="00026F47">
        <w:rPr>
          <w:rFonts w:ascii="GHEA Grapalat" w:hAnsi="GHEA Grapalat"/>
          <w:sz w:val="24"/>
          <w:szCs w:val="24"/>
          <w:lang w:val="hy-AM"/>
        </w:rPr>
        <w:t xml:space="preserve">կազմակերպության անուղղակի </w:t>
      </w:r>
      <w:r w:rsidRPr="00026F47">
        <w:rPr>
          <w:rFonts w:ascii="GHEA Grapalat" w:hAnsi="GHEA Grapalat"/>
          <w:sz w:val="24"/>
          <w:szCs w:val="24"/>
          <w:lang w:val="hy-AM"/>
        </w:rPr>
        <w:lastRenderedPageBreak/>
        <w:t>(վերադիր) ծախսերը, ապա ծախսերի ոչ ճիշտ պլանավորման խնդիրը առավել ակնառու է դառնում։ Նորմալ տնտեսվարման համար առողջապահական կազամկերպության ծախսերն աշխատավարձի մասով չպետք է գերազանցեն ընդհանուր ծախսերի 55%-ը։</w:t>
      </w:r>
    </w:p>
    <w:p w14:paraId="046D6669" w14:textId="7D82E6B7" w:rsidR="002E4997" w:rsidRPr="00026F47" w:rsidRDefault="002E4997" w:rsidP="00D06CA5">
      <w:pPr>
        <w:pStyle w:val="ListParagraph"/>
        <w:numPr>
          <w:ilvl w:val="0"/>
          <w:numId w:val="1"/>
        </w:numPr>
        <w:spacing w:after="0" w:line="360" w:lineRule="auto"/>
        <w:ind w:left="0" w:firstLine="450"/>
        <w:jc w:val="both"/>
        <w:rPr>
          <w:rFonts w:ascii="GHEA Grapalat" w:eastAsia="Times New Roman" w:hAnsi="GHEA Grapalat"/>
          <w:sz w:val="24"/>
          <w:szCs w:val="24"/>
          <w:lang w:val="hy-AM"/>
        </w:rPr>
      </w:pPr>
      <w:r w:rsidRPr="00026F47">
        <w:rPr>
          <w:rFonts w:ascii="GHEA Grapalat" w:hAnsi="GHEA Grapalat"/>
          <w:sz w:val="24"/>
          <w:szCs w:val="24"/>
          <w:lang w:val="hy-AM"/>
        </w:rPr>
        <w:t>Բացակայում են առողջապահական կազմակերպությունների կողմից վճարովի բժշկական ծառայությունների գների հաշվարկման մեթոդաբանությունները։ Բժշկական կազմակերպությունները, ընդհանուր մրցակցությանը դիմակայելու և վճարունակ պացիենտներին ծառայություններ մատուցելու նպատակով, սահմանում են վճարովի բժշկական ծառայությունների ցածր գներ՝ առանց հաշվի առնելու հաստատուն/անուղղակի ծախսերի տեսակարար կշիռը, ինչի արդյունքում, վճարովի ծառայություններից ստացվող «թվացյալ եկամուտը» գրեթե ամբողջովին ծախսվում է աշխատանքի վարձատրության, դեղորայքի և բժշկական նշանակության ապրանքների վրա, իրականում դառնալով վնասաբեր կազմակերպության համար։</w:t>
      </w:r>
    </w:p>
    <w:p w14:paraId="73FE7873" w14:textId="42C6D877" w:rsidR="002E4997" w:rsidRPr="00026F47" w:rsidRDefault="002E4997" w:rsidP="00D06CA5">
      <w:pPr>
        <w:pStyle w:val="ListParagraph"/>
        <w:numPr>
          <w:ilvl w:val="0"/>
          <w:numId w:val="1"/>
        </w:numPr>
        <w:spacing w:after="0" w:line="360" w:lineRule="auto"/>
        <w:ind w:left="0" w:firstLine="450"/>
        <w:jc w:val="both"/>
        <w:rPr>
          <w:rFonts w:ascii="GHEA Grapalat" w:eastAsia="Times New Roman" w:hAnsi="GHEA Grapalat"/>
          <w:sz w:val="24"/>
          <w:szCs w:val="24"/>
          <w:lang w:val="hy-AM"/>
        </w:rPr>
      </w:pPr>
      <w:r w:rsidRPr="00026F47">
        <w:rPr>
          <w:rFonts w:ascii="GHEA Grapalat" w:eastAsia="Times New Roman" w:hAnsi="GHEA Grapalat"/>
          <w:sz w:val="24"/>
          <w:szCs w:val="24"/>
          <w:lang w:val="hy-AM"/>
        </w:rPr>
        <w:t xml:space="preserve">Տարբեր ժամանակահատվածներում կառուցվածքային փոփոխություններին, ինչպես նաև արտակարգ իրավիճակներով պայմանավորված ծառայությունների ծավալի անկումին համարժեք արձագանքման բացակայություն։ Այսպես, Քովիդի շրջանում դիմելիության անկման հետևանքով մատուցվող ծառայությունների ծավալն զգալիորեն կրճատվել է, սակայն առողջապահական կազմակերպությունները շարունակել են պահպանել մահճակալային և կադրային նույն հզորությունները։ Նույնը վերաբերվում է նաև բուժհիմնարկի խոշորացման արդյունքում տարբեր բուժհիմնարկների ֆիզիկական կամ իրավաբանական միավորմանը, երբ միավորող բժշկական կազմակերպությունը շարունակել է պահպանել կադրային և շենքային ռեսուրսները։ Միևնույն խնդիրն է առաջանում նաև ճանապարհային ենթակառուցվածքի, բժշկական տեխնոլոգիաների զարգացմանը զւգահեռ անհրաժեշտ փոփոխությունների բացակայության դեպքում։ Առողջապահական կազմակերպությունները, որոնք սպասարկում են ավելի քիչ թվով տարածաշրջաններ և գտնվում են այլ խոշոր և տեխնոլոգիապես հագեցած բժշկական կազմակրեպությւոններին շատ մոտ, համապատասխան ձևով չեն արձագանքում այդ իրողություններին՝ շարունակելով պահպանել ծախսատար ծառայություններ։ Առողջապահական համակարգում տեղի ունեցող փոփոխությունների, այդ թվում ծառայությունների դիվերսիֆիկացման, բազմապրոֆիլ ծառայությունների </w:t>
      </w:r>
      <w:r w:rsidRPr="00026F47">
        <w:rPr>
          <w:rFonts w:ascii="GHEA Grapalat" w:eastAsia="Times New Roman" w:hAnsi="GHEA Grapalat"/>
          <w:sz w:val="24"/>
          <w:szCs w:val="24"/>
          <w:lang w:val="hy-AM"/>
        </w:rPr>
        <w:lastRenderedPageBreak/>
        <w:t>մատուցման անհրաժեշտության, ֆինանսական մեխանիզմների փոփոխություններին համարժեք չարձագանքելը նույնպես հանդիսանում է խնդիր։</w:t>
      </w:r>
    </w:p>
    <w:p w14:paraId="045FB75C" w14:textId="5ED9C2F4" w:rsidR="002E4997" w:rsidRPr="00026F47" w:rsidRDefault="002E4997" w:rsidP="00D06CA5">
      <w:pPr>
        <w:pStyle w:val="ListParagraph"/>
        <w:numPr>
          <w:ilvl w:val="0"/>
          <w:numId w:val="1"/>
        </w:numPr>
        <w:spacing w:after="0" w:line="360" w:lineRule="auto"/>
        <w:ind w:left="0" w:firstLine="540"/>
        <w:jc w:val="both"/>
        <w:rPr>
          <w:rFonts w:ascii="GHEA Grapalat" w:eastAsia="Times New Roman" w:hAnsi="GHEA Grapalat"/>
          <w:sz w:val="24"/>
          <w:szCs w:val="24"/>
          <w:lang w:val="hy-AM"/>
        </w:rPr>
      </w:pPr>
      <w:r w:rsidRPr="00026F47">
        <w:rPr>
          <w:rFonts w:ascii="GHEA Grapalat" w:eastAsia="Times New Roman" w:hAnsi="GHEA Grapalat"/>
          <w:sz w:val="24"/>
          <w:szCs w:val="24"/>
          <w:lang w:val="hy-AM"/>
        </w:rPr>
        <w:t>Եկամուտների աղբյուրների կառավարման բացակայություն։ Առկա տարածքային, տեխնիկական կարողությունների անհամաչափ օգտագործումը բնորոշ էր գրեթե բոլոր առողջապահական կազմակերպություններին։ Վարձակալությամբ հանձնված տարածքներից ստացվող եկամուտները համաչափ չեն տարածքներում ծավալված բիզնես գործունեության այլ համադրելի վարձավճարների հետ։ Շատ դեպքերում վարձակալությամբ հանձնված տարածքներից ստացվող ամսեկան եկամուտը համարժեք էր նշված տարածքում ծառայություններից ստացվող օրեկան գումարին։</w:t>
      </w:r>
    </w:p>
    <w:p w14:paraId="670A0755" w14:textId="419BCC3B" w:rsidR="002E4997" w:rsidRPr="00026F47" w:rsidRDefault="002E4997" w:rsidP="00D06CA5">
      <w:pPr>
        <w:pStyle w:val="ListParagraph"/>
        <w:numPr>
          <w:ilvl w:val="0"/>
          <w:numId w:val="1"/>
        </w:numPr>
        <w:spacing w:after="0" w:line="360" w:lineRule="auto"/>
        <w:ind w:left="0" w:firstLine="540"/>
        <w:jc w:val="both"/>
        <w:rPr>
          <w:rFonts w:ascii="GHEA Grapalat" w:eastAsia="Times New Roman" w:hAnsi="GHEA Grapalat"/>
          <w:sz w:val="24"/>
          <w:szCs w:val="24"/>
          <w:lang w:val="hy-AM"/>
        </w:rPr>
      </w:pPr>
      <w:r w:rsidRPr="00026F47">
        <w:rPr>
          <w:rFonts w:ascii="GHEA Grapalat" w:eastAsia="Times New Roman" w:hAnsi="GHEA Grapalat"/>
          <w:sz w:val="24"/>
          <w:szCs w:val="24"/>
          <w:lang w:val="hy-AM"/>
        </w:rPr>
        <w:t xml:space="preserve">Ֆինանսական գործիքների օգտագործման և ծառայությունների զարգացման հմտությունների բացակայությունը։ </w:t>
      </w:r>
      <w:r w:rsidR="00E221DF" w:rsidRPr="00026F47">
        <w:rPr>
          <w:rFonts w:ascii="GHEA Grapalat" w:eastAsia="Times New Roman" w:hAnsi="GHEA Grapalat"/>
          <w:sz w:val="24"/>
          <w:szCs w:val="24"/>
          <w:lang w:val="hy-AM"/>
        </w:rPr>
        <w:t xml:space="preserve">Առողջապահական </w:t>
      </w:r>
      <w:r w:rsidRPr="00026F47">
        <w:rPr>
          <w:rFonts w:ascii="GHEA Grapalat" w:eastAsia="Times New Roman" w:hAnsi="GHEA Grapalat"/>
          <w:sz w:val="24"/>
          <w:szCs w:val="24"/>
          <w:lang w:val="hy-AM"/>
        </w:rPr>
        <w:t>կազմակերպությունները չեն կիրառում բանկային վարկերի, օվերդրաֆթների, լիզինգի հնարավորությունները, այնինչ ժամանակակից աշխարհում ընդունված է տնտեսվարող սուբյեկտների կամ ֆիզիկական անձանց կողմից ֆինանսական գործիքների օգտագործումը։</w:t>
      </w:r>
    </w:p>
    <w:p w14:paraId="06C82997" w14:textId="7688DAB7" w:rsidR="002E4997" w:rsidRPr="00026F47" w:rsidRDefault="002E4997" w:rsidP="00D06CA5">
      <w:pPr>
        <w:pStyle w:val="ListParagraph"/>
        <w:numPr>
          <w:ilvl w:val="0"/>
          <w:numId w:val="1"/>
        </w:numPr>
        <w:spacing w:after="0" w:line="360" w:lineRule="auto"/>
        <w:ind w:left="0" w:firstLine="630"/>
        <w:jc w:val="both"/>
        <w:rPr>
          <w:rFonts w:ascii="GHEA Grapalat" w:eastAsia="Times New Roman" w:hAnsi="GHEA Grapalat"/>
          <w:sz w:val="24"/>
          <w:szCs w:val="24"/>
          <w:lang w:val="hy-AM"/>
        </w:rPr>
      </w:pPr>
      <w:r w:rsidRPr="00026F47">
        <w:rPr>
          <w:rFonts w:ascii="GHEA Grapalat" w:eastAsia="Times New Roman" w:hAnsi="GHEA Grapalat"/>
          <w:sz w:val="24"/>
          <w:szCs w:val="24"/>
          <w:lang w:val="hy-AM"/>
        </w:rPr>
        <w:t xml:space="preserve">Ռիսկերի հավասարակշռման և ֆինանսական կայունության ապահովման հմտությունների բացակայություն։ </w:t>
      </w:r>
      <w:r w:rsidR="00E221DF" w:rsidRPr="00026F47">
        <w:rPr>
          <w:rFonts w:ascii="GHEA Grapalat" w:eastAsia="Times New Roman" w:hAnsi="GHEA Grapalat"/>
          <w:sz w:val="24"/>
          <w:szCs w:val="24"/>
          <w:lang w:val="hy-AM"/>
        </w:rPr>
        <w:t xml:space="preserve">Առողջապահական </w:t>
      </w:r>
      <w:r w:rsidRPr="00026F47">
        <w:rPr>
          <w:rFonts w:ascii="GHEA Grapalat" w:eastAsia="Times New Roman" w:hAnsi="GHEA Grapalat"/>
          <w:sz w:val="24"/>
          <w:szCs w:val="24"/>
          <w:lang w:val="hy-AM"/>
        </w:rPr>
        <w:t xml:space="preserve">կազմակերպությունների կողմից չեն կիրառվել պահուստային ֆոնդերի ստեղծման գործիքները, որոնք պետք է ձևավորվեին տարեկան միջին ծախսերի 6-8%-ի չափով, դրանով իսկ հնարավորություն տալով </w:t>
      </w:r>
      <w:r w:rsidR="00E221DF" w:rsidRPr="00026F47">
        <w:rPr>
          <w:rFonts w:ascii="GHEA Grapalat" w:eastAsia="Times New Roman" w:hAnsi="GHEA Grapalat"/>
          <w:sz w:val="24"/>
          <w:szCs w:val="24"/>
          <w:lang w:val="hy-AM"/>
        </w:rPr>
        <w:t>առողջապահական</w:t>
      </w:r>
      <w:r w:rsidRPr="00026F47">
        <w:rPr>
          <w:rFonts w:ascii="GHEA Grapalat" w:eastAsia="Times New Roman" w:hAnsi="GHEA Grapalat"/>
          <w:sz w:val="24"/>
          <w:szCs w:val="24"/>
          <w:lang w:val="hy-AM"/>
        </w:rPr>
        <w:t xml:space="preserve"> կազմակերպությանը դիմագրավել ժամանակավոր ֆինանսական միջոցների բացակայությանը, ինչպես նաև իրականացնել սարքերի և սարքավորումների ձեռքբերումներ, կատարել կապիտալ շինարարություն կամ հիմնանորոգումներ։ Բացի դա, համաձայն ՀՀ ՊԵԿ կողմից տրամադրված տվյալների, 2018-2023թթ</w:t>
      </w:r>
      <w:r w:rsidR="00E221DF" w:rsidRPr="00026F47">
        <w:rPr>
          <w:rFonts w:ascii="GHEA Grapalat" w:eastAsia="Times New Roman" w:hAnsi="GHEA Grapalat"/>
          <w:sz w:val="24"/>
          <w:szCs w:val="24"/>
          <w:lang w:val="hy-AM"/>
        </w:rPr>
        <w:t>.</w:t>
      </w:r>
      <w:r w:rsidRPr="00026F47">
        <w:rPr>
          <w:rFonts w:ascii="GHEA Grapalat" w:eastAsia="Times New Roman" w:hAnsi="GHEA Grapalat"/>
          <w:sz w:val="24"/>
          <w:szCs w:val="24"/>
          <w:lang w:val="hy-AM"/>
        </w:rPr>
        <w:t xml:space="preserve"> առողջապահական կազմակերպությունների շահութաբերության միջին ցուցանիշը կազմել է 8,1%, ինչը թույլ է տալիս եզրակացնելու, որ </w:t>
      </w:r>
      <w:r w:rsidR="00E221DF" w:rsidRPr="00026F47">
        <w:rPr>
          <w:rFonts w:ascii="GHEA Grapalat" w:eastAsia="Times New Roman" w:hAnsi="GHEA Grapalat"/>
          <w:sz w:val="24"/>
          <w:szCs w:val="24"/>
          <w:lang w:val="hy-AM"/>
        </w:rPr>
        <w:t>առողջապահական</w:t>
      </w:r>
      <w:r w:rsidRPr="00026F47">
        <w:rPr>
          <w:rFonts w:ascii="GHEA Grapalat" w:eastAsia="Times New Roman" w:hAnsi="GHEA Grapalat"/>
          <w:sz w:val="24"/>
          <w:szCs w:val="24"/>
          <w:lang w:val="hy-AM"/>
        </w:rPr>
        <w:t xml:space="preserve"> կազմակերպությունները առանց լուրջ խոչընդոտների, կարող էին ձևավորել նշված պահուստային միջոցները, իհարկե, եթե իրականացնեին համարժեք ֆինանսական կառավարում՝ ծախսերի և եկամուտների բալանսավորում։ </w:t>
      </w:r>
    </w:p>
    <w:p w14:paraId="47F033F0" w14:textId="7B3B8A86" w:rsidR="002E4997" w:rsidRPr="00026F47" w:rsidRDefault="002E4997" w:rsidP="00CB1E24">
      <w:pPr>
        <w:spacing w:after="0" w:line="360" w:lineRule="auto"/>
        <w:ind w:firstLine="360"/>
        <w:jc w:val="both"/>
        <w:rPr>
          <w:rFonts w:ascii="GHEA Grapalat" w:eastAsia="Times New Roman" w:hAnsi="GHEA Grapalat"/>
          <w:sz w:val="24"/>
          <w:szCs w:val="24"/>
          <w:lang w:val="hy-AM"/>
        </w:rPr>
      </w:pPr>
      <w:r w:rsidRPr="00026F47">
        <w:rPr>
          <w:rFonts w:ascii="GHEA Grapalat" w:eastAsia="Times New Roman" w:hAnsi="GHEA Grapalat"/>
          <w:sz w:val="24"/>
          <w:szCs w:val="24"/>
          <w:lang w:val="hy-AM"/>
        </w:rPr>
        <w:lastRenderedPageBreak/>
        <w:t>Վեր հանված թերությունները չնայած առաջին հայացքից ունեն տեղային բնույթ, սակայն արտացոլում են կազմակերպությունների մարզային կառավարման ընդհանրական թերությունները։ Մարզպետները հանդիսանում են բժշկական կազմակերպությունների հիմնադիրները և միակ՝ 100% բաժնեմասի սեփականատերը և ունեն ուղիղ պարտականություն կառավարել բժշկական կազմակերպությունը։ Մասնավորապես, նախահաշիվների կազմումը, դրա ընթացիկ մոնիթորինգը և գնահատումը, բժշկական կազմակերպության տնօրենների զարգացման ծրագրերի մոնիթորինգը, վճարովի ծառայությունների հաշվարկման և իրական ծախսերի վրա հիմնված գների հաստատումը, ֆինանսական գործիքների կիրառումը, պահուստների ձևավորումը, կադրային քաղաքականությունը համարվում են այն լծակները, որոնք հնարավորություն են տալիս կառավարելի դարձնել բժշկական կազմակերպությունների ղեկավարների կողմից հնարավոր ռիսկերի ստեղծումը։ Ցանկացած դեպքում, մարզային ենթակայության ավելի քան 40 բժշկական կենտրոնների կառավարման ցանկացած մոդելի դեպքում համապատասխան ունակություններով, գիտելիքներով և փորձով օժտված կառավարիչներ ունենալը, համապատասխան մասնագիտական ներուժ ունեցող ֆինանսական կառավարման, տնտեսագիտական, հաշվապահական մասնագիտություններին տիրապետող անձնակազմ ձևավորելը բարդ և գրեթե անիրականանալի գործընթաց է։</w:t>
      </w:r>
    </w:p>
    <w:p w14:paraId="65054CDC" w14:textId="694976A2" w:rsidR="002E4997" w:rsidRPr="00026F47" w:rsidRDefault="002E4997" w:rsidP="00CB1E24">
      <w:pPr>
        <w:spacing w:after="0" w:line="360" w:lineRule="auto"/>
        <w:ind w:firstLine="709"/>
        <w:jc w:val="both"/>
        <w:rPr>
          <w:rFonts w:ascii="GHEA Grapalat" w:eastAsia="Times New Roman" w:hAnsi="GHEA Grapalat"/>
          <w:sz w:val="24"/>
          <w:szCs w:val="24"/>
          <w:lang w:val="hy-AM"/>
        </w:rPr>
      </w:pPr>
      <w:r w:rsidRPr="00026F47">
        <w:rPr>
          <w:rFonts w:ascii="GHEA Grapalat" w:eastAsia="Times New Roman" w:hAnsi="GHEA Grapalat"/>
          <w:sz w:val="24"/>
          <w:szCs w:val="24"/>
          <w:lang w:val="hy-AM"/>
        </w:rPr>
        <w:t>Ելնելով վերը նշվածից և հիմնվելով բազմաթիվ երկրներում ներդրված փորձի վրա, առաջարկվում է իրականացնել մարզային բժշկական կազմակերպությունների կառավարման մոդելի փոփոխություն</w:t>
      </w:r>
      <w:r w:rsidR="00E221DF" w:rsidRPr="00026F47">
        <w:rPr>
          <w:rFonts w:ascii="GHEA Grapalat" w:eastAsia="Times New Roman" w:hAnsi="GHEA Grapalat"/>
          <w:sz w:val="24"/>
          <w:szCs w:val="24"/>
          <w:lang w:val="hy-AM"/>
        </w:rPr>
        <w:t xml:space="preserve">: </w:t>
      </w:r>
    </w:p>
    <w:p w14:paraId="5033DE5D" w14:textId="77777777" w:rsidR="00686638" w:rsidRPr="007D53E2" w:rsidRDefault="00686638" w:rsidP="00CB1E24">
      <w:pPr>
        <w:pStyle w:val="NormalWeb"/>
        <w:shd w:val="clear" w:color="auto" w:fill="FFFFFF"/>
        <w:spacing w:before="0" w:beforeAutospacing="0" w:after="0" w:afterAutospacing="0" w:line="360" w:lineRule="auto"/>
        <w:ind w:firstLine="720"/>
        <w:jc w:val="both"/>
        <w:rPr>
          <w:rFonts w:ascii="GHEA Grapalat" w:hAnsi="GHEA Grapalat"/>
          <w:b/>
          <w:bCs/>
          <w:lang w:val="hy-AM"/>
        </w:rPr>
      </w:pPr>
      <w:r w:rsidRPr="00026F47">
        <w:rPr>
          <w:rFonts w:ascii="GHEA Grapalat" w:hAnsi="GHEA Grapalat"/>
          <w:b/>
          <w:bCs/>
          <w:color w:val="000000"/>
          <w:lang w:val="hy-AM"/>
        </w:rPr>
        <w:t xml:space="preserve">2. </w:t>
      </w:r>
      <w:r w:rsidRPr="007D53E2">
        <w:rPr>
          <w:rFonts w:ascii="GHEA Grapalat" w:hAnsi="GHEA Grapalat"/>
          <w:b/>
          <w:bCs/>
          <w:lang w:val="hy-AM"/>
        </w:rPr>
        <w:t>Կարգավորման նպատակը և բնույթը, ակնկալվող արդյունքը.</w:t>
      </w:r>
    </w:p>
    <w:p w14:paraId="71BC2681" w14:textId="78867529" w:rsidR="006F6BC0" w:rsidRPr="00026F47" w:rsidRDefault="006F6BC0" w:rsidP="00CB1E24">
      <w:pPr>
        <w:spacing w:after="0" w:line="360" w:lineRule="auto"/>
        <w:ind w:firstLine="360"/>
        <w:jc w:val="both"/>
        <w:rPr>
          <w:rFonts w:ascii="GHEA Grapalat" w:hAnsi="GHEA Grapalat"/>
          <w:bCs/>
          <w:sz w:val="24"/>
          <w:szCs w:val="24"/>
          <w:lang w:val="hy-AM"/>
        </w:rPr>
      </w:pPr>
      <w:r w:rsidRPr="00026F47">
        <w:rPr>
          <w:rFonts w:ascii="GHEA Grapalat" w:hAnsi="GHEA Grapalat" w:cs="Arial"/>
          <w:sz w:val="24"/>
          <w:szCs w:val="24"/>
          <w:lang w:val="hy-AM"/>
        </w:rPr>
        <w:t>2024 թվականի սեպտեմբերի 3-ին Հայաստանի Հանրապետության վարչապետի մոտ կայացած խորհրդակցության, թիվ Վ/115-2024 արձանագրության 3.1.2 կետով հանձնարարվել է միջոցներ ձեռնարկել մարզային բժշկական կենտրոնների կառավարման մոդելի փոփոխության ուղղությամբ, որի կատարումն ապահովելու նպատակով անհրաժեշտ է վերջիններիս կառավարման լիազորությունները վերապահել Առողջապահության նախարարին: Բացի այդ հաշվի առնելով, որ 2006 թվականի նոյեմբերի 2-ի թիվ 1911-Ն ՀՀ կառավարության որոշմամբ է սահմանվում մարզային առողջապահական կազմակերպությունների կառավարման լիազորությունները, կամ պարզա</w:t>
      </w:r>
      <w:r w:rsidR="007D53E2">
        <w:rPr>
          <w:rFonts w:ascii="GHEA Grapalat" w:hAnsi="GHEA Grapalat" w:cs="Arial"/>
          <w:sz w:val="24"/>
          <w:szCs w:val="24"/>
          <w:lang w:val="hy-AM"/>
        </w:rPr>
        <w:t>պ</w:t>
      </w:r>
      <w:r w:rsidRPr="00026F47">
        <w:rPr>
          <w:rFonts w:ascii="GHEA Grapalat" w:hAnsi="GHEA Grapalat" w:cs="Arial"/>
          <w:sz w:val="24"/>
          <w:szCs w:val="24"/>
          <w:lang w:val="hy-AM"/>
        </w:rPr>
        <w:t xml:space="preserve">ես որոշների մասով բացակայում է, հետևաբար </w:t>
      </w:r>
      <w:r w:rsidRPr="00026F47">
        <w:rPr>
          <w:rFonts w:ascii="GHEA Grapalat" w:hAnsi="GHEA Grapalat" w:cs="Arial"/>
          <w:sz w:val="24"/>
          <w:szCs w:val="24"/>
          <w:lang w:val="hy-AM"/>
        </w:rPr>
        <w:lastRenderedPageBreak/>
        <w:t xml:space="preserve">անհրաժեշտություն է առաջացել փոփոխություններ և լրացումներ կատարել վերոնշյալ ՀՀ կառավարության որոշման մեջ: </w:t>
      </w:r>
    </w:p>
    <w:p w14:paraId="79020FB8" w14:textId="77777777" w:rsidR="00686638" w:rsidRPr="00026F47" w:rsidRDefault="00686638" w:rsidP="00CB1E24">
      <w:pPr>
        <w:pStyle w:val="NormalWeb"/>
        <w:shd w:val="clear" w:color="auto" w:fill="FFFFFF"/>
        <w:spacing w:before="0" w:beforeAutospacing="0" w:after="0" w:afterAutospacing="0" w:line="360" w:lineRule="auto"/>
        <w:ind w:firstLine="720"/>
        <w:jc w:val="both"/>
        <w:rPr>
          <w:rFonts w:ascii="GHEA Grapalat" w:hAnsi="GHEA Grapalat"/>
          <w:b/>
          <w:bCs/>
          <w:u w:val="single"/>
          <w:lang w:val="hy-AM"/>
        </w:rPr>
      </w:pPr>
      <w:r w:rsidRPr="00026F47">
        <w:rPr>
          <w:rFonts w:ascii="GHEA Grapalat" w:hAnsi="GHEA Grapalat"/>
          <w:b/>
          <w:bCs/>
          <w:color w:val="000000"/>
          <w:lang w:val="hy-AM"/>
        </w:rPr>
        <w:t xml:space="preserve">3. </w:t>
      </w:r>
      <w:r w:rsidRPr="007D53E2">
        <w:rPr>
          <w:rFonts w:ascii="GHEA Grapalat" w:hAnsi="GHEA Grapalat"/>
          <w:b/>
          <w:bCs/>
          <w:lang w:val="hy-AM"/>
        </w:rPr>
        <w:t>Նախագծի մշակման գործընթացում ներգրավված ինստիտուտները</w:t>
      </w:r>
      <w:r w:rsidRPr="00026F47">
        <w:rPr>
          <w:rFonts w:ascii="GHEA Grapalat" w:hAnsi="GHEA Grapalat"/>
          <w:b/>
          <w:bCs/>
          <w:u w:val="single"/>
          <w:lang w:val="hy-AM"/>
        </w:rPr>
        <w:t>.</w:t>
      </w:r>
    </w:p>
    <w:p w14:paraId="5F21FF9A" w14:textId="77777777" w:rsidR="00686638" w:rsidRPr="00026F47" w:rsidRDefault="00686638" w:rsidP="00CB1E24">
      <w:pPr>
        <w:spacing w:after="0" w:line="360" w:lineRule="auto"/>
        <w:ind w:firstLine="708"/>
        <w:jc w:val="both"/>
        <w:rPr>
          <w:rFonts w:ascii="GHEA Grapalat" w:hAnsi="GHEA Grapalat"/>
          <w:sz w:val="24"/>
          <w:szCs w:val="24"/>
          <w:lang w:val="hy-AM"/>
        </w:rPr>
      </w:pPr>
      <w:r w:rsidRPr="00026F47">
        <w:rPr>
          <w:rFonts w:ascii="GHEA Grapalat" w:hAnsi="GHEA Grapalat"/>
          <w:sz w:val="24"/>
          <w:szCs w:val="24"/>
          <w:lang w:val="hy-AM"/>
        </w:rPr>
        <w:t>Նախագիծը մշակվել է Առողջապահության նախարարության աշխատակիցների կողմից:</w:t>
      </w:r>
    </w:p>
    <w:p w14:paraId="16945ECF" w14:textId="77777777" w:rsidR="00686638" w:rsidRPr="007D53E2" w:rsidRDefault="00686638" w:rsidP="00CB1E24">
      <w:pPr>
        <w:pStyle w:val="NormalWeb"/>
        <w:shd w:val="clear" w:color="auto" w:fill="FFFFFF"/>
        <w:spacing w:before="0" w:beforeAutospacing="0" w:after="0" w:afterAutospacing="0" w:line="360" w:lineRule="auto"/>
        <w:ind w:firstLine="720"/>
        <w:jc w:val="both"/>
        <w:rPr>
          <w:rFonts w:ascii="GHEA Grapalat" w:hAnsi="GHEA Grapalat"/>
          <w:b/>
          <w:bCs/>
          <w:lang w:val="hy-AM"/>
        </w:rPr>
      </w:pPr>
      <w:r w:rsidRPr="007D53E2">
        <w:rPr>
          <w:rFonts w:ascii="GHEA Grapalat" w:hAnsi="GHEA Grapalat"/>
          <w:b/>
          <w:bCs/>
          <w:lang w:val="hy-AM"/>
        </w:rPr>
        <w:t>4. Լրացուցիչ</w:t>
      </w:r>
      <w:r w:rsidRPr="007D53E2">
        <w:rPr>
          <w:rFonts w:ascii="Calibri" w:hAnsi="Calibri" w:cs="Calibri"/>
          <w:b/>
          <w:bCs/>
          <w:lang w:val="hy-AM"/>
        </w:rPr>
        <w:t> </w:t>
      </w:r>
      <w:r w:rsidRPr="007D53E2">
        <w:rPr>
          <w:rFonts w:ascii="GHEA Grapalat" w:hAnsi="GHEA Grapalat"/>
          <w:b/>
          <w:bCs/>
          <w:lang w:val="hy-AM"/>
        </w:rPr>
        <w:t>ֆինանսական</w:t>
      </w:r>
      <w:r w:rsidRPr="007D53E2">
        <w:rPr>
          <w:rFonts w:ascii="Calibri" w:hAnsi="Calibri" w:cs="Calibri"/>
          <w:b/>
          <w:bCs/>
          <w:lang w:val="hy-AM"/>
        </w:rPr>
        <w:t> </w:t>
      </w:r>
      <w:r w:rsidRPr="007D53E2">
        <w:rPr>
          <w:rFonts w:ascii="GHEA Grapalat" w:hAnsi="GHEA Grapalat"/>
          <w:b/>
          <w:bCs/>
          <w:lang w:val="hy-AM"/>
        </w:rPr>
        <w:t>միջոցների անհրաժեշտության և պետական բյուջեի եկամուտներում և ծախսերում սպասվելիք փոփոխությունների մասին.</w:t>
      </w:r>
    </w:p>
    <w:p w14:paraId="5505ECB0" w14:textId="77777777" w:rsidR="00686638" w:rsidRPr="00026F47" w:rsidRDefault="00686638" w:rsidP="00CB1E24">
      <w:pPr>
        <w:spacing w:after="0" w:line="360" w:lineRule="auto"/>
        <w:ind w:firstLine="720"/>
        <w:jc w:val="both"/>
        <w:rPr>
          <w:rFonts w:ascii="GHEA Grapalat" w:hAnsi="GHEA Grapalat"/>
          <w:sz w:val="24"/>
          <w:szCs w:val="24"/>
          <w:lang w:val="hy-AM"/>
        </w:rPr>
      </w:pPr>
      <w:r w:rsidRPr="00026F47">
        <w:rPr>
          <w:rFonts w:ascii="GHEA Grapalat" w:eastAsia="Times New Roman" w:hAnsi="GHEA Grapalat"/>
          <w:color w:val="000000"/>
          <w:sz w:val="24"/>
          <w:szCs w:val="24"/>
          <w:lang w:val="hy-AM"/>
        </w:rPr>
        <w:t xml:space="preserve">Իրավական ակտի ընդունմամբ </w:t>
      </w:r>
      <w:r w:rsidRPr="00026F47">
        <w:rPr>
          <w:rFonts w:ascii="GHEA Grapalat" w:hAnsi="GHEA Grapalat"/>
          <w:sz w:val="24"/>
          <w:lang w:val="hy-AM"/>
        </w:rPr>
        <w:t>Հայաստանի Հանրապետության պետական բյուջեի եկամուտների էական նվազեցում կամ ծախսերի ավելացում տեղի չի ունենա:</w:t>
      </w:r>
    </w:p>
    <w:p w14:paraId="6A1F82C1" w14:textId="78CC1604" w:rsidR="00686638" w:rsidRPr="00026F47" w:rsidRDefault="00686638" w:rsidP="00CB1E24">
      <w:pPr>
        <w:tabs>
          <w:tab w:val="left" w:pos="567"/>
        </w:tabs>
        <w:spacing w:after="0" w:line="360" w:lineRule="auto"/>
        <w:ind w:firstLine="720"/>
        <w:jc w:val="both"/>
        <w:rPr>
          <w:rFonts w:ascii="GHEA Grapalat" w:hAnsi="GHEA Grapalat" w:cs="Sylfaen"/>
          <w:b/>
          <w:i/>
          <w:sz w:val="24"/>
          <w:szCs w:val="24"/>
          <w:lang w:val="hy-AM"/>
        </w:rPr>
      </w:pPr>
      <w:r w:rsidRPr="00026F47">
        <w:rPr>
          <w:rFonts w:ascii="GHEA Grapalat" w:hAnsi="GHEA Grapalat" w:cs="Sylfaen"/>
          <w:b/>
          <w:sz w:val="24"/>
          <w:szCs w:val="24"/>
          <w:lang w:val="hy-AM"/>
        </w:rPr>
        <w:t>5. Կապը ռազմավարական փաստաթղթերի հետ. Հայաստանի վերափոխման ռազմա</w:t>
      </w:r>
      <w:r w:rsidRPr="00026F47">
        <w:rPr>
          <w:rFonts w:ascii="GHEA Grapalat" w:hAnsi="GHEA Grapalat" w:cs="Sylfaen"/>
          <w:b/>
          <w:sz w:val="24"/>
          <w:szCs w:val="24"/>
          <w:lang w:val="hy-AM"/>
        </w:rPr>
        <w:softHyphen/>
        <w:t>վա</w:t>
      </w:r>
      <w:r w:rsidRPr="00026F47">
        <w:rPr>
          <w:rFonts w:ascii="GHEA Grapalat" w:hAnsi="GHEA Grapalat" w:cs="Sylfaen"/>
          <w:b/>
          <w:sz w:val="24"/>
          <w:szCs w:val="24"/>
          <w:lang w:val="hy-AM"/>
        </w:rPr>
        <w:softHyphen/>
        <w:t>րու</w:t>
      </w:r>
      <w:r w:rsidRPr="00026F47">
        <w:rPr>
          <w:rFonts w:ascii="GHEA Grapalat" w:hAnsi="GHEA Grapalat" w:cs="Sylfaen"/>
          <w:b/>
          <w:sz w:val="24"/>
          <w:szCs w:val="24"/>
          <w:lang w:val="hy-AM"/>
        </w:rPr>
        <w:softHyphen/>
        <w:t>թյուն 2050, Կառավարության 2021-2026թթ. ծրագիր, ոլորտային և/կամ այլ ռազմա</w:t>
      </w:r>
      <w:r w:rsidRPr="00026F47">
        <w:rPr>
          <w:rFonts w:ascii="GHEA Grapalat" w:hAnsi="GHEA Grapalat" w:cs="Sylfaen"/>
          <w:b/>
          <w:sz w:val="24"/>
          <w:szCs w:val="24"/>
          <w:lang w:val="hy-AM"/>
        </w:rPr>
        <w:softHyphen/>
        <w:t>վա</w:t>
      </w:r>
      <w:r w:rsidRPr="00026F47">
        <w:rPr>
          <w:rFonts w:ascii="GHEA Grapalat" w:hAnsi="GHEA Grapalat" w:cs="Sylfaen"/>
          <w:b/>
          <w:sz w:val="24"/>
          <w:szCs w:val="24"/>
          <w:lang w:val="hy-AM"/>
        </w:rPr>
        <w:softHyphen/>
        <w:t>րու</w:t>
      </w:r>
      <w:r w:rsidRPr="00026F47">
        <w:rPr>
          <w:rFonts w:ascii="GHEA Grapalat" w:hAnsi="GHEA Grapalat" w:cs="Sylfaen"/>
          <w:b/>
          <w:sz w:val="24"/>
          <w:szCs w:val="24"/>
          <w:lang w:val="hy-AM"/>
        </w:rPr>
        <w:softHyphen/>
        <w:t>թյուն</w:t>
      </w:r>
      <w:r w:rsidRPr="00026F47">
        <w:rPr>
          <w:rFonts w:ascii="GHEA Grapalat" w:hAnsi="GHEA Grapalat" w:cs="Sylfaen"/>
          <w:b/>
          <w:sz w:val="24"/>
          <w:szCs w:val="24"/>
          <w:lang w:val="hy-AM"/>
        </w:rPr>
        <w:softHyphen/>
        <w:t>ներ</w:t>
      </w:r>
    </w:p>
    <w:p w14:paraId="0DE01F5A" w14:textId="63348114" w:rsidR="00686638" w:rsidRPr="00026F47" w:rsidRDefault="00686638" w:rsidP="00CB1E24">
      <w:pPr>
        <w:pStyle w:val="NormalWeb"/>
        <w:spacing w:before="0" w:beforeAutospacing="0" w:after="0" w:afterAutospacing="0" w:line="360" w:lineRule="auto"/>
        <w:ind w:firstLine="709"/>
        <w:jc w:val="both"/>
        <w:rPr>
          <w:rFonts w:ascii="GHEA Grapalat" w:hAnsi="GHEA Grapalat" w:cs="Sylfaen"/>
          <w:lang w:val="pt-BR"/>
        </w:rPr>
      </w:pPr>
      <w:r w:rsidRPr="00026F47">
        <w:rPr>
          <w:rFonts w:ascii="GHEA Grapalat" w:hAnsi="GHEA Grapalat"/>
          <w:lang w:val="pt-BR"/>
        </w:rPr>
        <w:t xml:space="preserve">Նախագծի ընդունումը չի բխում ռազմավարական փաստաթղթերից: </w:t>
      </w:r>
    </w:p>
    <w:sectPr w:rsidR="00686638" w:rsidRPr="00026F47" w:rsidSect="00B52863">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75333"/>
    <w:multiLevelType w:val="hybridMultilevel"/>
    <w:tmpl w:val="B2D89F42"/>
    <w:lvl w:ilvl="0" w:tplc="056EA202">
      <w:start w:val="1"/>
      <w:numFmt w:val="decimal"/>
      <w:lvlText w:val="%1."/>
      <w:lvlJc w:val="left"/>
      <w:pPr>
        <w:ind w:left="1694" w:hanging="600"/>
      </w:pPr>
      <w:rPr>
        <w:rFonts w:hint="default"/>
        <w:b/>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 w15:restartNumberingAfterBreak="0">
    <w:nsid w:val="4EF55A80"/>
    <w:multiLevelType w:val="hybridMultilevel"/>
    <w:tmpl w:val="3C366A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A39"/>
    <w:rsid w:val="00026F47"/>
    <w:rsid w:val="00032EF7"/>
    <w:rsid w:val="00037BE7"/>
    <w:rsid w:val="00040D66"/>
    <w:rsid w:val="000779FA"/>
    <w:rsid w:val="000D63D7"/>
    <w:rsid w:val="000D77C0"/>
    <w:rsid w:val="001146A7"/>
    <w:rsid w:val="00127946"/>
    <w:rsid w:val="00183A39"/>
    <w:rsid w:val="00192B52"/>
    <w:rsid w:val="001C4374"/>
    <w:rsid w:val="001E673A"/>
    <w:rsid w:val="002432D8"/>
    <w:rsid w:val="00261490"/>
    <w:rsid w:val="002806B5"/>
    <w:rsid w:val="0028286D"/>
    <w:rsid w:val="002A44F7"/>
    <w:rsid w:val="002B7C6C"/>
    <w:rsid w:val="002D031C"/>
    <w:rsid w:val="002E25F8"/>
    <w:rsid w:val="002E4997"/>
    <w:rsid w:val="00323618"/>
    <w:rsid w:val="003308FD"/>
    <w:rsid w:val="00334DEA"/>
    <w:rsid w:val="0035031B"/>
    <w:rsid w:val="00367AEB"/>
    <w:rsid w:val="003A1F3D"/>
    <w:rsid w:val="003B05AB"/>
    <w:rsid w:val="003C792D"/>
    <w:rsid w:val="003D4931"/>
    <w:rsid w:val="00456B9C"/>
    <w:rsid w:val="004808C9"/>
    <w:rsid w:val="00483743"/>
    <w:rsid w:val="004B79D1"/>
    <w:rsid w:val="004E0CA2"/>
    <w:rsid w:val="00511EB0"/>
    <w:rsid w:val="005676F5"/>
    <w:rsid w:val="00575EA4"/>
    <w:rsid w:val="00582720"/>
    <w:rsid w:val="005A6F2D"/>
    <w:rsid w:val="006173AB"/>
    <w:rsid w:val="0063467A"/>
    <w:rsid w:val="00653F78"/>
    <w:rsid w:val="00663BD7"/>
    <w:rsid w:val="00686638"/>
    <w:rsid w:val="00693B3E"/>
    <w:rsid w:val="006962AA"/>
    <w:rsid w:val="006B11C0"/>
    <w:rsid w:val="006E6F3E"/>
    <w:rsid w:val="006F6BC0"/>
    <w:rsid w:val="006F7A85"/>
    <w:rsid w:val="007429B6"/>
    <w:rsid w:val="00743B9F"/>
    <w:rsid w:val="007460AD"/>
    <w:rsid w:val="007A2484"/>
    <w:rsid w:val="007C3963"/>
    <w:rsid w:val="007D53E2"/>
    <w:rsid w:val="008104DF"/>
    <w:rsid w:val="008135E6"/>
    <w:rsid w:val="00827282"/>
    <w:rsid w:val="00835D92"/>
    <w:rsid w:val="00873684"/>
    <w:rsid w:val="0088735E"/>
    <w:rsid w:val="00891A61"/>
    <w:rsid w:val="00897B7D"/>
    <w:rsid w:val="008B523A"/>
    <w:rsid w:val="008D366F"/>
    <w:rsid w:val="008D5826"/>
    <w:rsid w:val="008E0897"/>
    <w:rsid w:val="008F603E"/>
    <w:rsid w:val="00901A95"/>
    <w:rsid w:val="00932247"/>
    <w:rsid w:val="00950A1E"/>
    <w:rsid w:val="009654E1"/>
    <w:rsid w:val="009837DC"/>
    <w:rsid w:val="00993235"/>
    <w:rsid w:val="00994122"/>
    <w:rsid w:val="009A207A"/>
    <w:rsid w:val="009C3D10"/>
    <w:rsid w:val="009D4FD2"/>
    <w:rsid w:val="009D7846"/>
    <w:rsid w:val="00A1096D"/>
    <w:rsid w:val="00A15117"/>
    <w:rsid w:val="00A3521B"/>
    <w:rsid w:val="00A53239"/>
    <w:rsid w:val="00A81C17"/>
    <w:rsid w:val="00A84793"/>
    <w:rsid w:val="00A93518"/>
    <w:rsid w:val="00AC2B83"/>
    <w:rsid w:val="00AD72BC"/>
    <w:rsid w:val="00AF0BCD"/>
    <w:rsid w:val="00B10BEC"/>
    <w:rsid w:val="00B52863"/>
    <w:rsid w:val="00BA0A09"/>
    <w:rsid w:val="00BA6E93"/>
    <w:rsid w:val="00BF72CE"/>
    <w:rsid w:val="00C5769C"/>
    <w:rsid w:val="00C7496A"/>
    <w:rsid w:val="00C93AC8"/>
    <w:rsid w:val="00CB1E24"/>
    <w:rsid w:val="00CC5B59"/>
    <w:rsid w:val="00D06CA5"/>
    <w:rsid w:val="00D166A9"/>
    <w:rsid w:val="00D2703E"/>
    <w:rsid w:val="00D31F27"/>
    <w:rsid w:val="00D35130"/>
    <w:rsid w:val="00D44868"/>
    <w:rsid w:val="00D62996"/>
    <w:rsid w:val="00D755EC"/>
    <w:rsid w:val="00D8395A"/>
    <w:rsid w:val="00D87EC8"/>
    <w:rsid w:val="00D90947"/>
    <w:rsid w:val="00DC59C3"/>
    <w:rsid w:val="00E221DF"/>
    <w:rsid w:val="00E4770F"/>
    <w:rsid w:val="00E73A61"/>
    <w:rsid w:val="00EF64DE"/>
    <w:rsid w:val="00F27688"/>
    <w:rsid w:val="00F32043"/>
    <w:rsid w:val="00F42CCF"/>
    <w:rsid w:val="00F958BD"/>
    <w:rsid w:val="00FA585B"/>
    <w:rsid w:val="00FA7018"/>
    <w:rsid w:val="00FC20F7"/>
    <w:rsid w:val="00FF4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BAA4"/>
  <w15:docId w15:val="{AF063D00-6A33-49F1-B061-A2064918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B7D"/>
    <w:rPr>
      <w:rFonts w:ascii="Segoe UI" w:eastAsia="Calibri" w:hAnsi="Segoe UI" w:cs="Segoe UI"/>
      <w:sz w:val="18"/>
      <w:szCs w:val="18"/>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68663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68663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E4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88752">
      <w:bodyDiv w:val="1"/>
      <w:marLeft w:val="0"/>
      <w:marRight w:val="0"/>
      <w:marTop w:val="0"/>
      <w:marBottom w:val="0"/>
      <w:divBdr>
        <w:top w:val="none" w:sz="0" w:space="0" w:color="auto"/>
        <w:left w:val="none" w:sz="0" w:space="0" w:color="auto"/>
        <w:bottom w:val="none" w:sz="0" w:space="0" w:color="auto"/>
        <w:right w:val="none" w:sz="0" w:space="0" w:color="auto"/>
      </w:divBdr>
    </w:div>
    <w:div w:id="151738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BD64738D-A8B0-423C-978C-69D7D15D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Global</dc:creator>
  <cp:keywords>https:/mul2.gov.am/tasks/411990/oneclick/Himnavorum_489.docx?token=2996bf85bf53cd425d15795975d3527a</cp:keywords>
  <cp:lastModifiedBy>MOH</cp:lastModifiedBy>
  <cp:revision>3</cp:revision>
  <cp:lastPrinted>2021-02-19T07:12:00Z</cp:lastPrinted>
  <dcterms:created xsi:type="dcterms:W3CDTF">2025-01-17T08:55:00Z</dcterms:created>
  <dcterms:modified xsi:type="dcterms:W3CDTF">2025-01-17T08:55:00Z</dcterms:modified>
</cp:coreProperties>
</file>