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00BE2" w14:textId="77777777" w:rsidR="00D62FD7" w:rsidRPr="005D5C86" w:rsidRDefault="00D62FD7" w:rsidP="00F92D06">
      <w:pPr>
        <w:jc w:val="center"/>
        <w:rPr>
          <w:rFonts w:ascii="GHEA Grapalat" w:hAnsi="GHEA Grapalat" w:cs="Sylfaen"/>
          <w:b/>
          <w:color w:val="000000" w:themeColor="text1"/>
          <w:sz w:val="24"/>
          <w:szCs w:val="24"/>
          <w:shd w:val="clear" w:color="auto" w:fill="FFFFFF"/>
          <w:lang w:val="hy-AM"/>
        </w:rPr>
      </w:pPr>
      <w:r w:rsidRPr="005D5C86">
        <w:rPr>
          <w:rFonts w:ascii="GHEA Grapalat" w:hAnsi="GHEA Grapalat" w:cs="Sylfaen"/>
          <w:b/>
          <w:color w:val="000000" w:themeColor="text1"/>
          <w:sz w:val="24"/>
          <w:szCs w:val="24"/>
          <w:shd w:val="clear" w:color="auto" w:fill="FFFFFF"/>
          <w:lang w:val="hy-AM"/>
        </w:rPr>
        <w:t>ՀԻՄՆԱՎՈՐՈՒՄ</w:t>
      </w:r>
    </w:p>
    <w:p w14:paraId="785E498B" w14:textId="34CECC73" w:rsidR="003555A4" w:rsidRPr="005D5C86" w:rsidRDefault="003555A4" w:rsidP="00F92D06">
      <w:pPr>
        <w:shd w:val="clear" w:color="auto" w:fill="FFFFFF"/>
        <w:spacing w:after="0"/>
        <w:jc w:val="center"/>
        <w:rPr>
          <w:rFonts w:ascii="GHEA Grapalat" w:eastAsia="Times New Roman" w:hAnsi="GHEA Grapalat" w:cs="Times New Roman"/>
          <w:b/>
          <w:bCs/>
          <w:color w:val="000000"/>
          <w:sz w:val="24"/>
          <w:szCs w:val="24"/>
          <w:lang w:val="hy-AM"/>
        </w:rPr>
      </w:pPr>
      <w:r w:rsidRPr="005D5C86">
        <w:rPr>
          <w:rFonts w:ascii="GHEA Grapalat" w:eastAsia="Times New Roman" w:hAnsi="GHEA Grapalat" w:cs="Times New Roman"/>
          <w:b/>
          <w:bCs/>
          <w:color w:val="000000"/>
          <w:sz w:val="24"/>
          <w:szCs w:val="24"/>
          <w:lang w:val="hy-AM"/>
        </w:rPr>
        <w:t xml:space="preserve">«ՀԱՅԱՍՏԱՆԻ ՀԱՆՐԱՊԵՏՈՒԹՅԱՆ ԿԱՌԱՎԱՐՈՒԹՅԱՆ 2023 ԹՎԱԿԱՆԻ </w:t>
      </w:r>
    </w:p>
    <w:p w14:paraId="5A54D549" w14:textId="05637B76" w:rsidR="00D62FD7" w:rsidRPr="005D5C86" w:rsidRDefault="003555A4" w:rsidP="00F92D06">
      <w:pPr>
        <w:shd w:val="clear" w:color="auto" w:fill="FFFFFF"/>
        <w:spacing w:after="0"/>
        <w:jc w:val="center"/>
        <w:rPr>
          <w:rFonts w:ascii="GHEA Grapalat" w:eastAsia="Times New Roman" w:hAnsi="GHEA Grapalat" w:cs="Times New Roman"/>
          <w:color w:val="000000"/>
          <w:sz w:val="24"/>
          <w:szCs w:val="24"/>
          <w:lang w:val="hy-AM"/>
        </w:rPr>
      </w:pPr>
      <w:r w:rsidRPr="005D5C86">
        <w:rPr>
          <w:rFonts w:ascii="GHEA Grapalat" w:eastAsia="Times New Roman" w:hAnsi="GHEA Grapalat" w:cs="Times New Roman"/>
          <w:b/>
          <w:bCs/>
          <w:color w:val="000000"/>
          <w:sz w:val="24"/>
          <w:szCs w:val="24"/>
          <w:lang w:val="hy-AM"/>
        </w:rPr>
        <w:t>ՕԳՈՍՏՈՍԻ 24-Ի N 1450-Լ ՈՐՈՇՄԱՆ ՄԵՋ ՓՈՓՈԽՈՒԹՅՈՒՆՆԵՐ ԿԱՏԱՐԵԼՈՒ ՄԱՍԻՆ»</w:t>
      </w:r>
      <w:r w:rsidRPr="005D5C86">
        <w:rPr>
          <w:rFonts w:ascii="GHEA Grapalat" w:eastAsia="Times New Roman" w:hAnsi="GHEA Grapalat" w:cs="Times New Roman"/>
          <w:color w:val="000000"/>
          <w:sz w:val="24"/>
          <w:szCs w:val="24"/>
          <w:lang w:val="hy-AM"/>
        </w:rPr>
        <w:t xml:space="preserve"> </w:t>
      </w:r>
      <w:r w:rsidRPr="005D5C86">
        <w:rPr>
          <w:rFonts w:ascii="GHEA Grapalat" w:eastAsia="Times New Roman" w:hAnsi="GHEA Grapalat" w:cs="Times New Roman"/>
          <w:b/>
          <w:bCs/>
          <w:color w:val="000000"/>
          <w:sz w:val="24"/>
          <w:szCs w:val="24"/>
          <w:lang w:val="hy-AM"/>
        </w:rPr>
        <w:t xml:space="preserve">ՀԱՅԱՍՏԱՆԻ ՀԱՆՐԱՊԵՏՈՒԹՅԱՆ ԿԱՌԱՎԱՐՈՒԹՅԱՆ ՈՐՈՇՄԱՆ </w:t>
      </w:r>
      <w:r w:rsidR="00D62FD7" w:rsidRPr="005D5C86">
        <w:rPr>
          <w:rFonts w:ascii="GHEA Grapalat" w:hAnsi="GHEA Grapalat" w:cs="Sylfaen"/>
          <w:b/>
          <w:color w:val="000000" w:themeColor="text1"/>
          <w:sz w:val="24"/>
          <w:szCs w:val="24"/>
          <w:shd w:val="clear" w:color="auto" w:fill="FFFFFF"/>
          <w:lang w:val="hy-AM"/>
        </w:rPr>
        <w:t>ՆԱԽԱԳԾԻ ԸՆԴՈՒՆՄԱՆ ՎԵՐԱԲԵՐՅԱԼ</w:t>
      </w:r>
    </w:p>
    <w:p w14:paraId="038738DA" w14:textId="77777777" w:rsidR="009103D5" w:rsidRPr="005D5C86" w:rsidRDefault="009103D5" w:rsidP="00F92D06">
      <w:pPr>
        <w:pStyle w:val="BodyText3"/>
        <w:spacing w:after="0" w:line="276" w:lineRule="auto"/>
        <w:ind w:left="180" w:firstLine="540"/>
        <w:jc w:val="center"/>
        <w:rPr>
          <w:rFonts w:ascii="GHEA Grapalat" w:eastAsia="Calibri" w:hAnsi="GHEA Grapalat"/>
          <w:b/>
          <w:sz w:val="24"/>
          <w:szCs w:val="24"/>
          <w:lang w:val="fr-FR"/>
        </w:rPr>
      </w:pPr>
    </w:p>
    <w:p w14:paraId="759CA2D0" w14:textId="7187EA25" w:rsidR="00D62FD7" w:rsidRPr="005D5C86" w:rsidRDefault="00CC2843" w:rsidP="00F92D06">
      <w:pPr>
        <w:pStyle w:val="NormalWeb"/>
        <w:widowControl w:val="0"/>
        <w:numPr>
          <w:ilvl w:val="0"/>
          <w:numId w:val="1"/>
        </w:numPr>
        <w:spacing w:before="0" w:beforeAutospacing="0" w:after="0" w:afterAutospacing="0" w:line="276" w:lineRule="auto"/>
        <w:ind w:left="0" w:firstLine="426"/>
        <w:jc w:val="both"/>
        <w:rPr>
          <w:rFonts w:ascii="GHEA Grapalat" w:eastAsiaTheme="minorHAnsi" w:hAnsi="GHEA Grapalat" w:cs="Sylfaen"/>
          <w:b/>
          <w:color w:val="000000" w:themeColor="text1"/>
          <w:shd w:val="clear" w:color="auto" w:fill="FFFFFF"/>
          <w:lang w:val="hy-AM"/>
        </w:rPr>
      </w:pPr>
      <w:r w:rsidRPr="005D5C86">
        <w:rPr>
          <w:rFonts w:ascii="GHEA Grapalat" w:eastAsiaTheme="minorHAnsi" w:hAnsi="GHEA Grapalat" w:cs="Sylfaen"/>
          <w:b/>
          <w:color w:val="000000" w:themeColor="text1"/>
          <w:shd w:val="clear" w:color="auto" w:fill="FFFFFF"/>
          <w:lang w:val="hy-AM"/>
        </w:rPr>
        <w:t>Նախագծի ընդունման</w:t>
      </w:r>
      <w:r w:rsidR="00D62FD7" w:rsidRPr="005D5C86">
        <w:rPr>
          <w:rFonts w:ascii="GHEA Grapalat" w:eastAsiaTheme="minorHAnsi" w:hAnsi="GHEA Grapalat" w:cs="Sylfaen"/>
          <w:b/>
          <w:color w:val="000000" w:themeColor="text1"/>
          <w:shd w:val="clear" w:color="auto" w:fill="FFFFFF"/>
          <w:lang w:val="hy-AM"/>
        </w:rPr>
        <w:t xml:space="preserve"> անհրաժեշտությունը և նպատակը</w:t>
      </w:r>
      <w:r w:rsidR="006F23B8" w:rsidRPr="005D5C86">
        <w:rPr>
          <w:rFonts w:ascii="Cambria Math" w:eastAsiaTheme="minorHAnsi" w:hAnsi="Cambria Math" w:cs="Cambria Math"/>
          <w:b/>
          <w:color w:val="000000" w:themeColor="text1"/>
          <w:shd w:val="clear" w:color="auto" w:fill="FFFFFF"/>
          <w:lang w:val="hy-AM"/>
        </w:rPr>
        <w:t>․</w:t>
      </w:r>
    </w:p>
    <w:p w14:paraId="7BD9A69B" w14:textId="2D58FA9B" w:rsidR="0028261D" w:rsidRPr="005D5C86" w:rsidRDefault="00526C52" w:rsidP="00F92D06">
      <w:pPr>
        <w:pStyle w:val="ListParagraph"/>
        <w:ind w:left="142" w:right="30" w:firstLine="284"/>
        <w:jc w:val="both"/>
        <w:rPr>
          <w:rFonts w:ascii="GHEA Grapalat" w:hAnsi="GHEA Grapalat" w:cs="Times New Roman"/>
          <w:sz w:val="24"/>
          <w:szCs w:val="24"/>
          <w:lang w:val="hy-AM"/>
        </w:rPr>
      </w:pPr>
      <w:r w:rsidRPr="005D5C86">
        <w:rPr>
          <w:rFonts w:ascii="GHEA Grapalat" w:hAnsi="GHEA Grapalat" w:cs="Times New Roman"/>
          <w:sz w:val="24"/>
          <w:szCs w:val="24"/>
          <w:lang w:val="hy-AM"/>
        </w:rPr>
        <w:t>1</w:t>
      </w:r>
      <w:r w:rsidRPr="005D5C86">
        <w:rPr>
          <w:rFonts w:ascii="Cambria Math" w:hAnsi="Cambria Math" w:cs="Cambria Math"/>
          <w:sz w:val="24"/>
          <w:szCs w:val="24"/>
          <w:lang w:val="hy-AM"/>
        </w:rPr>
        <w:t>․</w:t>
      </w:r>
      <w:r w:rsidRPr="005D5C86">
        <w:rPr>
          <w:rFonts w:ascii="GHEA Grapalat" w:hAnsi="GHEA Grapalat" w:cs="Times New Roman"/>
          <w:sz w:val="24"/>
          <w:szCs w:val="24"/>
          <w:lang w:val="hy-AM"/>
        </w:rPr>
        <w:t>1</w:t>
      </w:r>
      <w:r w:rsidRPr="005D5C86">
        <w:rPr>
          <w:rFonts w:ascii="Cambria Math" w:hAnsi="Cambria Math" w:cs="Cambria Math"/>
          <w:sz w:val="24"/>
          <w:szCs w:val="24"/>
          <w:lang w:val="hy-AM"/>
        </w:rPr>
        <w:t>․</w:t>
      </w:r>
      <w:r w:rsidRPr="005D5C86">
        <w:rPr>
          <w:rFonts w:ascii="GHEA Grapalat" w:hAnsi="GHEA Grapalat" w:cs="Times New Roman"/>
          <w:sz w:val="24"/>
          <w:szCs w:val="24"/>
          <w:lang w:val="hy-AM"/>
        </w:rPr>
        <w:t xml:space="preserve"> </w:t>
      </w:r>
      <w:r w:rsidR="00FB3B0F" w:rsidRPr="005D5C86">
        <w:rPr>
          <w:rFonts w:ascii="GHEA Grapalat" w:hAnsi="GHEA Grapalat" w:cs="Times New Roman"/>
          <w:sz w:val="24"/>
          <w:szCs w:val="24"/>
          <w:lang w:val="hy-AM"/>
        </w:rPr>
        <w:t>Կառավարության 2023 թվականի օգոստոսի 24-ի «Ներդրումների ներգրավման ծրագիրը հաստատելու մասին» N 1450-Լ որոշմամբ հաստատված N 2 հավելվածի 5-րդ կետով նախատեսված է իրականացնել «Հողային օրենսգրքում փոփոխություններ և լրացումներ կատարելու մասին օրենքի ընդունում (հողերի նպատակային նշանակության փոփոխության հետ կապված ընթացակարգերի պարզեցում և խոչընդոտների վերացում)» միջոցառումը։ Խոսքը գնում է հողերի նպատակային նշանակության փոփոխության հետ կապված ընթացակարգերի պարզեցման և առկա խոչընդոտների վերացման մասին։ Մասնավորապես, ինչպես ներկայացված է հիշատակված ծրագրում, հողամասերի նպատակային նշանակության փոփոխության ձգձգումները պայմանավորված են նրանով, որ հարցի լուծումը բազմափուլ է և դրանում ներգրավված են բազմաթիվ պետական կառավարման մարմիններ, որոնց կողմից իրականացվող գործառույթներն իրականացվում են իրար հաջորդելով, երբեմն տարբեր մարմինների կողմից առկա են գործառույթների կրկնություն, ինչը վերջնարդյունքում հանգեցնում է վարչարարության ավելացմանը և խոչընդոտ է հանդիսանում ներդրումների ներգրավման համար: Էկոնոմիկայի նախարարության նախաձեռնությամբ շահագրգիռ մարմինների հետ տեղի են ունեցել մի շարք հանդիպումներ և քննարկումներ, որոնց ընթացքում առաջարկ</w:t>
      </w:r>
      <w:r w:rsidR="00910506">
        <w:rPr>
          <w:rFonts w:ascii="GHEA Grapalat" w:hAnsi="GHEA Grapalat" w:cs="Times New Roman"/>
          <w:sz w:val="24"/>
          <w:szCs w:val="24"/>
          <w:lang w:val="hy-AM"/>
        </w:rPr>
        <w:t>վ</w:t>
      </w:r>
      <w:r w:rsidR="00FB3B0F" w:rsidRPr="005D5C86">
        <w:rPr>
          <w:rFonts w:ascii="GHEA Grapalat" w:hAnsi="GHEA Grapalat" w:cs="Times New Roman"/>
          <w:sz w:val="24"/>
          <w:szCs w:val="24"/>
          <w:lang w:val="hy-AM"/>
        </w:rPr>
        <w:t>ել է հողերի նպատակային նշանակության փոփոխության հետ կապված ընթացակարգերը դիտարկել ներկայումս ընթացող թվայնացման քաղաքականության շրջանակում։ Առաջարկվել է հողերի նպատակային նշանակության փոփոխության հետ կապված ընթացակարգերում առկա խոչընդոտները վերացնելու նպատակով՝  գործընթացը փոխակերպել թվային եղանակի՝ ներառելով ծառայության թվային փոխակերպման տեխնիկական և այլ հաջորդական իրականացման գործընթացները:</w:t>
      </w:r>
    </w:p>
    <w:p w14:paraId="338C359E" w14:textId="77777777" w:rsidR="00331742" w:rsidRPr="005D5C86" w:rsidRDefault="0028261D" w:rsidP="00F92D06">
      <w:pPr>
        <w:pStyle w:val="ListParagraph"/>
        <w:ind w:left="142" w:right="30" w:firstLine="284"/>
        <w:jc w:val="both"/>
        <w:rPr>
          <w:rFonts w:ascii="GHEA Grapalat" w:hAnsi="GHEA Grapalat" w:cs="Times New Roman"/>
          <w:sz w:val="24"/>
          <w:szCs w:val="24"/>
          <w:lang w:val="hy-AM"/>
        </w:rPr>
      </w:pPr>
      <w:r w:rsidRPr="005D5C86">
        <w:rPr>
          <w:rFonts w:ascii="GHEA Grapalat" w:hAnsi="GHEA Grapalat" w:cs="Times New Roman"/>
          <w:sz w:val="24"/>
          <w:szCs w:val="24"/>
          <w:lang w:val="hy-AM"/>
        </w:rPr>
        <w:t>Միաժամանակ, Ք</w:t>
      </w:r>
      <w:r w:rsidRPr="0028261D">
        <w:rPr>
          <w:rFonts w:ascii="GHEA Grapalat" w:hAnsi="GHEA Grapalat" w:cs="Times New Roman"/>
          <w:sz w:val="24"/>
          <w:szCs w:val="24"/>
          <w:lang w:val="hy-AM"/>
        </w:rPr>
        <w:t xml:space="preserve">աղաքաշինության կոմիտեն </w:t>
      </w:r>
      <w:r w:rsidRPr="005D5C86">
        <w:rPr>
          <w:rFonts w:ascii="GHEA Grapalat" w:hAnsi="GHEA Grapalat" w:cs="Times New Roman"/>
          <w:sz w:val="24"/>
          <w:szCs w:val="24"/>
          <w:lang w:val="hy-AM"/>
        </w:rPr>
        <w:t xml:space="preserve">(այսուհետ՝ Կոմիտե) </w:t>
      </w:r>
      <w:r w:rsidRPr="0028261D">
        <w:rPr>
          <w:rFonts w:ascii="GHEA Grapalat" w:hAnsi="GHEA Grapalat" w:cs="Times New Roman"/>
          <w:sz w:val="24"/>
          <w:szCs w:val="24"/>
          <w:lang w:val="hy-AM"/>
        </w:rPr>
        <w:t>2023 թվականի ապրիլի 13-ի ««Քաղաքաշինության մասին» օրենքում փոփոխություններ և լրացումներ կատա</w:t>
      </w:r>
      <w:r w:rsidRPr="0028261D">
        <w:rPr>
          <w:rFonts w:ascii="GHEA Grapalat" w:hAnsi="GHEA Grapalat" w:cs="Times New Roman"/>
          <w:sz w:val="24"/>
          <w:szCs w:val="24"/>
          <w:lang w:val="hy-AM"/>
        </w:rPr>
        <w:softHyphen/>
        <w:t>րելու մասին» ՀՕ-139-Ն օրենքի ընդունմամբ ««Քաղաքաշինության մասին» օրենքում փոփոխություններ և լրացումներ կատարելու մասին» Հայաստանի Հանրապետության 2023 թվականի ապրիլի 13-ի N ՀՕ-139-Ն օրենքի կիրարկումն ապահովող միջոցառումներով պայմանավորված մշակել է «Հայաստանի Հանրապետության կառավարության 2011 թվականի դեկտեմբերի 29-ի N</w:t>
      </w:r>
      <w:r w:rsidRPr="005D5C86">
        <w:rPr>
          <w:rFonts w:ascii="GHEA Grapalat" w:hAnsi="GHEA Grapalat" w:cs="Times New Roman"/>
          <w:sz w:val="24"/>
          <w:szCs w:val="24"/>
          <w:lang w:val="hy-AM"/>
        </w:rPr>
        <w:t xml:space="preserve"> </w:t>
      </w:r>
      <w:r w:rsidRPr="0028261D">
        <w:rPr>
          <w:rFonts w:ascii="GHEA Grapalat" w:hAnsi="GHEA Grapalat" w:cs="Times New Roman"/>
          <w:sz w:val="24"/>
          <w:szCs w:val="24"/>
          <w:lang w:val="hy-AM"/>
        </w:rPr>
        <w:t>1920-Ն որոշման մեջ լրացումներ և փոփոխություններ կատարելու մասին» Հայաստանի Հանրապետության կառավարության որոշման նախագծի (այսուհետ՝ Որոշման</w:t>
      </w:r>
      <w:r w:rsidRPr="0028261D">
        <w:rPr>
          <w:rFonts w:ascii="Calibri" w:hAnsi="Calibri" w:cs="Calibri"/>
          <w:sz w:val="24"/>
          <w:szCs w:val="24"/>
          <w:lang w:val="hy-AM"/>
        </w:rPr>
        <w:t> </w:t>
      </w:r>
      <w:r w:rsidRPr="0028261D">
        <w:rPr>
          <w:rFonts w:ascii="GHEA Grapalat" w:hAnsi="GHEA Grapalat" w:cs="Times New Roman"/>
          <w:sz w:val="24"/>
          <w:szCs w:val="24"/>
          <w:lang w:val="hy-AM"/>
        </w:rPr>
        <w:t>նախագիծ) փաթեթը:</w:t>
      </w:r>
    </w:p>
    <w:p w14:paraId="2706D017" w14:textId="77777777" w:rsidR="00331742" w:rsidRPr="005D5C86" w:rsidRDefault="0028261D" w:rsidP="00F92D06">
      <w:pPr>
        <w:pStyle w:val="ListParagraph"/>
        <w:ind w:left="142" w:right="30" w:firstLine="284"/>
        <w:jc w:val="both"/>
        <w:rPr>
          <w:rFonts w:ascii="GHEA Grapalat" w:hAnsi="GHEA Grapalat" w:cs="Times New Roman"/>
          <w:sz w:val="24"/>
          <w:szCs w:val="24"/>
          <w:lang w:val="hy-AM"/>
        </w:rPr>
      </w:pPr>
      <w:r w:rsidRPr="0028261D">
        <w:rPr>
          <w:rFonts w:ascii="GHEA Grapalat" w:hAnsi="GHEA Grapalat" w:cs="Times New Roman"/>
          <w:sz w:val="24"/>
          <w:szCs w:val="24"/>
          <w:lang w:val="hy-AM"/>
        </w:rPr>
        <w:t xml:space="preserve">Որոշման նախագծով առանձին հողամասերի նպատակային նշանակությունը փոխելու նպատակով համայնքի ղեկավարի կողմից հստակեցվելու են Կոմիտեի համաձայնեցմանը ներկայացվող հողամասերի նպատակային նշանակության փոփոխությունների առաջարկությունների փաստաթղթերի ցանկը, փոփոխությունների առաջարկությունների կազմի ու բովանդակության համար ներկայացվող պահանջները, որի նպատակն է հողամասերի նպատակային նշանակության փոփոխությունների գործընթացի ժամկետների կրճատումը: </w:t>
      </w:r>
    </w:p>
    <w:p w14:paraId="6F91C9FE" w14:textId="77777777" w:rsidR="00331742" w:rsidRPr="005D5C86" w:rsidRDefault="0028261D" w:rsidP="00F92D06">
      <w:pPr>
        <w:pStyle w:val="ListParagraph"/>
        <w:ind w:left="142" w:right="30" w:firstLine="284"/>
        <w:jc w:val="both"/>
        <w:rPr>
          <w:rFonts w:ascii="GHEA Grapalat" w:hAnsi="GHEA Grapalat" w:cs="Times New Roman"/>
          <w:sz w:val="24"/>
          <w:szCs w:val="24"/>
          <w:lang w:val="hy-AM"/>
        </w:rPr>
      </w:pPr>
      <w:r w:rsidRPr="0028261D">
        <w:rPr>
          <w:rFonts w:ascii="GHEA Grapalat" w:hAnsi="GHEA Grapalat" w:cs="Times New Roman"/>
          <w:sz w:val="24"/>
          <w:szCs w:val="24"/>
          <w:lang w:val="hy-AM"/>
        </w:rPr>
        <w:t>Որոշման նախագծով առաջարկվել է առանձին հողամասերի նպատակային նշանակության փոփոխության գործընթացը դյուրացնելու և փաստաթղթերի տրամադրման, ծանուցումերի և համաձայնեցումների ընթացակարգերը մասնակից մարմինների կողմից թվային եղանակով, կարճ ժամկետներում և համակարգված իրականացնելու նպատակով որոշումը լրացնել նոր հավելվածով, որով սահմանվել է հողամասերի նպատակային նշանակության փոփոխության թվային հարթակում տրամադրման կարգը։</w:t>
      </w:r>
    </w:p>
    <w:p w14:paraId="4F6586A8" w14:textId="77777777" w:rsidR="00526C52" w:rsidRPr="005D5C86" w:rsidRDefault="0028261D" w:rsidP="00F92D06">
      <w:pPr>
        <w:pStyle w:val="ListParagraph"/>
        <w:ind w:left="142" w:right="30" w:firstLine="284"/>
        <w:jc w:val="both"/>
        <w:rPr>
          <w:rFonts w:ascii="GHEA Grapalat" w:hAnsi="GHEA Grapalat" w:cs="Times New Roman"/>
          <w:sz w:val="24"/>
          <w:szCs w:val="24"/>
          <w:lang w:val="hy-AM"/>
        </w:rPr>
      </w:pPr>
      <w:r w:rsidRPr="0028261D">
        <w:rPr>
          <w:rFonts w:ascii="GHEA Grapalat" w:hAnsi="GHEA Grapalat" w:cs="Times New Roman"/>
          <w:sz w:val="24"/>
          <w:szCs w:val="24"/>
          <w:lang w:val="hy-AM"/>
        </w:rPr>
        <w:t xml:space="preserve">Ներկայումս գործող ընթացակարգի համաձայն՝ հողամասի նպատակային նշանակության փոփոխության փաթեթը չի ներառում տեղեկանքներ գազի, հոսանքի, ջրի, կապի ենթակառուցվածքի օբյեկտների վերաբերյալ, որի դեպքում շահագրգիռ մարմիններն իրենք են ստիպված լինում դիմել մատակարար կազմակերպություններ, որի պատճառով ժամկետները երկարաձգվում են: </w:t>
      </w:r>
      <w:r w:rsidR="00182DFB" w:rsidRPr="005D5C86">
        <w:rPr>
          <w:rFonts w:ascii="GHEA Grapalat" w:hAnsi="GHEA Grapalat" w:cs="Times New Roman"/>
          <w:sz w:val="24"/>
          <w:szCs w:val="24"/>
          <w:lang w:val="hy-AM"/>
        </w:rPr>
        <w:t>Նշյալ նախագիծը ներկայումս գտնվում է շրջանառման և քննարկման փուլում։</w:t>
      </w:r>
    </w:p>
    <w:p w14:paraId="33B34D14" w14:textId="5EFCC71A" w:rsidR="00526C52" w:rsidRPr="005D5C86" w:rsidRDefault="008D490E" w:rsidP="00F92D06">
      <w:pPr>
        <w:pStyle w:val="ListParagraph"/>
        <w:ind w:left="142" w:right="30" w:firstLine="284"/>
        <w:jc w:val="both"/>
        <w:rPr>
          <w:rFonts w:ascii="GHEA Grapalat" w:hAnsi="GHEA Grapalat" w:cs="Times New Roman"/>
          <w:sz w:val="24"/>
          <w:szCs w:val="24"/>
          <w:lang w:val="hy-AM"/>
        </w:rPr>
      </w:pPr>
      <w:r w:rsidRPr="005D5C86">
        <w:rPr>
          <w:rFonts w:ascii="GHEA Grapalat" w:hAnsi="GHEA Grapalat" w:cs="Times New Roman"/>
          <w:sz w:val="24"/>
          <w:szCs w:val="24"/>
          <w:lang w:val="hy-AM"/>
        </w:rPr>
        <w:t xml:space="preserve">Միաժամանակ, </w:t>
      </w:r>
      <w:r w:rsidR="007F69A3" w:rsidRPr="005D5C86">
        <w:rPr>
          <w:rFonts w:ascii="GHEA Grapalat" w:hAnsi="GHEA Grapalat" w:cs="Times New Roman"/>
          <w:sz w:val="24"/>
          <w:szCs w:val="24"/>
          <w:lang w:val="hy-AM"/>
        </w:rPr>
        <w:t>Էկոնոմիկայի նախարարության կողմից ներկայումս շրջանառվում է «Հայաստանի Հանրապետության</w:t>
      </w:r>
      <w:r w:rsidR="00910506">
        <w:rPr>
          <w:rFonts w:ascii="Calibri" w:hAnsi="Calibri" w:cs="Calibri"/>
          <w:sz w:val="24"/>
          <w:szCs w:val="24"/>
          <w:lang w:val="hy-AM"/>
        </w:rPr>
        <w:t xml:space="preserve"> </w:t>
      </w:r>
      <w:r w:rsidR="007F69A3" w:rsidRPr="005D5C86">
        <w:rPr>
          <w:rFonts w:ascii="GHEA Grapalat" w:hAnsi="GHEA Grapalat" w:cs="Times New Roman"/>
          <w:sz w:val="24"/>
          <w:szCs w:val="24"/>
          <w:lang w:val="hy-AM"/>
        </w:rPr>
        <w:t>հողային</w:t>
      </w:r>
      <w:r w:rsidR="00910506">
        <w:rPr>
          <w:rFonts w:ascii="Calibri" w:hAnsi="Calibri" w:cs="Calibri"/>
          <w:sz w:val="24"/>
          <w:szCs w:val="24"/>
          <w:lang w:val="hy-AM"/>
        </w:rPr>
        <w:t xml:space="preserve"> </w:t>
      </w:r>
      <w:r w:rsidR="007F69A3" w:rsidRPr="005D5C86">
        <w:rPr>
          <w:rFonts w:ascii="GHEA Grapalat" w:hAnsi="GHEA Grapalat" w:cs="Times New Roman"/>
          <w:sz w:val="24"/>
          <w:szCs w:val="24"/>
          <w:lang w:val="hy-AM"/>
        </w:rPr>
        <w:t>օրենսգրքում լրացումներ կատարելու մասին»</w:t>
      </w:r>
      <w:r w:rsidR="00910506">
        <w:rPr>
          <w:rFonts w:ascii="Calibri" w:hAnsi="Calibri" w:cs="Calibri"/>
          <w:sz w:val="24"/>
          <w:szCs w:val="24"/>
          <w:lang w:val="hy-AM"/>
        </w:rPr>
        <w:t xml:space="preserve"> </w:t>
      </w:r>
      <w:r w:rsidR="007F69A3" w:rsidRPr="005D5C86">
        <w:rPr>
          <w:rFonts w:ascii="GHEA Grapalat" w:hAnsi="GHEA Grapalat" w:cs="Times New Roman"/>
          <w:sz w:val="24"/>
          <w:szCs w:val="24"/>
          <w:lang w:val="hy-AM"/>
        </w:rPr>
        <w:t xml:space="preserve">Հայաստանի Հանրապետության օրենքի նախագիծ, որով առաջարկվում է հողամասի նպատակային նշանակությունը փոխելիս կադաստրային արժեքների դրական տարբերության չափով գումարն ամբողջությամբ վճարելու պահանջը փոփոխել՝ փոխարենը սահմանելով տարաժամկետ վճարման հնարավորություն։ Մասնավորապես, Հողային օրենսգրքի ներկայումս գործող կարգավորումները նախատեսում են, որ հողամասի նպատակային նշանակությունը փոխելու համար անհրաժեշտ է ամբողջությամբ վճարել կադաստրային արժեքների տարբերությունների գումարը, ինչը ֆինանսական լրացուցիչ բեռ է առաջացնում ներդրողների համար։ Վերջիններս ստիպված են լինում ներդրումային ծրագրի սկզբնական փուլում իրականացնել բուն բիզնես գործունեության հետ չկապված մեծ ծախսեր՝ հողամասի կադաստրային արժեքի տարբերության ծախսի տեսքով, ինչը շատ տնտեսավարողների զերծ է պահում ներդրումներ իրականացնելուց։ Հատկանշական է, որ հաճախ ներդրումները նախատեսվում է իրականացնել այնպիսի տարածքներում գտնվող հողերի վրա, որոնք տնտեսապես խոցելի են և ունեն զարգացման մեծ պոտենցիալ։ </w:t>
      </w:r>
      <w:r w:rsidR="00910506">
        <w:rPr>
          <w:rFonts w:ascii="GHEA Grapalat" w:hAnsi="GHEA Grapalat" w:cs="Times New Roman"/>
          <w:sz w:val="24"/>
          <w:szCs w:val="24"/>
          <w:lang w:val="hy-AM"/>
        </w:rPr>
        <w:t>Նախագծի ընդունման ա</w:t>
      </w:r>
      <w:r w:rsidR="0090513D" w:rsidRPr="005D5C86">
        <w:rPr>
          <w:rFonts w:ascii="GHEA Grapalat" w:hAnsi="GHEA Grapalat" w:cs="Times New Roman"/>
          <w:sz w:val="24"/>
          <w:szCs w:val="24"/>
          <w:lang w:val="hy-AM"/>
        </w:rPr>
        <w:t xml:space="preserve">րդյունքում կնվազի հողամասի նպատակային նշանակության փոփոխության </w:t>
      </w:r>
      <w:r w:rsidR="00910506">
        <w:rPr>
          <w:rFonts w:ascii="GHEA Grapalat" w:hAnsi="GHEA Grapalat" w:cs="Times New Roman"/>
          <w:sz w:val="24"/>
          <w:szCs w:val="24"/>
          <w:lang w:val="hy-AM"/>
        </w:rPr>
        <w:t xml:space="preserve">դեպքում </w:t>
      </w:r>
      <w:r w:rsidR="0090513D" w:rsidRPr="005D5C86">
        <w:rPr>
          <w:rFonts w:ascii="GHEA Grapalat" w:hAnsi="GHEA Grapalat" w:cs="Times New Roman"/>
          <w:sz w:val="24"/>
          <w:szCs w:val="24"/>
          <w:lang w:val="hy-AM"/>
        </w:rPr>
        <w:t xml:space="preserve">ներդրողների համար հաճախ առաջացող միանվագ ֆինանսական բեռը։ </w:t>
      </w:r>
      <w:r w:rsidR="007F69A3" w:rsidRPr="005D5C86">
        <w:rPr>
          <w:rFonts w:ascii="GHEA Grapalat" w:hAnsi="GHEA Grapalat" w:cs="Times New Roman"/>
          <w:sz w:val="24"/>
          <w:szCs w:val="24"/>
          <w:lang w:val="hy-AM"/>
        </w:rPr>
        <w:t>Նշյալ նախագիծը ներկայումս գտնվում է շրջանառման և քննարկման փուլում։</w:t>
      </w:r>
    </w:p>
    <w:p w14:paraId="0FD95230" w14:textId="3662B629" w:rsidR="0028261D" w:rsidRPr="005D5C86" w:rsidRDefault="00526C52" w:rsidP="00F92D06">
      <w:pPr>
        <w:pStyle w:val="ListParagraph"/>
        <w:ind w:left="142" w:right="30" w:firstLine="284"/>
        <w:jc w:val="both"/>
        <w:rPr>
          <w:rFonts w:ascii="GHEA Grapalat" w:hAnsi="GHEA Grapalat" w:cs="Times New Roman"/>
          <w:sz w:val="24"/>
          <w:szCs w:val="24"/>
          <w:lang w:val="hy-AM"/>
        </w:rPr>
      </w:pPr>
      <w:r w:rsidRPr="005D5C86">
        <w:rPr>
          <w:rFonts w:ascii="GHEA Grapalat" w:hAnsi="GHEA Grapalat" w:cs="Times New Roman"/>
          <w:sz w:val="24"/>
          <w:szCs w:val="24"/>
          <w:lang w:val="hy-AM"/>
        </w:rPr>
        <w:t xml:space="preserve">Նման պայմաններում, </w:t>
      </w:r>
      <w:r w:rsidR="00182DFB" w:rsidRPr="005D5C86">
        <w:rPr>
          <w:rFonts w:ascii="GHEA Grapalat" w:hAnsi="GHEA Grapalat" w:cs="Times New Roman"/>
          <w:sz w:val="24"/>
          <w:szCs w:val="24"/>
          <w:lang w:val="hy-AM"/>
        </w:rPr>
        <w:t xml:space="preserve">հաշվի առնելով այն, որ օրենսդրական և ենթաօրենսդրական ակտերի ընդունումը </w:t>
      </w:r>
      <w:r w:rsidRPr="005D5C86">
        <w:rPr>
          <w:rFonts w:ascii="GHEA Grapalat" w:hAnsi="GHEA Grapalat" w:cs="Times New Roman"/>
          <w:sz w:val="24"/>
          <w:szCs w:val="24"/>
          <w:lang w:val="hy-AM"/>
        </w:rPr>
        <w:t xml:space="preserve">և </w:t>
      </w:r>
      <w:r w:rsidR="00910506">
        <w:rPr>
          <w:rFonts w:ascii="GHEA Grapalat" w:hAnsi="GHEA Grapalat" w:cs="Times New Roman"/>
          <w:sz w:val="24"/>
          <w:szCs w:val="24"/>
          <w:lang w:val="hy-AM"/>
        </w:rPr>
        <w:t xml:space="preserve">համապատասխան ընթացակարգերի </w:t>
      </w:r>
      <w:r w:rsidRPr="005D5C86">
        <w:rPr>
          <w:rFonts w:ascii="GHEA Grapalat" w:hAnsi="GHEA Grapalat" w:cs="Times New Roman"/>
          <w:sz w:val="24"/>
          <w:szCs w:val="24"/>
          <w:lang w:val="hy-AM"/>
        </w:rPr>
        <w:t xml:space="preserve">թվային փոխակերպման գործընթացը </w:t>
      </w:r>
      <w:r w:rsidR="00182DFB" w:rsidRPr="005D5C86">
        <w:rPr>
          <w:rFonts w:ascii="GHEA Grapalat" w:hAnsi="GHEA Grapalat" w:cs="Times New Roman"/>
          <w:sz w:val="24"/>
          <w:szCs w:val="24"/>
          <w:lang w:val="hy-AM"/>
        </w:rPr>
        <w:t xml:space="preserve">պահանջում է </w:t>
      </w:r>
      <w:r w:rsidRPr="005D5C86">
        <w:rPr>
          <w:rFonts w:ascii="GHEA Grapalat" w:hAnsi="GHEA Grapalat" w:cs="Times New Roman"/>
          <w:sz w:val="24"/>
          <w:szCs w:val="24"/>
          <w:lang w:val="hy-AM"/>
        </w:rPr>
        <w:t xml:space="preserve">որոշակի </w:t>
      </w:r>
      <w:r w:rsidR="00182DFB" w:rsidRPr="005D5C86">
        <w:rPr>
          <w:rFonts w:ascii="GHEA Grapalat" w:hAnsi="GHEA Grapalat" w:cs="Times New Roman"/>
          <w:sz w:val="24"/>
          <w:szCs w:val="24"/>
          <w:lang w:val="hy-AM"/>
        </w:rPr>
        <w:t xml:space="preserve">տևական ժամանակ, ուստի առաջարկվում է </w:t>
      </w:r>
      <w:r w:rsidR="0070793D" w:rsidRPr="005D5C86">
        <w:rPr>
          <w:rFonts w:ascii="GHEA Grapalat" w:hAnsi="GHEA Grapalat" w:cs="Times New Roman"/>
          <w:sz w:val="24"/>
          <w:szCs w:val="24"/>
          <w:lang w:val="hy-AM"/>
        </w:rPr>
        <w:t>վ</w:t>
      </w:r>
      <w:r w:rsidR="00D460ED" w:rsidRPr="005D5C86">
        <w:rPr>
          <w:rFonts w:ascii="GHEA Grapalat" w:hAnsi="GHEA Grapalat" w:cs="Times New Roman"/>
          <w:sz w:val="24"/>
          <w:szCs w:val="24"/>
          <w:lang w:val="hy-AM"/>
        </w:rPr>
        <w:t>ե</w:t>
      </w:r>
      <w:r w:rsidR="0070793D" w:rsidRPr="005D5C86">
        <w:rPr>
          <w:rFonts w:ascii="GHEA Grapalat" w:hAnsi="GHEA Grapalat" w:cs="Times New Roman"/>
          <w:sz w:val="24"/>
          <w:szCs w:val="24"/>
          <w:lang w:val="hy-AM"/>
        </w:rPr>
        <w:t>ր</w:t>
      </w:r>
      <w:r w:rsidR="00D460ED" w:rsidRPr="005D5C86">
        <w:rPr>
          <w:rFonts w:ascii="GHEA Grapalat" w:hAnsi="GHEA Grapalat" w:cs="Times New Roman"/>
          <w:sz w:val="24"/>
          <w:szCs w:val="24"/>
          <w:lang w:val="hy-AM"/>
        </w:rPr>
        <w:t xml:space="preserve">ը հիշատակված </w:t>
      </w:r>
      <w:r w:rsidR="00182DFB" w:rsidRPr="005D5C86">
        <w:rPr>
          <w:rFonts w:ascii="GHEA Grapalat" w:hAnsi="GHEA Grapalat" w:cs="Times New Roman"/>
          <w:sz w:val="24"/>
          <w:szCs w:val="24"/>
          <w:lang w:val="hy-AM"/>
        </w:rPr>
        <w:t xml:space="preserve">միջոցառման մեջ կատարել փոփոխություն՝ միջոցառման իրականացման վերջնաժամկետ սահմանելով 2025 թվականի </w:t>
      </w:r>
      <w:r w:rsidRPr="005D5C86">
        <w:rPr>
          <w:rFonts w:ascii="GHEA Grapalat" w:hAnsi="GHEA Grapalat" w:cs="Times New Roman"/>
          <w:sz w:val="24"/>
          <w:szCs w:val="24"/>
          <w:lang w:val="hy-AM"/>
        </w:rPr>
        <w:t>դեկտեմբեր ամիսը</w:t>
      </w:r>
      <w:r w:rsidR="00182DFB" w:rsidRPr="005D5C86">
        <w:rPr>
          <w:rFonts w:ascii="GHEA Grapalat" w:hAnsi="GHEA Grapalat" w:cs="Times New Roman"/>
          <w:sz w:val="24"/>
          <w:szCs w:val="24"/>
          <w:lang w:val="hy-AM"/>
        </w:rPr>
        <w:t>:</w:t>
      </w:r>
    </w:p>
    <w:p w14:paraId="4EC7B3A8" w14:textId="77777777" w:rsidR="00D62D83" w:rsidRDefault="0008678A" w:rsidP="00F92D06">
      <w:pPr>
        <w:pStyle w:val="ListParagraph"/>
        <w:ind w:left="142" w:right="30" w:firstLine="284"/>
        <w:jc w:val="both"/>
        <w:rPr>
          <w:rFonts w:ascii="GHEA Grapalat" w:hAnsi="GHEA Grapalat" w:cs="Sylfaen"/>
          <w:bCs/>
          <w:color w:val="000000"/>
          <w:sz w:val="24"/>
          <w:szCs w:val="24"/>
          <w:lang w:val="hy-AM"/>
        </w:rPr>
      </w:pPr>
      <w:r w:rsidRPr="005D5C86">
        <w:rPr>
          <w:rFonts w:ascii="GHEA Grapalat" w:hAnsi="GHEA Grapalat" w:cs="Times New Roman"/>
          <w:sz w:val="24"/>
          <w:szCs w:val="24"/>
          <w:lang w:val="hy-AM"/>
        </w:rPr>
        <w:t xml:space="preserve">1.2. Կառավարության 2023 թվականի օգոստոսի 24-ի «Ներդրումների ներգրավման ծրագիրը հաստատելու մասին» N 1450-Լ որոշմամբ հաստատված N 2 հավելվածի 6-րդ կետով </w:t>
      </w:r>
      <w:r w:rsidRPr="005D5C86">
        <w:rPr>
          <w:rFonts w:ascii="GHEA Grapalat" w:hAnsi="GHEA Grapalat" w:cs="Sylfaen"/>
          <w:bCs/>
          <w:color w:val="000000"/>
          <w:sz w:val="24"/>
          <w:szCs w:val="24"/>
          <w:lang w:val="hy-AM"/>
        </w:rPr>
        <w:t>նախատեսված է իրականացնել «Օտարերկրյա ներդրումների ռեեստրի ստեղծում» միջոցառումը։</w:t>
      </w:r>
      <w:r w:rsidR="00645319" w:rsidRPr="005D5C86">
        <w:rPr>
          <w:rFonts w:ascii="GHEA Grapalat" w:hAnsi="GHEA Grapalat" w:cs="Sylfaen"/>
          <w:bCs/>
          <w:color w:val="000000"/>
          <w:sz w:val="24"/>
          <w:szCs w:val="24"/>
          <w:lang w:val="hy-AM"/>
        </w:rPr>
        <w:t xml:space="preserve"> Մասնավորապես, ինչպես ներկայացված է հիշատակված ծրագրում, ներդրումների վիճակագրության արդիականացման և համապարփակության նպատակով անհրաժեշտ է ի թիվս տեղական ներդրողների ապահովել նաև օտարերկրյա ներդրողների ամբողջական բազայի ստեղծում և վարում, որը կբարելավի Հայաստանի Հանրապետության վիճակագրական կոմիտեի և Կենտրոնական բանկի կողմից վարվող օտարերկրյա ներդրումների վիճակագրության ամբողջականությունը, ինչպես նաև կօգտագործվի ոլորտային քաղաքականության մշակման, ներդրումների խթանման մշտադիտարկման և գնահատման, ինչպես նաև օտարերկրյա կապիտալով ընկերությունների՝ տնտեսության վրա ընդհանուր ազդեցության վերլուծության համար։</w:t>
      </w:r>
      <w:r w:rsidR="00886243">
        <w:rPr>
          <w:rFonts w:ascii="GHEA Grapalat" w:hAnsi="GHEA Grapalat" w:cs="Sylfaen"/>
          <w:bCs/>
          <w:color w:val="000000"/>
          <w:sz w:val="24"/>
          <w:szCs w:val="24"/>
          <w:lang w:val="hy-AM"/>
        </w:rPr>
        <w:t xml:space="preserve"> </w:t>
      </w:r>
    </w:p>
    <w:p w14:paraId="7CA5B4C8" w14:textId="27B65122" w:rsidR="007168CF" w:rsidRPr="00B71D9D" w:rsidRDefault="00886243" w:rsidP="00F92D06">
      <w:pPr>
        <w:pStyle w:val="ListParagraph"/>
        <w:ind w:left="142" w:right="30" w:firstLine="284"/>
        <w:jc w:val="both"/>
        <w:rPr>
          <w:rFonts w:ascii="GHEA Grapalat" w:hAnsi="GHEA Grapalat" w:cs="Sylfaen"/>
          <w:bCs/>
          <w:color w:val="000000"/>
          <w:sz w:val="24"/>
          <w:szCs w:val="24"/>
          <w:lang w:val="hy-AM"/>
        </w:rPr>
      </w:pPr>
      <w:r>
        <w:rPr>
          <w:rFonts w:ascii="GHEA Grapalat" w:hAnsi="GHEA Grapalat" w:cs="Sylfaen"/>
          <w:bCs/>
          <w:color w:val="000000"/>
          <w:sz w:val="24"/>
          <w:szCs w:val="24"/>
          <w:lang w:val="hy-AM"/>
        </w:rPr>
        <w:t xml:space="preserve">Խոսքը գնում է նրա մասին, որ </w:t>
      </w:r>
      <w:r w:rsidRPr="005D5C86">
        <w:rPr>
          <w:rFonts w:ascii="GHEA Grapalat" w:hAnsi="GHEA Grapalat"/>
          <w:sz w:val="24"/>
          <w:szCs w:val="24"/>
          <w:lang w:val="hy-AM"/>
        </w:rPr>
        <w:t xml:space="preserve">Հայաստանում բիզնեսի գրանցման համակարգը մասնատված է, որը ներառում է բազմաթիվ շահագրգիռ կողմեր, որոնք վարում են առանձին տվյալների բազաներ՝ տվյալների սահմանափակ փոխանակմամբ: Դրանում ներգրավված են Պետական ռեգիստրի գործակալությունը (ՊՌԳ), Հայաստանի Կենտրոնական բանկը (ԿԲ), </w:t>
      </w:r>
      <w:r w:rsidRPr="00B71D9D">
        <w:rPr>
          <w:rFonts w:ascii="GHEA Grapalat" w:hAnsi="GHEA Grapalat"/>
          <w:sz w:val="24"/>
          <w:szCs w:val="24"/>
          <w:lang w:val="hy-AM"/>
        </w:rPr>
        <w:t>Հայաստանի Կենտրոնական դեպոզիտարիան (ՀԿԴ), Պետական եկամուտների կոմիտեն (ՊԵԿ): ՊՌԳ-ը և ԿԲ-ն վարում են առանձին բիզնես ռեգիստրներ, ինչը հանգեցնում է սահմանափակ ինտեգրման և տվյալների ձեռքով համախմբման այդ կազմակերպությունների միջև:</w:t>
      </w:r>
      <w:r w:rsidR="00D62D83" w:rsidRPr="00B71D9D">
        <w:rPr>
          <w:rFonts w:ascii="GHEA Grapalat" w:hAnsi="GHEA Grapalat"/>
          <w:sz w:val="24"/>
          <w:szCs w:val="24"/>
          <w:lang w:val="hy-AM"/>
        </w:rPr>
        <w:t xml:space="preserve"> </w:t>
      </w:r>
    </w:p>
    <w:p w14:paraId="4094FE61" w14:textId="75F542FB" w:rsidR="00645319" w:rsidRPr="005D5C86" w:rsidRDefault="00645319" w:rsidP="00F92D06">
      <w:pPr>
        <w:pStyle w:val="ListParagraph"/>
        <w:ind w:left="142" w:right="30" w:firstLine="284"/>
        <w:jc w:val="both"/>
        <w:rPr>
          <w:rFonts w:ascii="GHEA Grapalat" w:eastAsia="Times New Roman" w:hAnsi="GHEA Grapalat" w:cs="Sylfaen"/>
          <w:color w:val="000000"/>
          <w:sz w:val="24"/>
          <w:szCs w:val="24"/>
          <w:lang w:val="hy-AM"/>
        </w:rPr>
      </w:pPr>
      <w:r w:rsidRPr="00B71D9D">
        <w:rPr>
          <w:rFonts w:ascii="GHEA Grapalat" w:hAnsi="GHEA Grapalat" w:cs="Times New Roman"/>
          <w:sz w:val="24"/>
          <w:szCs w:val="24"/>
          <w:lang w:val="hy-AM"/>
        </w:rPr>
        <w:t>Այս առնչությամբ</w:t>
      </w:r>
      <w:r w:rsidRPr="005D5C86">
        <w:rPr>
          <w:rFonts w:ascii="GHEA Grapalat" w:hAnsi="GHEA Grapalat" w:cs="Times New Roman"/>
          <w:sz w:val="24"/>
          <w:szCs w:val="24"/>
          <w:lang w:val="hy-AM"/>
        </w:rPr>
        <w:t xml:space="preserve"> Էկոնոմիկայի նախարարության կողմից մ</w:t>
      </w:r>
      <w:r w:rsidR="004C324F">
        <w:rPr>
          <w:rFonts w:ascii="GHEA Grapalat" w:hAnsi="GHEA Grapalat" w:cs="Times New Roman"/>
          <w:sz w:val="24"/>
          <w:szCs w:val="24"/>
          <w:lang w:val="hy-AM"/>
        </w:rPr>
        <w:t>շ</w:t>
      </w:r>
      <w:r w:rsidRPr="005D5C86">
        <w:rPr>
          <w:rFonts w:ascii="GHEA Grapalat" w:hAnsi="GHEA Grapalat" w:cs="Times New Roman"/>
          <w:sz w:val="24"/>
          <w:szCs w:val="24"/>
          <w:lang w:val="hy-AM"/>
        </w:rPr>
        <w:t xml:space="preserve">ակվել է </w:t>
      </w:r>
      <w:r w:rsidRPr="005D5C86">
        <w:rPr>
          <w:rFonts w:ascii="GHEA Grapalat" w:hAnsi="GHEA Grapalat" w:cs="Arial"/>
          <w:bCs/>
          <w:color w:val="000000"/>
          <w:sz w:val="24"/>
          <w:szCs w:val="24"/>
          <w:lang w:val="hy-AM"/>
        </w:rPr>
        <w:t>«</w:t>
      </w:r>
      <w:r w:rsidRPr="005D5C86">
        <w:rPr>
          <w:rFonts w:ascii="GHEA Grapalat" w:hAnsi="GHEA Grapalat" w:cs="Sylfaen"/>
          <w:bCs/>
          <w:sz w:val="24"/>
          <w:szCs w:val="24"/>
          <w:lang w:val="hy-AM"/>
        </w:rPr>
        <w:t>Օտարերկրյա</w:t>
      </w:r>
      <w:r w:rsidRPr="005D5C86">
        <w:rPr>
          <w:rFonts w:ascii="GHEA Grapalat" w:hAnsi="GHEA Grapalat" w:cs="Arial"/>
          <w:bCs/>
          <w:sz w:val="24"/>
          <w:szCs w:val="24"/>
          <w:lang w:val="hy-AM"/>
        </w:rPr>
        <w:t xml:space="preserve"> </w:t>
      </w:r>
      <w:r w:rsidRPr="005D5C86">
        <w:rPr>
          <w:rFonts w:ascii="GHEA Grapalat" w:hAnsi="GHEA Grapalat" w:cs="Sylfaen"/>
          <w:bCs/>
          <w:sz w:val="24"/>
          <w:szCs w:val="24"/>
          <w:lang w:val="hy-AM"/>
        </w:rPr>
        <w:t>ներդրումների</w:t>
      </w:r>
      <w:r w:rsidRPr="005D5C86">
        <w:rPr>
          <w:rFonts w:ascii="GHEA Grapalat" w:hAnsi="GHEA Grapalat" w:cs="Arial"/>
          <w:bCs/>
          <w:sz w:val="24"/>
          <w:szCs w:val="24"/>
          <w:lang w:val="hy-AM"/>
        </w:rPr>
        <w:t xml:space="preserve"> </w:t>
      </w:r>
      <w:r w:rsidRPr="005D5C86">
        <w:rPr>
          <w:rFonts w:ascii="GHEA Grapalat" w:hAnsi="GHEA Grapalat" w:cs="Sylfaen"/>
          <w:bCs/>
          <w:sz w:val="24"/>
          <w:szCs w:val="24"/>
          <w:lang w:val="hy-AM"/>
        </w:rPr>
        <w:t>մասին</w:t>
      </w:r>
      <w:r w:rsidRPr="005D5C86">
        <w:rPr>
          <w:rFonts w:ascii="GHEA Grapalat" w:hAnsi="GHEA Grapalat" w:cs="Arial"/>
          <w:bCs/>
          <w:sz w:val="24"/>
          <w:szCs w:val="24"/>
          <w:lang w:val="hy-AM"/>
        </w:rPr>
        <w:t xml:space="preserve">» </w:t>
      </w:r>
      <w:r w:rsidRPr="005D5C86">
        <w:rPr>
          <w:rFonts w:ascii="GHEA Grapalat" w:hAnsi="GHEA Grapalat" w:cs="Sylfaen"/>
          <w:bCs/>
          <w:sz w:val="24"/>
          <w:szCs w:val="24"/>
          <w:lang w:val="hy-AM"/>
        </w:rPr>
        <w:t>օրենքում</w:t>
      </w:r>
      <w:r w:rsidRPr="005D5C86">
        <w:rPr>
          <w:rFonts w:ascii="GHEA Grapalat" w:hAnsi="GHEA Grapalat" w:cs="Arial"/>
          <w:bCs/>
          <w:sz w:val="24"/>
          <w:szCs w:val="24"/>
          <w:lang w:val="hy-AM"/>
        </w:rPr>
        <w:t xml:space="preserve"> և հարակից օրենքներում </w:t>
      </w:r>
      <w:r w:rsidRPr="005D5C86">
        <w:rPr>
          <w:rFonts w:ascii="GHEA Grapalat" w:hAnsi="GHEA Grapalat" w:cs="Sylfaen"/>
          <w:bCs/>
          <w:sz w:val="24"/>
          <w:szCs w:val="24"/>
          <w:lang w:val="hy-AM"/>
        </w:rPr>
        <w:t>լրացումներ</w:t>
      </w:r>
      <w:r w:rsidRPr="005D5C86">
        <w:rPr>
          <w:rFonts w:ascii="GHEA Grapalat" w:hAnsi="GHEA Grapalat" w:cs="Arial"/>
          <w:bCs/>
          <w:sz w:val="24"/>
          <w:szCs w:val="24"/>
          <w:lang w:val="hy-AM"/>
        </w:rPr>
        <w:t xml:space="preserve"> </w:t>
      </w:r>
      <w:r w:rsidRPr="005D5C86">
        <w:rPr>
          <w:rFonts w:ascii="GHEA Grapalat" w:hAnsi="GHEA Grapalat" w:cs="Sylfaen"/>
          <w:bCs/>
          <w:sz w:val="24"/>
          <w:szCs w:val="24"/>
          <w:lang w:val="hy-AM"/>
        </w:rPr>
        <w:t>կատարելու</w:t>
      </w:r>
      <w:r w:rsidRPr="005D5C86">
        <w:rPr>
          <w:rFonts w:ascii="GHEA Grapalat" w:hAnsi="GHEA Grapalat" w:cs="Arial"/>
          <w:bCs/>
          <w:sz w:val="24"/>
          <w:szCs w:val="24"/>
          <w:lang w:val="hy-AM"/>
        </w:rPr>
        <w:t xml:space="preserve"> </w:t>
      </w:r>
      <w:r w:rsidRPr="005D5C86">
        <w:rPr>
          <w:rFonts w:ascii="GHEA Grapalat" w:hAnsi="GHEA Grapalat" w:cs="Sylfaen"/>
          <w:bCs/>
          <w:sz w:val="24"/>
          <w:szCs w:val="24"/>
          <w:lang w:val="hy-AM"/>
        </w:rPr>
        <w:t>մասին</w:t>
      </w:r>
      <w:r w:rsidRPr="005D5C86">
        <w:rPr>
          <w:rFonts w:ascii="GHEA Grapalat" w:hAnsi="GHEA Grapalat" w:cs="Arial"/>
          <w:bCs/>
          <w:color w:val="000000"/>
          <w:sz w:val="24"/>
          <w:szCs w:val="24"/>
          <w:lang w:val="hy-AM"/>
        </w:rPr>
        <w:t xml:space="preserve">» </w:t>
      </w:r>
      <w:r w:rsidRPr="005D5C86">
        <w:rPr>
          <w:rFonts w:ascii="GHEA Grapalat" w:hAnsi="GHEA Grapalat" w:cs="Sylfaen"/>
          <w:bCs/>
          <w:color w:val="000000"/>
          <w:sz w:val="24"/>
          <w:szCs w:val="24"/>
          <w:lang w:val="hy-AM"/>
        </w:rPr>
        <w:t>օրենքների</w:t>
      </w:r>
      <w:r w:rsidRPr="005D5C86">
        <w:rPr>
          <w:rFonts w:ascii="GHEA Grapalat" w:hAnsi="GHEA Grapalat" w:cs="Arial"/>
          <w:bCs/>
          <w:color w:val="000000"/>
          <w:sz w:val="24"/>
          <w:szCs w:val="24"/>
          <w:lang w:val="hy-AM"/>
        </w:rPr>
        <w:t xml:space="preserve"> </w:t>
      </w:r>
      <w:r w:rsidRPr="005D5C86">
        <w:rPr>
          <w:rFonts w:ascii="GHEA Grapalat" w:hAnsi="GHEA Grapalat" w:cs="Sylfaen"/>
          <w:bCs/>
          <w:color w:val="000000"/>
          <w:sz w:val="24"/>
          <w:szCs w:val="24"/>
          <w:lang w:val="hy-AM"/>
        </w:rPr>
        <w:t xml:space="preserve">նախագծերի փաթեթ, որի նպատակն է </w:t>
      </w:r>
      <w:r w:rsidRPr="005D5C86">
        <w:rPr>
          <w:rFonts w:ascii="GHEA Grapalat" w:eastAsia="Times New Roman" w:hAnsi="GHEA Grapalat" w:cs="Sylfaen"/>
          <w:color w:val="000000"/>
          <w:sz w:val="24"/>
          <w:szCs w:val="24"/>
          <w:lang w:val="hy-AM"/>
        </w:rPr>
        <w:t>ապահովել երկրում օտարերկրյա ուղղակի ներդրումների վերաբերյալ համապարփակ, ամբողջական, արժանահավատ և մշտապես թարմացվող վիճակագրության առկայությունը` նպաստելով ներդրումային քաղաքականության արդյունավետության բարձրացմանը, օտարերկրյա ներդրումների ներգրավման խթանմանը և օտարերկրյա ներդրողների հետներդրումային սպասարկման շրջանակի ընդլայնմանը։</w:t>
      </w:r>
    </w:p>
    <w:p w14:paraId="664ADB24" w14:textId="2898AD8B" w:rsidR="001A61A4" w:rsidRPr="005D5C86" w:rsidRDefault="00645319" w:rsidP="00F92D06">
      <w:pPr>
        <w:pStyle w:val="ListParagraph"/>
        <w:ind w:left="142" w:right="30" w:firstLine="284"/>
        <w:jc w:val="both"/>
        <w:rPr>
          <w:rFonts w:ascii="GHEA Grapalat" w:eastAsia="Times New Roman" w:hAnsi="GHEA Grapalat" w:cs="Sylfaen"/>
          <w:color w:val="000000"/>
          <w:sz w:val="24"/>
          <w:szCs w:val="24"/>
          <w:lang w:val="hy-AM"/>
        </w:rPr>
      </w:pPr>
      <w:r w:rsidRPr="005D5C86">
        <w:rPr>
          <w:rFonts w:ascii="GHEA Grapalat" w:eastAsia="Times New Roman" w:hAnsi="GHEA Grapalat" w:cs="Sylfaen"/>
          <w:color w:val="000000"/>
          <w:sz w:val="24"/>
          <w:szCs w:val="24"/>
          <w:lang w:val="hy-AM"/>
        </w:rPr>
        <w:t xml:space="preserve">Նշված նախագիծը ներկայացվել է շահագրգիռ մարմինների քննարկմանը, որոնցից </w:t>
      </w:r>
      <w:r w:rsidR="00065FE4">
        <w:rPr>
          <w:rFonts w:ascii="GHEA Grapalat" w:eastAsia="Times New Roman" w:hAnsi="GHEA Grapalat" w:cs="Sylfaen"/>
          <w:color w:val="000000"/>
          <w:sz w:val="24"/>
          <w:szCs w:val="24"/>
          <w:lang w:val="hy-AM"/>
        </w:rPr>
        <w:t xml:space="preserve">ընդհանուր առմամբ </w:t>
      </w:r>
      <w:r w:rsidRPr="005D5C86">
        <w:rPr>
          <w:rFonts w:ascii="GHEA Grapalat" w:eastAsia="Times New Roman" w:hAnsi="GHEA Grapalat" w:cs="Sylfaen"/>
          <w:color w:val="000000"/>
          <w:sz w:val="24"/>
          <w:szCs w:val="24"/>
          <w:lang w:val="hy-AM"/>
        </w:rPr>
        <w:t xml:space="preserve">ստացվել են բացասական արձագանքներ։ Մասնավորապես, Կենտրոնական բանկի դիրքորոշման համաձայն՝ </w:t>
      </w:r>
      <w:r w:rsidR="008D28BB" w:rsidRPr="005D5C86">
        <w:rPr>
          <w:rFonts w:ascii="GHEA Grapalat" w:eastAsia="Times New Roman" w:hAnsi="GHEA Grapalat" w:cs="Sylfaen"/>
          <w:color w:val="000000"/>
          <w:sz w:val="24"/>
          <w:szCs w:val="24"/>
          <w:lang w:val="hy-AM"/>
        </w:rPr>
        <w:t xml:space="preserve">նախատեսվող կարգավորումները հատվածային են, որոնց արդյունքում </w:t>
      </w:r>
      <w:r w:rsidRPr="005D5C86">
        <w:rPr>
          <w:rFonts w:ascii="GHEA Grapalat" w:hAnsi="GHEA Grapalat" w:cs="Sylfaen"/>
          <w:sz w:val="24"/>
          <w:szCs w:val="24"/>
          <w:lang w:val="hy-AM"/>
        </w:rPr>
        <w:t xml:space="preserve">առկա է ռիսկ, որ </w:t>
      </w:r>
      <w:r w:rsidR="008D28BB" w:rsidRPr="005D5C86">
        <w:rPr>
          <w:rFonts w:ascii="GHEA Grapalat" w:hAnsi="GHEA Grapalat" w:cs="Sylfaen"/>
          <w:sz w:val="24"/>
          <w:szCs w:val="24"/>
          <w:lang w:val="hy-AM"/>
        </w:rPr>
        <w:t>դրանք</w:t>
      </w:r>
      <w:r w:rsidRPr="005D5C86">
        <w:rPr>
          <w:rFonts w:ascii="GHEA Grapalat" w:hAnsi="GHEA Grapalat" w:cs="Sylfaen"/>
          <w:sz w:val="24"/>
          <w:szCs w:val="24"/>
          <w:lang w:val="af-ZA"/>
        </w:rPr>
        <w:t xml:space="preserve"> </w:t>
      </w:r>
      <w:r w:rsidRPr="005D5C86">
        <w:rPr>
          <w:rFonts w:ascii="GHEA Grapalat" w:hAnsi="GHEA Grapalat" w:cs="Sylfaen"/>
          <w:sz w:val="24"/>
          <w:szCs w:val="24"/>
          <w:lang w:val="hy-AM"/>
        </w:rPr>
        <w:t xml:space="preserve">կարող են </w:t>
      </w:r>
      <w:r w:rsidRPr="005D5C86">
        <w:rPr>
          <w:rFonts w:ascii="GHEA Grapalat" w:hAnsi="GHEA Grapalat" w:cs="Sylfaen"/>
          <w:sz w:val="24"/>
          <w:szCs w:val="24"/>
          <w:lang w:val="af-ZA"/>
        </w:rPr>
        <w:t>բացասաբար անդրադառնա</w:t>
      </w:r>
      <w:r w:rsidRPr="005D5C86">
        <w:rPr>
          <w:rFonts w:ascii="GHEA Grapalat" w:hAnsi="GHEA Grapalat" w:cs="Sylfaen"/>
          <w:sz w:val="24"/>
          <w:szCs w:val="24"/>
          <w:lang w:val="hy-AM"/>
        </w:rPr>
        <w:t>լ</w:t>
      </w:r>
      <w:r w:rsidRPr="005D5C86">
        <w:rPr>
          <w:rFonts w:ascii="GHEA Grapalat" w:hAnsi="GHEA Grapalat" w:cs="Sylfaen"/>
          <w:sz w:val="24"/>
          <w:szCs w:val="24"/>
          <w:lang w:val="af-ZA"/>
        </w:rPr>
        <w:t xml:space="preserve"> կապիտալի շուկայի զարգացման վրա՝ նվազեցնելով օտարերկրյա ներդրումների հոսքը դեպի ՀՀ շուկա և վստահությունը ՀՀ արժեթղթերի շուկայի նկատմամբ, </w:t>
      </w:r>
      <w:r w:rsidRPr="005D5C86">
        <w:rPr>
          <w:rFonts w:ascii="GHEA Grapalat" w:hAnsi="GHEA Grapalat" w:cs="Sylfaen"/>
          <w:sz w:val="24"/>
          <w:szCs w:val="24"/>
          <w:lang w:val="hy-AM"/>
        </w:rPr>
        <w:t xml:space="preserve">և </w:t>
      </w:r>
      <w:r w:rsidRPr="005D5C86">
        <w:rPr>
          <w:rFonts w:ascii="GHEA Grapalat" w:hAnsi="GHEA Grapalat" w:cs="Sylfaen"/>
          <w:sz w:val="24"/>
          <w:szCs w:val="24"/>
          <w:lang w:val="af-ZA"/>
        </w:rPr>
        <w:t xml:space="preserve">հատվածային լուծումները, որոնք </w:t>
      </w:r>
      <w:r w:rsidRPr="005D5C86">
        <w:rPr>
          <w:rFonts w:ascii="GHEA Grapalat" w:eastAsia="Times New Roman" w:hAnsi="GHEA Grapalat" w:cs="Sylfaen"/>
          <w:color w:val="000000"/>
          <w:sz w:val="24"/>
          <w:szCs w:val="24"/>
          <w:lang w:val="hy-AM"/>
        </w:rPr>
        <w:t>տեղի են ունենում գոյություն ունեցող ինստիտուցիոնալ կառուցակարգերի խախտմամբ, միայն վնասելու են օտարերկրյա ներդրողների հետ հարաբերություններին:</w:t>
      </w:r>
      <w:r w:rsidR="00130685" w:rsidRPr="00130685">
        <w:rPr>
          <w:rFonts w:ascii="GHEA Grapalat" w:hAnsi="GHEA Grapalat"/>
          <w:sz w:val="24"/>
          <w:szCs w:val="24"/>
          <w:lang w:val="hy-AM"/>
        </w:rPr>
        <w:t xml:space="preserve"> </w:t>
      </w:r>
      <w:r w:rsidR="00130685">
        <w:rPr>
          <w:rFonts w:ascii="GHEA Grapalat" w:hAnsi="GHEA Grapalat"/>
          <w:sz w:val="24"/>
          <w:szCs w:val="24"/>
          <w:lang w:val="hy-AM"/>
        </w:rPr>
        <w:t>Ներկայացված խնդրի լուծման նպատակով քննարկումները դեռևս շարունակվում են։</w:t>
      </w:r>
    </w:p>
    <w:p w14:paraId="4299603D" w14:textId="6996AB0F" w:rsidR="005D5C86" w:rsidRPr="005D5C86" w:rsidRDefault="005D5C86" w:rsidP="00F92D06">
      <w:pPr>
        <w:pStyle w:val="ListParagraph"/>
        <w:ind w:left="142" w:right="30" w:firstLine="284"/>
        <w:jc w:val="both"/>
        <w:rPr>
          <w:rFonts w:ascii="GHEA Grapalat" w:eastAsia="Times New Roman" w:hAnsi="GHEA Grapalat" w:cs="Sylfaen"/>
          <w:color w:val="000000"/>
          <w:sz w:val="24"/>
          <w:szCs w:val="24"/>
          <w:lang w:val="hy-AM"/>
        </w:rPr>
      </w:pPr>
      <w:r w:rsidRPr="005D5C86">
        <w:rPr>
          <w:rFonts w:ascii="GHEA Grapalat" w:eastAsia="Times New Roman" w:hAnsi="GHEA Grapalat" w:cs="Sylfaen"/>
          <w:color w:val="000000"/>
          <w:sz w:val="24"/>
          <w:szCs w:val="24"/>
          <w:lang w:val="hy-AM"/>
        </w:rPr>
        <w:t xml:space="preserve">Միաժամանակ, </w:t>
      </w:r>
      <w:r w:rsidR="00E14152" w:rsidRPr="005D5C86">
        <w:rPr>
          <w:rFonts w:ascii="GHEA Grapalat" w:eastAsia="Times New Roman" w:hAnsi="GHEA Grapalat" w:cs="Sylfaen"/>
          <w:color w:val="000000"/>
          <w:sz w:val="24"/>
          <w:szCs w:val="24"/>
          <w:lang w:val="hy-AM"/>
        </w:rPr>
        <w:t xml:space="preserve">ներկայումս քննարկվում է </w:t>
      </w:r>
      <w:r w:rsidR="001A61A4" w:rsidRPr="005D5C86">
        <w:rPr>
          <w:rFonts w:ascii="GHEA Grapalat" w:eastAsia="Times New Roman" w:hAnsi="GHEA Grapalat" w:cs="Sylfaen"/>
          <w:color w:val="000000"/>
          <w:sz w:val="24"/>
          <w:szCs w:val="24"/>
          <w:lang w:val="hy-AM"/>
        </w:rPr>
        <w:t>հիշատակված միջ</w:t>
      </w:r>
      <w:r w:rsidR="004C324F">
        <w:rPr>
          <w:rFonts w:ascii="GHEA Grapalat" w:eastAsia="Times New Roman" w:hAnsi="GHEA Grapalat" w:cs="Sylfaen"/>
          <w:color w:val="000000"/>
          <w:sz w:val="24"/>
          <w:szCs w:val="24"/>
          <w:lang w:val="hy-AM"/>
        </w:rPr>
        <w:t>ո</w:t>
      </w:r>
      <w:r w:rsidR="001A61A4" w:rsidRPr="005D5C86">
        <w:rPr>
          <w:rFonts w:ascii="GHEA Grapalat" w:eastAsia="Times New Roman" w:hAnsi="GHEA Grapalat" w:cs="Sylfaen"/>
          <w:color w:val="000000"/>
          <w:sz w:val="24"/>
          <w:szCs w:val="24"/>
          <w:lang w:val="hy-AM"/>
        </w:rPr>
        <w:t>ցառումը Համաշխարհային բանկի կողմից մշակված «Ընկերությունների մասին» օրենքի համատեքստում իրականացնելու հնարավորությունը։ Մասնավորապես, Հայաստանի ընկերությունների իրավունքի շրջանակը մասնատված է բազմաթիվ օրենքներով, ներառյալ Քաղաքացիական օրենսգիրքը, Բաժնետիրական ընկերությունների մասին օրենքը և Սահմանափակ պատասխանատվությամբ ընկերությունների մասին օրենքը: Բացի այդ, այն ներառում է ֆինանսական հատվածը կարգավորող օրենքներ, ինչպիսիք են «Բանկերի և բանկային գործունեության մասին» օրենքը, «Ապահովագրության և ապահովագրական գործունեության մասին» օրենքը, «Արժեթղթերի շուկայի մասին» և «Վարկային կազմակերպությունների մասին» օրենքը, որոնք բոլորն էլ պարունակում են ընկերությունների մասին օրենքին առնչվող դրույթներ: Այս մասնատումը ստեղծում է բարդ իրավական միջավայր՝ համընկնող դրույթներով և տարաբնույթ պահանջներով: Այս դրույթները համախմբելու և իրավական դաշտը պարզեցնելու համար քննարկվում է մշակել և ընդունել ընկերությունների միասնական օրենսդրություն: Բացի այդ, զգալի հնարավորություն կա հստակեցնելու տարբեր իրավաբանական անձանց տեսակների միջև տարբերությունները և ներդնելու կառավարման այնպիսի մոդելներ, որոնք ավելի սերտորեն համահունչ են նրանց հատուկ բնութագրերին:</w:t>
      </w:r>
    </w:p>
    <w:p w14:paraId="64CE0ED2" w14:textId="1AB2289F" w:rsidR="005D5C86" w:rsidRPr="005D5C86" w:rsidRDefault="009529EE" w:rsidP="00F92D06">
      <w:pPr>
        <w:pStyle w:val="ListParagraph"/>
        <w:ind w:left="142" w:right="30" w:firstLine="284"/>
        <w:jc w:val="both"/>
        <w:rPr>
          <w:rFonts w:ascii="GHEA Grapalat" w:hAnsi="GHEA Grapalat"/>
          <w:sz w:val="24"/>
          <w:szCs w:val="24"/>
          <w:lang w:val="hy-AM"/>
        </w:rPr>
      </w:pPr>
      <w:bookmarkStart w:id="0" w:name="_Hlk182324767"/>
      <w:bookmarkStart w:id="1" w:name="_Hlk182324683"/>
      <w:r w:rsidRPr="004A3124">
        <w:rPr>
          <w:rFonts w:ascii="GHEA Grapalat" w:hAnsi="GHEA Grapalat" w:cs="Sylfaen"/>
          <w:sz w:val="24"/>
          <w:szCs w:val="24"/>
          <w:lang w:val="af-ZA"/>
        </w:rPr>
        <w:t>Հետագա բարելավումները ներառում են նաև ՀՀ արդարադատության նախարարության իրավաբանական անձանց պետական ռեգիստրի գործակալության, ՀՀ ՊԵԿ-ի հարկային և մաքսային վարչական ռեգիստրների, Հայաստանի կենտրոնական դեպոզիտարիայի (արժեթղթերի) միասնական վարչական ռեգիստրների ինտեգրումն ըստ միասնական նույնականացման համակարգ</w:t>
      </w:r>
      <w:bookmarkEnd w:id="0"/>
      <w:r w:rsidRPr="004A3124">
        <w:rPr>
          <w:rFonts w:ascii="GHEA Grapalat" w:hAnsi="GHEA Grapalat" w:cs="Sylfaen"/>
          <w:sz w:val="24"/>
          <w:szCs w:val="24"/>
          <w:lang w:val="af-ZA"/>
        </w:rPr>
        <w:t>ի</w:t>
      </w:r>
      <w:bookmarkEnd w:id="1"/>
      <w:r w:rsidR="000E1EB2" w:rsidRPr="005D5C86">
        <w:rPr>
          <w:rFonts w:ascii="GHEA Grapalat" w:hAnsi="GHEA Grapalat"/>
          <w:sz w:val="24"/>
          <w:szCs w:val="24"/>
          <w:lang w:val="hy-AM"/>
        </w:rPr>
        <w:t xml:space="preserve">: </w:t>
      </w:r>
      <w:bookmarkStart w:id="2" w:name="_Hlk182324717"/>
      <w:r w:rsidRPr="004A3124">
        <w:rPr>
          <w:rFonts w:ascii="GHEA Grapalat" w:hAnsi="GHEA Grapalat" w:cs="Sylfaen"/>
          <w:sz w:val="24"/>
          <w:szCs w:val="24"/>
          <w:lang w:val="af-ZA"/>
        </w:rPr>
        <w:t>Առաջավոր միջազգային փորձը վերագրվում է ինտեգրված վարչական ռեգիստրների համակարգին՝ խարսխված միասնական նույնականացման ծածկագրային համակարգին, սահմանումներին և դասակարգումներին</w:t>
      </w:r>
      <w:bookmarkEnd w:id="2"/>
      <w:r w:rsidR="000E1EB2" w:rsidRPr="005D5C86">
        <w:rPr>
          <w:rFonts w:ascii="GHEA Grapalat" w:hAnsi="GHEA Grapalat"/>
          <w:sz w:val="24"/>
          <w:szCs w:val="24"/>
          <w:lang w:val="hy-AM"/>
        </w:rPr>
        <w:t>: Եվ այս առումով, ներկայումս քննարկվում է</w:t>
      </w:r>
      <w:r w:rsidR="005D5C86" w:rsidRPr="005D5C86">
        <w:rPr>
          <w:rFonts w:ascii="GHEA Grapalat" w:hAnsi="GHEA Grapalat" w:cs="Sylfaen"/>
          <w:bCs/>
          <w:color w:val="000000"/>
          <w:sz w:val="24"/>
          <w:szCs w:val="24"/>
          <w:lang w:val="hy-AM"/>
        </w:rPr>
        <w:t xml:space="preserve"> օտարերկրյա</w:t>
      </w:r>
      <w:r w:rsidR="000E1EB2" w:rsidRPr="005D5C86">
        <w:rPr>
          <w:rFonts w:ascii="GHEA Grapalat" w:hAnsi="GHEA Grapalat"/>
          <w:sz w:val="24"/>
          <w:szCs w:val="24"/>
          <w:lang w:val="hy-AM"/>
        </w:rPr>
        <w:t xml:space="preserve"> </w:t>
      </w:r>
      <w:r w:rsidR="005D5C86" w:rsidRPr="005D5C86">
        <w:rPr>
          <w:rFonts w:ascii="GHEA Grapalat" w:eastAsia="Times New Roman" w:hAnsi="GHEA Grapalat" w:cs="Sylfaen"/>
          <w:color w:val="000000"/>
          <w:sz w:val="24"/>
          <w:szCs w:val="24"/>
          <w:lang w:val="hy-AM"/>
        </w:rPr>
        <w:t xml:space="preserve">ներդրումների </w:t>
      </w:r>
      <w:r w:rsidRPr="004A3124">
        <w:rPr>
          <w:rFonts w:ascii="GHEA Grapalat" w:hAnsi="GHEA Grapalat" w:cs="Sylfaen"/>
          <w:sz w:val="24"/>
          <w:szCs w:val="24"/>
          <w:lang w:val="af-ZA"/>
        </w:rPr>
        <w:t>վարչական</w:t>
      </w:r>
      <w:r w:rsidRPr="005D5C86">
        <w:rPr>
          <w:rFonts w:ascii="GHEA Grapalat" w:eastAsia="Times New Roman" w:hAnsi="GHEA Grapalat" w:cs="Sylfaen"/>
          <w:color w:val="000000"/>
          <w:sz w:val="24"/>
          <w:szCs w:val="24"/>
          <w:lang w:val="hy-AM"/>
        </w:rPr>
        <w:t xml:space="preserve"> </w:t>
      </w:r>
      <w:r w:rsidR="005D5C86" w:rsidRPr="005D5C86">
        <w:rPr>
          <w:rFonts w:ascii="GHEA Grapalat" w:eastAsia="Times New Roman" w:hAnsi="GHEA Grapalat" w:cs="Sylfaen"/>
          <w:color w:val="000000"/>
          <w:sz w:val="24"/>
          <w:szCs w:val="24"/>
          <w:lang w:val="hy-AM"/>
        </w:rPr>
        <w:t>ռեգիստրի</w:t>
      </w:r>
      <w:r w:rsidR="00130685">
        <w:rPr>
          <w:rFonts w:ascii="GHEA Grapalat" w:eastAsia="Times New Roman" w:hAnsi="GHEA Grapalat" w:cs="Sylfaen"/>
          <w:color w:val="000000"/>
          <w:sz w:val="24"/>
          <w:szCs w:val="24"/>
          <w:lang w:val="hy-AM"/>
        </w:rPr>
        <w:t xml:space="preserve">՝ </w:t>
      </w:r>
      <w:r w:rsidR="005D5C86" w:rsidRPr="005D5C86">
        <w:rPr>
          <w:rFonts w:ascii="GHEA Grapalat" w:hAnsi="GHEA Grapalat"/>
          <w:sz w:val="24"/>
          <w:szCs w:val="24"/>
          <w:lang w:val="hy-AM"/>
        </w:rPr>
        <w:t xml:space="preserve">քննարկվող </w:t>
      </w:r>
      <w:r w:rsidR="00141802" w:rsidRPr="004A3124">
        <w:rPr>
          <w:rFonts w:ascii="GHEA Grapalat" w:hAnsi="GHEA Grapalat" w:cs="Sylfaen"/>
          <w:sz w:val="24"/>
          <w:szCs w:val="24"/>
          <w:lang w:val="af-ZA"/>
        </w:rPr>
        <w:t>ինտեգրված վարչական ռեգիստրների</w:t>
      </w:r>
      <w:r w:rsidR="00141802" w:rsidRPr="005D5C86">
        <w:rPr>
          <w:rFonts w:ascii="GHEA Grapalat" w:hAnsi="GHEA Grapalat"/>
          <w:sz w:val="24"/>
          <w:szCs w:val="24"/>
          <w:lang w:val="hy-AM"/>
        </w:rPr>
        <w:t xml:space="preserve"> </w:t>
      </w:r>
      <w:r w:rsidR="005D5C86" w:rsidRPr="005D5C86">
        <w:rPr>
          <w:rFonts w:ascii="GHEA Grapalat" w:hAnsi="GHEA Grapalat"/>
          <w:sz w:val="24"/>
          <w:szCs w:val="24"/>
          <w:lang w:val="hy-AM"/>
        </w:rPr>
        <w:t>հայեցակարգում</w:t>
      </w:r>
      <w:r w:rsidR="00130685">
        <w:rPr>
          <w:rFonts w:ascii="GHEA Grapalat" w:hAnsi="GHEA Grapalat"/>
          <w:sz w:val="24"/>
          <w:szCs w:val="24"/>
          <w:lang w:val="hy-AM"/>
        </w:rPr>
        <w:t xml:space="preserve"> ներառելու հնարավորությունը</w:t>
      </w:r>
      <w:r w:rsidR="005D5C86" w:rsidRPr="005D5C86">
        <w:rPr>
          <w:rFonts w:ascii="GHEA Grapalat" w:hAnsi="GHEA Grapalat"/>
          <w:sz w:val="24"/>
          <w:szCs w:val="24"/>
          <w:lang w:val="hy-AM"/>
        </w:rPr>
        <w:t xml:space="preserve">, որտեղ Էկոնոմիկայի նախարարությունը կունենա ներդրումային </w:t>
      </w:r>
      <w:r w:rsidR="00141802">
        <w:rPr>
          <w:rFonts w:ascii="GHEA Grapalat" w:hAnsi="GHEA Grapalat"/>
          <w:sz w:val="24"/>
          <w:szCs w:val="24"/>
          <w:lang w:val="hy-AM"/>
        </w:rPr>
        <w:t xml:space="preserve">վարչական </w:t>
      </w:r>
      <w:r w:rsidR="005D5C86" w:rsidRPr="005D5C86">
        <w:rPr>
          <w:rFonts w:ascii="GHEA Grapalat" w:hAnsi="GHEA Grapalat"/>
          <w:sz w:val="24"/>
          <w:szCs w:val="24"/>
          <w:lang w:val="hy-AM"/>
        </w:rPr>
        <w:t>ռեգիստրի տվյալների հասանելիություն։</w:t>
      </w:r>
      <w:r w:rsidR="00141802">
        <w:rPr>
          <w:rFonts w:ascii="GHEA Grapalat" w:hAnsi="GHEA Grapalat"/>
          <w:sz w:val="24"/>
          <w:szCs w:val="24"/>
          <w:lang w:val="hy-AM"/>
        </w:rPr>
        <w:t xml:space="preserve"> </w:t>
      </w:r>
    </w:p>
    <w:p w14:paraId="0F133A22" w14:textId="4CF59A6B" w:rsidR="00BC1ADC" w:rsidRDefault="00130685" w:rsidP="00F92D06">
      <w:pPr>
        <w:pStyle w:val="ListParagraph"/>
        <w:ind w:left="142" w:right="30" w:firstLine="284"/>
        <w:jc w:val="both"/>
        <w:rPr>
          <w:rFonts w:ascii="GHEA Grapalat" w:hAnsi="GHEA Grapalat" w:cs="Times New Roman"/>
          <w:sz w:val="24"/>
          <w:szCs w:val="24"/>
          <w:lang w:val="hy-AM"/>
        </w:rPr>
      </w:pPr>
      <w:r>
        <w:rPr>
          <w:rFonts w:ascii="GHEA Grapalat" w:hAnsi="GHEA Grapalat" w:cs="Sylfaen"/>
          <w:sz w:val="24"/>
          <w:szCs w:val="24"/>
          <w:lang w:val="hy-AM"/>
        </w:rPr>
        <w:t>Նման պայմաններում, հ</w:t>
      </w:r>
      <w:r w:rsidR="005D5C86" w:rsidRPr="005D5C86">
        <w:rPr>
          <w:rFonts w:ascii="GHEA Grapalat" w:hAnsi="GHEA Grapalat" w:cs="Sylfaen"/>
          <w:sz w:val="24"/>
          <w:szCs w:val="24"/>
          <w:lang w:val="hy-AM"/>
        </w:rPr>
        <w:t>աշ</w:t>
      </w:r>
      <w:r>
        <w:rPr>
          <w:rFonts w:ascii="GHEA Grapalat" w:hAnsi="GHEA Grapalat" w:cs="Sylfaen"/>
          <w:sz w:val="24"/>
          <w:szCs w:val="24"/>
          <w:lang w:val="hy-AM"/>
        </w:rPr>
        <w:t>վ</w:t>
      </w:r>
      <w:r w:rsidR="005D5C86" w:rsidRPr="005D5C86">
        <w:rPr>
          <w:rFonts w:ascii="GHEA Grapalat" w:hAnsi="GHEA Grapalat" w:cs="Sylfaen"/>
          <w:sz w:val="24"/>
          <w:szCs w:val="24"/>
          <w:lang w:val="hy-AM"/>
        </w:rPr>
        <w:t xml:space="preserve">ի առնելով այն հանգամանքը, որ նախատեսվող կարգավորումների վերաբերյալ շահագրգիռ մարմինների </w:t>
      </w:r>
      <w:r w:rsidR="00D62D83">
        <w:rPr>
          <w:rFonts w:ascii="GHEA Grapalat" w:hAnsi="GHEA Grapalat" w:cs="Sylfaen"/>
          <w:sz w:val="24"/>
          <w:szCs w:val="24"/>
          <w:lang w:val="hy-AM"/>
        </w:rPr>
        <w:t xml:space="preserve">հետ </w:t>
      </w:r>
      <w:r w:rsidR="005D5C86" w:rsidRPr="005D5C86">
        <w:rPr>
          <w:rFonts w:ascii="GHEA Grapalat" w:eastAsia="Times New Roman" w:hAnsi="GHEA Grapalat" w:cs="Times New Roman"/>
          <w:sz w:val="24"/>
          <w:szCs w:val="24"/>
          <w:lang w:val="hy-AM"/>
        </w:rPr>
        <w:t xml:space="preserve">քննարկումները </w:t>
      </w:r>
      <w:r>
        <w:rPr>
          <w:rFonts w:ascii="GHEA Grapalat" w:eastAsia="Times New Roman" w:hAnsi="GHEA Grapalat" w:cs="Times New Roman"/>
          <w:sz w:val="24"/>
          <w:szCs w:val="24"/>
          <w:lang w:val="hy-AM"/>
        </w:rPr>
        <w:t xml:space="preserve">դեռևս </w:t>
      </w:r>
      <w:r w:rsidR="005D5C86" w:rsidRPr="005D5C86">
        <w:rPr>
          <w:rFonts w:ascii="GHEA Grapalat" w:eastAsia="Times New Roman" w:hAnsi="GHEA Grapalat" w:cs="Times New Roman"/>
          <w:sz w:val="24"/>
          <w:szCs w:val="24"/>
          <w:lang w:val="hy-AM"/>
        </w:rPr>
        <w:t xml:space="preserve">շարունակվում են, ինչպես նաև այն, որ </w:t>
      </w:r>
      <w:r w:rsidR="005D5C86" w:rsidRPr="005D5C86">
        <w:rPr>
          <w:rFonts w:ascii="GHEA Grapalat" w:hAnsi="GHEA Grapalat" w:cs="Times New Roman"/>
          <w:sz w:val="24"/>
          <w:szCs w:val="24"/>
          <w:lang w:val="hy-AM"/>
        </w:rPr>
        <w:t>օրենսդրական և ենթաօրենսդրական ակտերի ընդունումը պահանջում է որոշակի տևական ժամանակ, ուստի առաջարկվում է վերը հիշատակված միջոցառման մեջ կատարել փոփոխություն՝ միջոցառման իրականացման վերջնաժամկետ սահմանելով 2026 թվականի դեկտեմբեր ամիսը:</w:t>
      </w:r>
    </w:p>
    <w:p w14:paraId="0531D9CF" w14:textId="7B986C10" w:rsidR="005B1EAF" w:rsidRPr="00D141A7" w:rsidRDefault="005B1EAF" w:rsidP="00F92D06">
      <w:pPr>
        <w:pStyle w:val="ListParagraph"/>
        <w:ind w:left="142" w:right="30" w:firstLine="284"/>
        <w:jc w:val="both"/>
        <w:rPr>
          <w:rFonts w:ascii="GHEA Grapalat" w:eastAsia="Times New Roman" w:hAnsi="GHEA Grapalat" w:cs="Times New Roman"/>
          <w:sz w:val="24"/>
          <w:szCs w:val="24"/>
          <w:lang w:val="hy-AM"/>
        </w:rPr>
      </w:pPr>
      <w:r w:rsidRPr="00D141A7">
        <w:rPr>
          <w:rFonts w:ascii="GHEA Grapalat" w:eastAsia="Times New Roman" w:hAnsi="GHEA Grapalat" w:cs="Times New Roman"/>
          <w:sz w:val="24"/>
          <w:szCs w:val="24"/>
          <w:lang w:val="hy-AM"/>
        </w:rPr>
        <w:t>1</w:t>
      </w:r>
      <w:r w:rsidRPr="00D141A7">
        <w:rPr>
          <w:rFonts w:ascii="Cambria Math" w:eastAsia="Times New Roman" w:hAnsi="Cambria Math" w:cs="Cambria Math"/>
          <w:sz w:val="24"/>
          <w:szCs w:val="24"/>
          <w:lang w:val="hy-AM"/>
        </w:rPr>
        <w:t>․</w:t>
      </w:r>
      <w:r w:rsidRPr="00D141A7">
        <w:rPr>
          <w:rFonts w:ascii="GHEA Grapalat" w:eastAsia="Times New Roman" w:hAnsi="GHEA Grapalat" w:cs="Times New Roman"/>
          <w:sz w:val="24"/>
          <w:szCs w:val="24"/>
          <w:lang w:val="hy-AM"/>
        </w:rPr>
        <w:t>3</w:t>
      </w:r>
      <w:r w:rsidRPr="00D141A7">
        <w:rPr>
          <w:rFonts w:ascii="Cambria Math" w:eastAsia="Times New Roman" w:hAnsi="Cambria Math" w:cs="Cambria Math"/>
          <w:sz w:val="24"/>
          <w:szCs w:val="24"/>
          <w:lang w:val="hy-AM"/>
        </w:rPr>
        <w:t>․</w:t>
      </w:r>
      <w:r w:rsidRPr="00D141A7">
        <w:rPr>
          <w:rFonts w:ascii="GHEA Grapalat" w:eastAsia="Times New Roman" w:hAnsi="GHEA Grapalat" w:cs="Times New Roman"/>
          <w:sz w:val="24"/>
          <w:szCs w:val="24"/>
          <w:lang w:val="hy-AM"/>
        </w:rPr>
        <w:t xml:space="preserve"> Միաժամանակ, </w:t>
      </w:r>
      <w:r w:rsidR="00206BE4" w:rsidRPr="00D141A7">
        <w:rPr>
          <w:rFonts w:ascii="GHEA Grapalat" w:eastAsia="Times New Roman" w:hAnsi="GHEA Grapalat" w:cs="Times New Roman"/>
          <w:sz w:val="24"/>
          <w:szCs w:val="24"/>
          <w:lang w:val="hy-AM"/>
        </w:rPr>
        <w:t xml:space="preserve">հստակեցման նպատակով </w:t>
      </w:r>
      <w:r w:rsidRPr="00D141A7">
        <w:rPr>
          <w:rFonts w:ascii="GHEA Grapalat" w:eastAsia="Times New Roman" w:hAnsi="GHEA Grapalat" w:cs="Times New Roman"/>
          <w:sz w:val="24"/>
          <w:szCs w:val="24"/>
          <w:lang w:val="hy-AM"/>
        </w:rPr>
        <w:t xml:space="preserve">առաջարկվում է </w:t>
      </w:r>
      <w:r w:rsidR="00D32BCD">
        <w:rPr>
          <w:rFonts w:ascii="GHEA Grapalat" w:eastAsia="Times New Roman" w:hAnsi="GHEA Grapalat" w:cs="Times New Roman"/>
          <w:sz w:val="24"/>
          <w:szCs w:val="24"/>
          <w:lang w:val="hy-AM"/>
        </w:rPr>
        <w:t xml:space="preserve">Հավելվածի 6-րդ կետում </w:t>
      </w:r>
      <w:r w:rsidRPr="00D141A7">
        <w:rPr>
          <w:rFonts w:ascii="GHEA Grapalat" w:eastAsia="Times New Roman" w:hAnsi="GHEA Grapalat" w:cs="Times New Roman"/>
          <w:sz w:val="24"/>
          <w:szCs w:val="24"/>
          <w:lang w:val="hy-AM"/>
        </w:rPr>
        <w:t>«ռեեստրի» բառից հետո ավելացնել «(վարչական ռեգիստր)» բառերը, իսկ «Պատասխանատու գերատեսչությունը» սյունակում «Վիճակագրական կոմիտե» բառերը փոխարինել «ՀՀ արդարադատության նախարարության իրավաբանական անձանց պետական ռեգիստրի գործակալություն» և «Հայաստանի կենտրոնական դեպոզիտարիա (համաձայնությամբ)» բառերով: Վերջին երկու գերատեսչություններին է վերապահված  ձեռնարկատիրական իրավունքի գրանցման և բաժնետիրական ընկերություններում օտարերկրյա մասնակցության վերաբերյալ վարչական (անվանական հասցեական) գրանցումների լիազորությունները։</w:t>
      </w:r>
      <w:r w:rsidR="00D25770" w:rsidRPr="00D25770">
        <w:rPr>
          <w:rFonts w:ascii="GHEA Grapalat" w:eastAsia="Times New Roman" w:hAnsi="GHEA Grapalat" w:cs="Times New Roman"/>
          <w:sz w:val="24"/>
          <w:szCs w:val="24"/>
          <w:lang w:val="hy-AM"/>
        </w:rPr>
        <w:t xml:space="preserve"> </w:t>
      </w:r>
      <w:r w:rsidR="00D25770">
        <w:rPr>
          <w:rFonts w:ascii="GHEA Grapalat" w:eastAsia="Times New Roman" w:hAnsi="GHEA Grapalat" w:cs="Times New Roman"/>
          <w:sz w:val="24"/>
          <w:szCs w:val="24"/>
          <w:lang w:val="hy-AM"/>
        </w:rPr>
        <w:t xml:space="preserve">Վիճակագրական կոմիտեն </w:t>
      </w:r>
      <w:r w:rsidR="00D25770">
        <w:rPr>
          <w:rFonts w:ascii="GHEA Grapalat" w:hAnsi="GHEA Grapalat" w:cs="Sylfaen"/>
          <w:sz w:val="24"/>
          <w:szCs w:val="24"/>
          <w:lang w:val="af-ZA"/>
        </w:rPr>
        <w:t xml:space="preserve">ՄԱԿ-ի պաշտոնական վիճակագրության հիմնարար սկզբունքների պահանջների և Օրենքով սահմանված դրույթների համաձայն հանդիսանում </w:t>
      </w:r>
      <w:r w:rsidR="00D25770">
        <w:rPr>
          <w:rFonts w:ascii="GHEA Grapalat" w:hAnsi="GHEA Grapalat" w:cs="Sylfaen"/>
          <w:sz w:val="24"/>
          <w:szCs w:val="24"/>
          <w:lang w:val="hy-AM"/>
        </w:rPr>
        <w:t>է</w:t>
      </w:r>
      <w:r w:rsidR="00D25770">
        <w:rPr>
          <w:rFonts w:ascii="GHEA Grapalat" w:hAnsi="GHEA Grapalat" w:cs="Sylfaen"/>
          <w:sz w:val="24"/>
          <w:szCs w:val="24"/>
          <w:lang w:val="af-ZA"/>
        </w:rPr>
        <w:t xml:space="preserve"> ոչ թե վարչական ռեգիստրների (ռեեստրների) ձևավորող, այլ վարչական ռեգիստրներում առկա տվյալների </w:t>
      </w:r>
      <w:r w:rsidR="00D25770" w:rsidRPr="00D25770">
        <w:rPr>
          <w:rFonts w:ascii="GHEA Grapalat" w:hAnsi="GHEA Grapalat" w:cs="Sylfaen"/>
          <w:bCs/>
          <w:iCs/>
          <w:sz w:val="24"/>
          <w:szCs w:val="24"/>
          <w:lang w:val="af-ZA"/>
        </w:rPr>
        <w:t>օգտագործող</w:t>
      </w:r>
      <w:r w:rsidR="00D25770">
        <w:rPr>
          <w:rFonts w:ascii="GHEA Grapalat" w:hAnsi="GHEA Grapalat" w:cs="Sylfaen"/>
          <w:b/>
          <w:i/>
          <w:sz w:val="24"/>
          <w:szCs w:val="24"/>
          <w:lang w:val="hy-AM"/>
        </w:rPr>
        <w:t>։</w:t>
      </w:r>
      <w:r w:rsidR="00D25770">
        <w:rPr>
          <w:rFonts w:ascii="GHEA Grapalat" w:hAnsi="GHEA Grapalat" w:cs="Sylfaen"/>
          <w:b/>
          <w:i/>
          <w:sz w:val="24"/>
          <w:szCs w:val="24"/>
          <w:lang w:val="hy-AM"/>
        </w:rPr>
        <w:t xml:space="preserve"> </w:t>
      </w:r>
    </w:p>
    <w:p w14:paraId="635D9DAF" w14:textId="170ACF77" w:rsidR="002A453F" w:rsidRPr="005D5C86" w:rsidRDefault="001F3389" w:rsidP="00F92D06">
      <w:pPr>
        <w:shd w:val="clear" w:color="auto" w:fill="FFFFFF"/>
        <w:spacing w:after="0"/>
        <w:ind w:firstLine="450"/>
        <w:jc w:val="both"/>
        <w:rPr>
          <w:rFonts w:ascii="GHEA Grapalat" w:eastAsia="Calibri" w:hAnsi="GHEA Grapalat" w:cs="Times New Roman"/>
          <w:b/>
          <w:bCs/>
          <w:color w:val="000000"/>
          <w:sz w:val="24"/>
          <w:szCs w:val="24"/>
          <w:lang w:val="hy-AM"/>
        </w:rPr>
      </w:pPr>
      <w:r w:rsidRPr="005D5C86">
        <w:rPr>
          <w:rFonts w:ascii="GHEA Grapalat" w:eastAsia="Calibri" w:hAnsi="GHEA Grapalat" w:cs="Times New Roman"/>
          <w:b/>
          <w:bCs/>
          <w:color w:val="000000"/>
          <w:sz w:val="24"/>
          <w:szCs w:val="24"/>
          <w:lang w:val="hy-AM"/>
        </w:rPr>
        <w:t>2</w:t>
      </w:r>
      <w:r w:rsidR="002A453F" w:rsidRPr="005D5C86">
        <w:rPr>
          <w:rFonts w:ascii="Cambria Math" w:eastAsia="Calibri" w:hAnsi="Cambria Math" w:cs="Cambria Math"/>
          <w:b/>
          <w:bCs/>
          <w:color w:val="000000"/>
          <w:sz w:val="24"/>
          <w:szCs w:val="24"/>
          <w:lang w:val="hy-AM"/>
        </w:rPr>
        <w:t>․</w:t>
      </w:r>
      <w:r w:rsidR="002A453F" w:rsidRPr="005D5C86">
        <w:rPr>
          <w:rFonts w:ascii="GHEA Grapalat" w:eastAsia="Calibri" w:hAnsi="GHEA Grapalat" w:cs="Times New Roman"/>
          <w:b/>
          <w:bCs/>
          <w:color w:val="000000"/>
          <w:sz w:val="24"/>
          <w:szCs w:val="24"/>
          <w:lang w:val="hy-AM"/>
        </w:rPr>
        <w:t xml:space="preserve"> </w:t>
      </w:r>
      <w:r w:rsidR="0000447A" w:rsidRPr="005D5C86">
        <w:rPr>
          <w:rFonts w:ascii="GHEA Grapalat" w:eastAsia="Calibri" w:hAnsi="GHEA Grapalat" w:cs="Times New Roman"/>
          <w:b/>
          <w:bCs/>
          <w:color w:val="000000"/>
          <w:sz w:val="24"/>
          <w:szCs w:val="24"/>
          <w:lang w:val="hy-AM"/>
        </w:rPr>
        <w:t>Նախագծի մշակման գործընթացում ներգրավված ինստիտուտները և անձիք</w:t>
      </w:r>
      <w:r w:rsidR="0000447A" w:rsidRPr="005D5C86">
        <w:rPr>
          <w:rFonts w:ascii="Cambria Math" w:eastAsia="Calibri" w:hAnsi="Cambria Math" w:cs="Cambria Math"/>
          <w:b/>
          <w:bCs/>
          <w:color w:val="000000"/>
          <w:sz w:val="24"/>
          <w:szCs w:val="24"/>
          <w:lang w:val="hy-AM"/>
        </w:rPr>
        <w:t>․</w:t>
      </w:r>
    </w:p>
    <w:p w14:paraId="6B6D1A3C" w14:textId="4D74209B" w:rsidR="005C0AA1" w:rsidRDefault="0000447A" w:rsidP="00F92D06">
      <w:pPr>
        <w:shd w:val="clear" w:color="auto" w:fill="FFFFFF"/>
        <w:spacing w:after="0"/>
        <w:ind w:left="90" w:firstLine="360"/>
        <w:jc w:val="both"/>
        <w:rPr>
          <w:rFonts w:ascii="GHEA Grapalat" w:hAnsi="GHEA Grapalat"/>
          <w:sz w:val="24"/>
          <w:szCs w:val="24"/>
          <w:lang w:val="hy-AM"/>
        </w:rPr>
      </w:pPr>
      <w:r w:rsidRPr="005D5C86">
        <w:rPr>
          <w:rFonts w:ascii="GHEA Grapalat" w:hAnsi="GHEA Grapalat"/>
          <w:sz w:val="24"/>
          <w:szCs w:val="24"/>
          <w:lang w:val="hy-AM"/>
        </w:rPr>
        <w:t>Նախագիծը մշակվել է Էկոնոմիկայի նախարարության կողմից:</w:t>
      </w:r>
    </w:p>
    <w:p w14:paraId="7B13ACBB" w14:textId="77777777" w:rsidR="00130685" w:rsidRDefault="00130685" w:rsidP="00F92D06">
      <w:pPr>
        <w:shd w:val="clear" w:color="auto" w:fill="FFFFFF"/>
        <w:spacing w:after="0"/>
        <w:ind w:left="90" w:firstLine="360"/>
        <w:jc w:val="both"/>
        <w:rPr>
          <w:rFonts w:ascii="GHEA Grapalat" w:hAnsi="GHEA Grapalat"/>
          <w:sz w:val="24"/>
          <w:szCs w:val="24"/>
          <w:lang w:val="hy-AM"/>
        </w:rPr>
      </w:pPr>
    </w:p>
    <w:p w14:paraId="5A622940" w14:textId="77777777" w:rsidR="00130685" w:rsidRPr="00130685" w:rsidRDefault="00130685" w:rsidP="00F92D06">
      <w:pPr>
        <w:shd w:val="clear" w:color="auto" w:fill="FFFFFF"/>
        <w:spacing w:after="0"/>
        <w:ind w:left="90" w:firstLine="360"/>
        <w:jc w:val="both"/>
        <w:rPr>
          <w:rFonts w:ascii="GHEA Grapalat" w:hAnsi="GHEA Grapalat"/>
          <w:sz w:val="6"/>
          <w:szCs w:val="6"/>
          <w:lang w:val="hy-AM"/>
        </w:rPr>
      </w:pPr>
    </w:p>
    <w:p w14:paraId="5FE4EE5E" w14:textId="23B6C0F4" w:rsidR="0000447A" w:rsidRPr="005D5C86" w:rsidRDefault="001F3389" w:rsidP="00F92D06">
      <w:pPr>
        <w:tabs>
          <w:tab w:val="left" w:pos="1620"/>
        </w:tabs>
        <w:ind w:left="90" w:firstLine="360"/>
        <w:jc w:val="both"/>
        <w:rPr>
          <w:rFonts w:ascii="GHEA Grapalat" w:eastAsia="Times New Roman" w:hAnsi="GHEA Grapalat" w:cs="Sylfaen"/>
          <w:sz w:val="24"/>
          <w:szCs w:val="24"/>
          <w:lang w:val="hy-AM"/>
        </w:rPr>
      </w:pPr>
      <w:r w:rsidRPr="005D5C86">
        <w:rPr>
          <w:rFonts w:ascii="GHEA Grapalat" w:eastAsia="Times New Roman" w:hAnsi="GHEA Grapalat" w:cs="Sylfaen"/>
          <w:b/>
          <w:sz w:val="24"/>
          <w:szCs w:val="24"/>
          <w:lang w:val="hy-AM"/>
        </w:rPr>
        <w:t>3</w:t>
      </w:r>
      <w:r w:rsidR="0000447A" w:rsidRPr="005D5C86">
        <w:rPr>
          <w:rFonts w:ascii="Cambria Math" w:eastAsia="Times New Roman" w:hAnsi="Cambria Math" w:cs="Cambria Math"/>
          <w:b/>
          <w:sz w:val="24"/>
          <w:szCs w:val="24"/>
          <w:lang w:val="hy-AM"/>
        </w:rPr>
        <w:t>․</w:t>
      </w:r>
      <w:r w:rsidR="0000447A" w:rsidRPr="005D5C86">
        <w:rPr>
          <w:rFonts w:ascii="GHEA Grapalat" w:eastAsia="Times New Roman" w:hAnsi="GHEA Grapalat" w:cs="Cambria Math"/>
          <w:b/>
          <w:sz w:val="24"/>
          <w:szCs w:val="24"/>
          <w:lang w:val="hy-AM"/>
        </w:rPr>
        <w:t xml:space="preserve"> </w:t>
      </w:r>
      <w:r w:rsidR="0000447A" w:rsidRPr="005D5C86">
        <w:rPr>
          <w:rFonts w:ascii="GHEA Grapalat" w:hAnsi="GHEA Grapalat"/>
          <w:b/>
          <w:sz w:val="24"/>
          <w:szCs w:val="24"/>
          <w:lang w:val="hy-AM"/>
        </w:rPr>
        <w:t xml:space="preserve">Իրավական ակտի </w:t>
      </w:r>
      <w:r w:rsidR="0000447A" w:rsidRPr="005D5C86">
        <w:rPr>
          <w:rFonts w:ascii="GHEA Grapalat" w:hAnsi="GHEA Grapalat"/>
          <w:b/>
          <w:noProof/>
          <w:sz w:val="24"/>
          <w:szCs w:val="24"/>
          <w:lang w:val="hy-AM"/>
        </w:rPr>
        <w:t xml:space="preserve">ընդունման </w:t>
      </w:r>
      <w:r w:rsidR="0000447A" w:rsidRPr="005D5C86">
        <w:rPr>
          <w:rFonts w:ascii="GHEA Grapalat" w:hAnsi="GHEA Grapalat"/>
          <w:b/>
          <w:bCs/>
          <w:iCs/>
          <w:noProof/>
          <w:sz w:val="24"/>
          <w:szCs w:val="24"/>
          <w:lang w:val="hy-AM"/>
        </w:rPr>
        <w:t>կապակցությամբ պետական կամ տեղական ինքնակառավարման մարմնի բյուջեում եկամուտների և ծախսերի էական ավելացման կամ նվազեցման մասին</w:t>
      </w:r>
      <w:r w:rsidR="0000447A" w:rsidRPr="005D5C86">
        <w:rPr>
          <w:rFonts w:ascii="Cambria Math" w:eastAsia="MS Gothic" w:hAnsi="Cambria Math" w:cs="Cambria Math"/>
          <w:sz w:val="24"/>
          <w:szCs w:val="24"/>
          <w:lang w:val="hy-AM"/>
        </w:rPr>
        <w:t>․</w:t>
      </w:r>
    </w:p>
    <w:p w14:paraId="572C0714" w14:textId="3CD66B49" w:rsidR="001D7531" w:rsidRDefault="0000447A" w:rsidP="00F92D06">
      <w:pPr>
        <w:tabs>
          <w:tab w:val="left" w:pos="1620"/>
        </w:tabs>
        <w:ind w:left="90" w:firstLine="360"/>
        <w:jc w:val="both"/>
        <w:rPr>
          <w:rFonts w:ascii="GHEA Grapalat" w:eastAsia="Times New Roman" w:hAnsi="GHEA Grapalat" w:cs="GHEA Grapalat"/>
          <w:sz w:val="24"/>
          <w:szCs w:val="24"/>
          <w:lang w:val="hy-AM" w:eastAsia="ru-RU"/>
        </w:rPr>
      </w:pPr>
      <w:r w:rsidRPr="005D5C86">
        <w:rPr>
          <w:rFonts w:ascii="GHEA Grapalat" w:eastAsia="Times New Roman" w:hAnsi="GHEA Grapalat" w:cs="Sylfaen"/>
          <w:sz w:val="24"/>
          <w:szCs w:val="24"/>
          <w:lang w:val="hy-AM" w:eastAsia="ru-RU"/>
        </w:rPr>
        <w:t>Նախագծի</w:t>
      </w:r>
      <w:r w:rsidRPr="005D5C86">
        <w:rPr>
          <w:rFonts w:ascii="GHEA Grapalat" w:eastAsia="Times New Roman" w:hAnsi="GHEA Grapalat" w:cs="GHEA Grapalat"/>
          <w:sz w:val="24"/>
          <w:szCs w:val="24"/>
          <w:lang w:val="hy-AM" w:eastAsia="ru-RU"/>
        </w:rPr>
        <w:t xml:space="preserve"> </w:t>
      </w:r>
      <w:r w:rsidRPr="005D5C86">
        <w:rPr>
          <w:rFonts w:ascii="GHEA Grapalat" w:eastAsia="Times New Roman" w:hAnsi="GHEA Grapalat" w:cs="Sylfaen"/>
          <w:sz w:val="24"/>
          <w:szCs w:val="24"/>
          <w:lang w:val="hy-AM" w:eastAsia="ru-RU"/>
        </w:rPr>
        <w:t>ընդունման</w:t>
      </w:r>
      <w:r w:rsidRPr="005D5C86">
        <w:rPr>
          <w:rFonts w:ascii="GHEA Grapalat" w:eastAsia="Times New Roman" w:hAnsi="GHEA Grapalat" w:cs="GHEA Grapalat"/>
          <w:sz w:val="24"/>
          <w:szCs w:val="24"/>
          <w:lang w:val="hy-AM" w:eastAsia="ru-RU"/>
        </w:rPr>
        <w:t xml:space="preserve"> </w:t>
      </w:r>
      <w:r w:rsidRPr="005D5C86">
        <w:rPr>
          <w:rFonts w:ascii="GHEA Grapalat" w:eastAsia="Times New Roman" w:hAnsi="GHEA Grapalat" w:cs="Sylfaen"/>
          <w:sz w:val="24"/>
          <w:szCs w:val="24"/>
          <w:lang w:val="hy-AM" w:eastAsia="ru-RU"/>
        </w:rPr>
        <w:t>արդյունքում</w:t>
      </w:r>
      <w:r w:rsidRPr="005D5C86">
        <w:rPr>
          <w:rFonts w:ascii="GHEA Grapalat" w:eastAsia="Times New Roman" w:hAnsi="GHEA Grapalat" w:cs="GHEA Grapalat"/>
          <w:sz w:val="24"/>
          <w:szCs w:val="24"/>
          <w:lang w:val="hy-AM" w:eastAsia="ru-RU"/>
        </w:rPr>
        <w:t xml:space="preserve"> </w:t>
      </w:r>
      <w:r w:rsidRPr="005D5C86">
        <w:rPr>
          <w:rFonts w:ascii="GHEA Grapalat" w:eastAsia="Times New Roman" w:hAnsi="GHEA Grapalat" w:cs="Sylfaen"/>
          <w:sz w:val="24"/>
          <w:szCs w:val="24"/>
          <w:lang w:val="hy-AM"/>
        </w:rPr>
        <w:t xml:space="preserve">ՀՀ պետական բյուջեի եկամուտների </w:t>
      </w:r>
      <w:r w:rsidRPr="005D5C86">
        <w:rPr>
          <w:rFonts w:ascii="GHEA Grapalat" w:eastAsia="Times New Roman" w:hAnsi="GHEA Grapalat" w:cs="GHEA Grapalat"/>
          <w:sz w:val="24"/>
          <w:szCs w:val="24"/>
          <w:lang w:val="hy-AM" w:eastAsia="ru-RU"/>
        </w:rPr>
        <w:t xml:space="preserve">նվազեցում և </w:t>
      </w:r>
      <w:r w:rsidR="009E6279" w:rsidRPr="005D5C86">
        <w:rPr>
          <w:rFonts w:ascii="GHEA Grapalat" w:eastAsia="Times New Roman" w:hAnsi="GHEA Grapalat" w:cs="GHEA Grapalat"/>
          <w:sz w:val="24"/>
          <w:szCs w:val="24"/>
          <w:lang w:val="hy-AM" w:eastAsia="ru-RU"/>
        </w:rPr>
        <w:t xml:space="preserve">ծախսերի </w:t>
      </w:r>
      <w:r w:rsidRPr="005D5C86">
        <w:rPr>
          <w:rFonts w:ascii="GHEA Grapalat" w:eastAsia="Times New Roman" w:hAnsi="GHEA Grapalat" w:cs="GHEA Grapalat"/>
          <w:sz w:val="24"/>
          <w:szCs w:val="24"/>
          <w:lang w:val="hy-AM" w:eastAsia="ru-RU"/>
        </w:rPr>
        <w:t>ավելացում չի նախատեսվում։</w:t>
      </w:r>
    </w:p>
    <w:p w14:paraId="08DE91FC" w14:textId="77777777" w:rsidR="00130685" w:rsidRPr="00130685" w:rsidRDefault="00130685" w:rsidP="00F92D06">
      <w:pPr>
        <w:tabs>
          <w:tab w:val="left" w:pos="1620"/>
        </w:tabs>
        <w:ind w:left="90" w:firstLine="360"/>
        <w:jc w:val="both"/>
        <w:rPr>
          <w:rFonts w:ascii="GHEA Grapalat" w:eastAsia="Times New Roman" w:hAnsi="GHEA Grapalat" w:cs="GHEA Grapalat"/>
          <w:sz w:val="6"/>
          <w:szCs w:val="6"/>
          <w:lang w:val="hy-AM" w:eastAsia="ru-RU"/>
        </w:rPr>
      </w:pPr>
    </w:p>
    <w:p w14:paraId="4F185DCF" w14:textId="30CE06BF" w:rsidR="00A05301" w:rsidRPr="005D5C86" w:rsidRDefault="001F3389" w:rsidP="00F92D06">
      <w:pPr>
        <w:tabs>
          <w:tab w:val="left" w:pos="1620"/>
        </w:tabs>
        <w:ind w:firstLine="450"/>
        <w:jc w:val="both"/>
        <w:rPr>
          <w:rFonts w:ascii="GHEA Grapalat" w:eastAsia="Times New Roman" w:hAnsi="GHEA Grapalat" w:cs="Sylfaen"/>
          <w:sz w:val="24"/>
          <w:szCs w:val="24"/>
          <w:lang w:val="hy-AM"/>
        </w:rPr>
      </w:pPr>
      <w:r w:rsidRPr="005D5C86">
        <w:rPr>
          <w:rFonts w:ascii="GHEA Grapalat" w:eastAsia="Times New Roman" w:hAnsi="GHEA Grapalat" w:cs="Sylfaen"/>
          <w:b/>
          <w:sz w:val="24"/>
          <w:szCs w:val="24"/>
          <w:lang w:val="hy-AM"/>
        </w:rPr>
        <w:t>4</w:t>
      </w:r>
      <w:r w:rsidR="00A05301" w:rsidRPr="005D5C86">
        <w:rPr>
          <w:rFonts w:ascii="Cambria Math" w:eastAsia="Times New Roman" w:hAnsi="Cambria Math" w:cs="Cambria Math"/>
          <w:b/>
          <w:sz w:val="24"/>
          <w:szCs w:val="24"/>
          <w:lang w:val="hy-AM"/>
        </w:rPr>
        <w:t>․</w:t>
      </w:r>
      <w:r w:rsidR="00A05301" w:rsidRPr="005D5C86">
        <w:rPr>
          <w:rFonts w:ascii="GHEA Grapalat" w:eastAsia="Times New Roman" w:hAnsi="GHEA Grapalat" w:cs="Sylfaen"/>
          <w:b/>
          <w:sz w:val="24"/>
          <w:szCs w:val="24"/>
          <w:lang w:val="hy-AM"/>
        </w:rPr>
        <w:t xml:space="preserve"> </w:t>
      </w:r>
      <w:r w:rsidR="00A05301" w:rsidRPr="005D5C86">
        <w:rPr>
          <w:rFonts w:ascii="GHEA Grapalat" w:eastAsia="Times New Roman"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FA11AB0" w14:textId="03796101" w:rsidR="00E9276C" w:rsidRPr="005D5C86" w:rsidRDefault="00A05301" w:rsidP="00F92D06">
      <w:pPr>
        <w:tabs>
          <w:tab w:val="left" w:pos="1620"/>
        </w:tabs>
        <w:ind w:firstLine="450"/>
        <w:jc w:val="both"/>
        <w:rPr>
          <w:rFonts w:ascii="GHEA Grapalat" w:eastAsia="Times New Roman" w:hAnsi="GHEA Grapalat" w:cs="Sylfaen"/>
          <w:sz w:val="24"/>
          <w:szCs w:val="24"/>
          <w:lang w:val="hy-AM"/>
        </w:rPr>
      </w:pPr>
      <w:r w:rsidRPr="005D5C86">
        <w:rPr>
          <w:rFonts w:ascii="GHEA Grapalat" w:hAnsi="GHEA Grapalat"/>
          <w:sz w:val="24"/>
          <w:szCs w:val="24"/>
          <w:lang w:val="hy-AM"/>
        </w:rPr>
        <w:t>Նախագծի ընդունումը չի բխում ՀՀ կառավարության 18.11.2021թ. «Հայաստանի Հանրապետության կառավարության 2021-2026 թվականների գործունեության միջոցառումների ծրագրից։</w:t>
      </w:r>
    </w:p>
    <w:sectPr w:rsidR="00E9276C" w:rsidRPr="005D5C86" w:rsidSect="004120D8">
      <w:footerReference w:type="default" r:id="rId7"/>
      <w:pgSz w:w="12240" w:h="15840"/>
      <w:pgMar w:top="1080" w:right="72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133C2" w14:textId="77777777" w:rsidR="009B5EFB" w:rsidRDefault="009B5EFB" w:rsidP="00E71335">
      <w:pPr>
        <w:spacing w:after="0" w:line="240" w:lineRule="auto"/>
      </w:pPr>
      <w:r>
        <w:separator/>
      </w:r>
    </w:p>
  </w:endnote>
  <w:endnote w:type="continuationSeparator" w:id="0">
    <w:p w14:paraId="6FAB7DE8" w14:textId="77777777" w:rsidR="009B5EFB" w:rsidRDefault="009B5EFB" w:rsidP="00E7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638101"/>
      <w:docPartObj>
        <w:docPartGallery w:val="Page Numbers (Bottom of Page)"/>
        <w:docPartUnique/>
      </w:docPartObj>
    </w:sdtPr>
    <w:sdtEndPr>
      <w:rPr>
        <w:noProof/>
      </w:rPr>
    </w:sdtEndPr>
    <w:sdtContent>
      <w:p w14:paraId="4C4CDFEB" w14:textId="275FD52E" w:rsidR="00E71335" w:rsidRDefault="00E71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47C7C" w14:textId="77777777" w:rsidR="00E71335" w:rsidRDefault="00E7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5327E" w14:textId="77777777" w:rsidR="009B5EFB" w:rsidRDefault="009B5EFB" w:rsidP="00E71335">
      <w:pPr>
        <w:spacing w:after="0" w:line="240" w:lineRule="auto"/>
      </w:pPr>
      <w:r>
        <w:separator/>
      </w:r>
    </w:p>
  </w:footnote>
  <w:footnote w:type="continuationSeparator" w:id="0">
    <w:p w14:paraId="3F9C22F1" w14:textId="77777777" w:rsidR="009B5EFB" w:rsidRDefault="009B5EFB" w:rsidP="00E7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1700"/>
    <w:multiLevelType w:val="hybridMultilevel"/>
    <w:tmpl w:val="C5E0C332"/>
    <w:lvl w:ilvl="0" w:tplc="CD40875E">
      <w:start w:val="14"/>
      <w:numFmt w:val="bullet"/>
      <w:lvlText w:val="-"/>
      <w:lvlJc w:val="left"/>
      <w:pPr>
        <w:ind w:left="-195" w:hanging="360"/>
      </w:pPr>
      <w:rPr>
        <w:rFonts w:ascii="GHEA Grapalat" w:eastAsia="Times New Roman" w:hAnsi="GHEA Grapalat" w:cs="Times New Roman" w:hint="default"/>
      </w:rPr>
    </w:lvl>
    <w:lvl w:ilvl="1" w:tplc="04090003" w:tentative="1">
      <w:start w:val="1"/>
      <w:numFmt w:val="bullet"/>
      <w:lvlText w:val="o"/>
      <w:lvlJc w:val="left"/>
      <w:pPr>
        <w:ind w:left="525" w:hanging="360"/>
      </w:pPr>
      <w:rPr>
        <w:rFonts w:ascii="Courier New" w:hAnsi="Courier New" w:cs="Courier New" w:hint="default"/>
      </w:rPr>
    </w:lvl>
    <w:lvl w:ilvl="2" w:tplc="04090005" w:tentative="1">
      <w:start w:val="1"/>
      <w:numFmt w:val="bullet"/>
      <w:lvlText w:val=""/>
      <w:lvlJc w:val="left"/>
      <w:pPr>
        <w:ind w:left="1245" w:hanging="360"/>
      </w:pPr>
      <w:rPr>
        <w:rFonts w:ascii="Wingdings" w:hAnsi="Wingdings" w:hint="default"/>
      </w:rPr>
    </w:lvl>
    <w:lvl w:ilvl="3" w:tplc="04090001" w:tentative="1">
      <w:start w:val="1"/>
      <w:numFmt w:val="bullet"/>
      <w:lvlText w:val=""/>
      <w:lvlJc w:val="left"/>
      <w:pPr>
        <w:ind w:left="1965" w:hanging="360"/>
      </w:pPr>
      <w:rPr>
        <w:rFonts w:ascii="Symbol" w:hAnsi="Symbol" w:hint="default"/>
      </w:rPr>
    </w:lvl>
    <w:lvl w:ilvl="4" w:tplc="04090003" w:tentative="1">
      <w:start w:val="1"/>
      <w:numFmt w:val="bullet"/>
      <w:lvlText w:val="o"/>
      <w:lvlJc w:val="left"/>
      <w:pPr>
        <w:ind w:left="2685" w:hanging="360"/>
      </w:pPr>
      <w:rPr>
        <w:rFonts w:ascii="Courier New" w:hAnsi="Courier New" w:cs="Courier New" w:hint="default"/>
      </w:rPr>
    </w:lvl>
    <w:lvl w:ilvl="5" w:tplc="04090005" w:tentative="1">
      <w:start w:val="1"/>
      <w:numFmt w:val="bullet"/>
      <w:lvlText w:val=""/>
      <w:lvlJc w:val="left"/>
      <w:pPr>
        <w:ind w:left="3405" w:hanging="360"/>
      </w:pPr>
      <w:rPr>
        <w:rFonts w:ascii="Wingdings" w:hAnsi="Wingdings" w:hint="default"/>
      </w:rPr>
    </w:lvl>
    <w:lvl w:ilvl="6" w:tplc="04090001" w:tentative="1">
      <w:start w:val="1"/>
      <w:numFmt w:val="bullet"/>
      <w:lvlText w:val=""/>
      <w:lvlJc w:val="left"/>
      <w:pPr>
        <w:ind w:left="4125" w:hanging="360"/>
      </w:pPr>
      <w:rPr>
        <w:rFonts w:ascii="Symbol" w:hAnsi="Symbol" w:hint="default"/>
      </w:rPr>
    </w:lvl>
    <w:lvl w:ilvl="7" w:tplc="04090003" w:tentative="1">
      <w:start w:val="1"/>
      <w:numFmt w:val="bullet"/>
      <w:lvlText w:val="o"/>
      <w:lvlJc w:val="left"/>
      <w:pPr>
        <w:ind w:left="4845" w:hanging="360"/>
      </w:pPr>
      <w:rPr>
        <w:rFonts w:ascii="Courier New" w:hAnsi="Courier New" w:cs="Courier New" w:hint="default"/>
      </w:rPr>
    </w:lvl>
    <w:lvl w:ilvl="8" w:tplc="04090005" w:tentative="1">
      <w:start w:val="1"/>
      <w:numFmt w:val="bullet"/>
      <w:lvlText w:val=""/>
      <w:lvlJc w:val="left"/>
      <w:pPr>
        <w:ind w:left="5565" w:hanging="360"/>
      </w:pPr>
      <w:rPr>
        <w:rFonts w:ascii="Wingdings" w:hAnsi="Wingdings" w:hint="default"/>
      </w:rPr>
    </w:lvl>
  </w:abstractNum>
  <w:abstractNum w:abstractNumId="1" w15:restartNumberingAfterBreak="0">
    <w:nsid w:val="463363CF"/>
    <w:multiLevelType w:val="multilevel"/>
    <w:tmpl w:val="BCD007EE"/>
    <w:lvl w:ilvl="0">
      <w:start w:val="1"/>
      <w:numFmt w:val="decimal"/>
      <w:lvlText w:val="%1."/>
      <w:lvlJc w:val="left"/>
      <w:pPr>
        <w:ind w:left="360" w:hanging="360"/>
      </w:pPr>
      <w:rPr>
        <w:rFonts w:ascii="GHEA Grapalat" w:hAnsi="GHEA Grapalat"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abstractNum w:abstractNumId="2" w15:restartNumberingAfterBreak="0">
    <w:nsid w:val="50FE57E1"/>
    <w:multiLevelType w:val="hybridMultilevel"/>
    <w:tmpl w:val="B4A0CB34"/>
    <w:lvl w:ilvl="0" w:tplc="51B0362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51CB2DD5"/>
    <w:multiLevelType w:val="hybridMultilevel"/>
    <w:tmpl w:val="C9AA3CD8"/>
    <w:lvl w:ilvl="0" w:tplc="BEA2E864">
      <w:start w:val="1"/>
      <w:numFmt w:val="decimal"/>
      <w:lvlText w:val="%1)"/>
      <w:lvlJc w:val="left"/>
      <w:pPr>
        <w:ind w:left="1359" w:hanging="360"/>
      </w:pPr>
      <w:rPr>
        <w:sz w:val="24"/>
        <w:szCs w:val="24"/>
      </w:rPr>
    </w:lvl>
    <w:lvl w:ilvl="1" w:tplc="04090019">
      <w:start w:val="1"/>
      <w:numFmt w:val="lowerLetter"/>
      <w:lvlText w:val="%2."/>
      <w:lvlJc w:val="left"/>
      <w:pPr>
        <w:ind w:left="2079" w:hanging="360"/>
      </w:pPr>
    </w:lvl>
    <w:lvl w:ilvl="2" w:tplc="0409001B">
      <w:start w:val="1"/>
      <w:numFmt w:val="lowerRoman"/>
      <w:lvlText w:val="%3."/>
      <w:lvlJc w:val="right"/>
      <w:pPr>
        <w:ind w:left="2799" w:hanging="180"/>
      </w:pPr>
    </w:lvl>
    <w:lvl w:ilvl="3" w:tplc="0409000F">
      <w:start w:val="1"/>
      <w:numFmt w:val="decimal"/>
      <w:lvlText w:val="%4."/>
      <w:lvlJc w:val="left"/>
      <w:pPr>
        <w:ind w:left="3519" w:hanging="360"/>
      </w:pPr>
    </w:lvl>
    <w:lvl w:ilvl="4" w:tplc="04090019">
      <w:start w:val="1"/>
      <w:numFmt w:val="lowerLetter"/>
      <w:lvlText w:val="%5."/>
      <w:lvlJc w:val="left"/>
      <w:pPr>
        <w:ind w:left="4239" w:hanging="360"/>
      </w:pPr>
    </w:lvl>
    <w:lvl w:ilvl="5" w:tplc="0409001B">
      <w:start w:val="1"/>
      <w:numFmt w:val="lowerRoman"/>
      <w:lvlText w:val="%6."/>
      <w:lvlJc w:val="right"/>
      <w:pPr>
        <w:ind w:left="4959" w:hanging="180"/>
      </w:pPr>
    </w:lvl>
    <w:lvl w:ilvl="6" w:tplc="0409000F">
      <w:start w:val="1"/>
      <w:numFmt w:val="decimal"/>
      <w:lvlText w:val="%7."/>
      <w:lvlJc w:val="left"/>
      <w:pPr>
        <w:ind w:left="5679" w:hanging="360"/>
      </w:pPr>
    </w:lvl>
    <w:lvl w:ilvl="7" w:tplc="04090019">
      <w:start w:val="1"/>
      <w:numFmt w:val="lowerLetter"/>
      <w:lvlText w:val="%8."/>
      <w:lvlJc w:val="left"/>
      <w:pPr>
        <w:ind w:left="6399" w:hanging="360"/>
      </w:pPr>
    </w:lvl>
    <w:lvl w:ilvl="8" w:tplc="0409001B">
      <w:start w:val="1"/>
      <w:numFmt w:val="lowerRoman"/>
      <w:lvlText w:val="%9."/>
      <w:lvlJc w:val="right"/>
      <w:pPr>
        <w:ind w:left="711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D7"/>
    <w:rsid w:val="0000447A"/>
    <w:rsid w:val="00026F43"/>
    <w:rsid w:val="00032EC8"/>
    <w:rsid w:val="000614C3"/>
    <w:rsid w:val="00065FE4"/>
    <w:rsid w:val="0008678A"/>
    <w:rsid w:val="000E1EB2"/>
    <w:rsid w:val="000E5B3B"/>
    <w:rsid w:val="000F3D3C"/>
    <w:rsid w:val="00115C6E"/>
    <w:rsid w:val="00130685"/>
    <w:rsid w:val="00141802"/>
    <w:rsid w:val="0017245F"/>
    <w:rsid w:val="00182DFB"/>
    <w:rsid w:val="001A14D0"/>
    <w:rsid w:val="001A1F54"/>
    <w:rsid w:val="001A61A4"/>
    <w:rsid w:val="001D7531"/>
    <w:rsid w:val="001F3389"/>
    <w:rsid w:val="00202074"/>
    <w:rsid w:val="00206BE4"/>
    <w:rsid w:val="00210697"/>
    <w:rsid w:val="002110B5"/>
    <w:rsid w:val="002450DD"/>
    <w:rsid w:val="00254C80"/>
    <w:rsid w:val="0028261D"/>
    <w:rsid w:val="002A453F"/>
    <w:rsid w:val="002D3471"/>
    <w:rsid w:val="002D6C9C"/>
    <w:rsid w:val="002D769A"/>
    <w:rsid w:val="002E13BD"/>
    <w:rsid w:val="002F1E5D"/>
    <w:rsid w:val="00331742"/>
    <w:rsid w:val="00332A31"/>
    <w:rsid w:val="003555A4"/>
    <w:rsid w:val="00383530"/>
    <w:rsid w:val="00393C54"/>
    <w:rsid w:val="003C0A99"/>
    <w:rsid w:val="00400914"/>
    <w:rsid w:val="004120D8"/>
    <w:rsid w:val="004210E1"/>
    <w:rsid w:val="004445F5"/>
    <w:rsid w:val="004630FD"/>
    <w:rsid w:val="00487AF3"/>
    <w:rsid w:val="004C324F"/>
    <w:rsid w:val="004E7A16"/>
    <w:rsid w:val="004F5836"/>
    <w:rsid w:val="004F5BFC"/>
    <w:rsid w:val="00526C52"/>
    <w:rsid w:val="005343C1"/>
    <w:rsid w:val="00561461"/>
    <w:rsid w:val="00562E5D"/>
    <w:rsid w:val="00565B39"/>
    <w:rsid w:val="00585A9A"/>
    <w:rsid w:val="00586466"/>
    <w:rsid w:val="00594BD3"/>
    <w:rsid w:val="005A2117"/>
    <w:rsid w:val="005B1EAF"/>
    <w:rsid w:val="005C0AA1"/>
    <w:rsid w:val="005D5C86"/>
    <w:rsid w:val="006014D2"/>
    <w:rsid w:val="006027E8"/>
    <w:rsid w:val="00633E41"/>
    <w:rsid w:val="00645319"/>
    <w:rsid w:val="00663B80"/>
    <w:rsid w:val="00674389"/>
    <w:rsid w:val="006753E2"/>
    <w:rsid w:val="00693CD7"/>
    <w:rsid w:val="006B00BD"/>
    <w:rsid w:val="006D3C23"/>
    <w:rsid w:val="006F23B8"/>
    <w:rsid w:val="0070793D"/>
    <w:rsid w:val="007168CF"/>
    <w:rsid w:val="00732D27"/>
    <w:rsid w:val="0076117D"/>
    <w:rsid w:val="00767AEF"/>
    <w:rsid w:val="007B21EF"/>
    <w:rsid w:val="007C401F"/>
    <w:rsid w:val="007F31E9"/>
    <w:rsid w:val="007F69A3"/>
    <w:rsid w:val="00852950"/>
    <w:rsid w:val="00872705"/>
    <w:rsid w:val="00886243"/>
    <w:rsid w:val="00886F79"/>
    <w:rsid w:val="00895D47"/>
    <w:rsid w:val="008B489F"/>
    <w:rsid w:val="008D28BB"/>
    <w:rsid w:val="008D490E"/>
    <w:rsid w:val="0090513D"/>
    <w:rsid w:val="009103D5"/>
    <w:rsid w:val="00910506"/>
    <w:rsid w:val="00914890"/>
    <w:rsid w:val="00921FCD"/>
    <w:rsid w:val="0094088F"/>
    <w:rsid w:val="00945CDE"/>
    <w:rsid w:val="009509AB"/>
    <w:rsid w:val="009529EE"/>
    <w:rsid w:val="009B5EFB"/>
    <w:rsid w:val="009E6279"/>
    <w:rsid w:val="009E6AE6"/>
    <w:rsid w:val="00A05301"/>
    <w:rsid w:val="00A329E5"/>
    <w:rsid w:val="00A5114C"/>
    <w:rsid w:val="00A52E91"/>
    <w:rsid w:val="00A75D4A"/>
    <w:rsid w:val="00AA4F65"/>
    <w:rsid w:val="00AB5113"/>
    <w:rsid w:val="00AB631E"/>
    <w:rsid w:val="00AB74D3"/>
    <w:rsid w:val="00AC606E"/>
    <w:rsid w:val="00AD70C0"/>
    <w:rsid w:val="00AF1FB4"/>
    <w:rsid w:val="00AF77D9"/>
    <w:rsid w:val="00B1630D"/>
    <w:rsid w:val="00B34785"/>
    <w:rsid w:val="00B4243D"/>
    <w:rsid w:val="00B57C48"/>
    <w:rsid w:val="00B57FA9"/>
    <w:rsid w:val="00B61C93"/>
    <w:rsid w:val="00B71D9D"/>
    <w:rsid w:val="00B83D19"/>
    <w:rsid w:val="00B90E3D"/>
    <w:rsid w:val="00B92834"/>
    <w:rsid w:val="00B972B2"/>
    <w:rsid w:val="00BA495F"/>
    <w:rsid w:val="00BB4EDE"/>
    <w:rsid w:val="00BB79AE"/>
    <w:rsid w:val="00BC1ADC"/>
    <w:rsid w:val="00BD376B"/>
    <w:rsid w:val="00BF606A"/>
    <w:rsid w:val="00C00070"/>
    <w:rsid w:val="00C254CF"/>
    <w:rsid w:val="00C518EA"/>
    <w:rsid w:val="00CA4CBB"/>
    <w:rsid w:val="00CB30B9"/>
    <w:rsid w:val="00CC17D3"/>
    <w:rsid w:val="00CC2843"/>
    <w:rsid w:val="00CD0BC9"/>
    <w:rsid w:val="00CD1709"/>
    <w:rsid w:val="00CD37F6"/>
    <w:rsid w:val="00CF31C0"/>
    <w:rsid w:val="00D141A7"/>
    <w:rsid w:val="00D20E71"/>
    <w:rsid w:val="00D25770"/>
    <w:rsid w:val="00D32BCD"/>
    <w:rsid w:val="00D44981"/>
    <w:rsid w:val="00D460ED"/>
    <w:rsid w:val="00D51DA0"/>
    <w:rsid w:val="00D55579"/>
    <w:rsid w:val="00D60FC1"/>
    <w:rsid w:val="00D62D83"/>
    <w:rsid w:val="00D62FD7"/>
    <w:rsid w:val="00DD5207"/>
    <w:rsid w:val="00DD6C1F"/>
    <w:rsid w:val="00DF65FC"/>
    <w:rsid w:val="00E14152"/>
    <w:rsid w:val="00E71335"/>
    <w:rsid w:val="00E9276C"/>
    <w:rsid w:val="00EC5E52"/>
    <w:rsid w:val="00ED4C5D"/>
    <w:rsid w:val="00F26F94"/>
    <w:rsid w:val="00F50DFD"/>
    <w:rsid w:val="00F63675"/>
    <w:rsid w:val="00F92D06"/>
    <w:rsid w:val="00FB3B0F"/>
    <w:rsid w:val="00FC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22A7"/>
  <w15:docId w15:val="{6AE20BF6-1E37-4FA2-BBD6-92822255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D7"/>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nhideWhenUsed/>
    <w:qFormat/>
    <w:rsid w:val="00D62F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D62FD7"/>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D62FD7"/>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D62FD7"/>
    <w:rPr>
      <w:rFonts w:ascii="Times New Roman" w:eastAsia="Times New Roman" w:hAnsi="Times New Roman" w:cs="Times New Roman"/>
      <w:sz w:val="24"/>
      <w:szCs w:val="24"/>
    </w:rPr>
  </w:style>
  <w:style w:type="character" w:styleId="Strong">
    <w:name w:val="Strong"/>
    <w:basedOn w:val="DefaultParagraphFont"/>
    <w:uiPriority w:val="22"/>
    <w:qFormat/>
    <w:rsid w:val="006F23B8"/>
    <w:rPr>
      <w:b/>
      <w:bCs/>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qFormat/>
    <w:rsid w:val="002A453F"/>
    <w:pPr>
      <w:ind w:left="720"/>
      <w:contextualSpacing/>
    </w:p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qFormat/>
    <w:locked/>
    <w:rsid w:val="006B00BD"/>
  </w:style>
  <w:style w:type="paragraph" w:styleId="Header">
    <w:name w:val="header"/>
    <w:basedOn w:val="Normal"/>
    <w:link w:val="HeaderChar"/>
    <w:uiPriority w:val="99"/>
    <w:unhideWhenUsed/>
    <w:rsid w:val="00E7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335"/>
  </w:style>
  <w:style w:type="paragraph" w:styleId="Footer">
    <w:name w:val="footer"/>
    <w:basedOn w:val="Normal"/>
    <w:link w:val="FooterChar"/>
    <w:uiPriority w:val="99"/>
    <w:unhideWhenUsed/>
    <w:rsid w:val="00E7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4517">
      <w:bodyDiv w:val="1"/>
      <w:marLeft w:val="0"/>
      <w:marRight w:val="0"/>
      <w:marTop w:val="0"/>
      <w:marBottom w:val="0"/>
      <w:divBdr>
        <w:top w:val="none" w:sz="0" w:space="0" w:color="auto"/>
        <w:left w:val="none" w:sz="0" w:space="0" w:color="auto"/>
        <w:bottom w:val="none" w:sz="0" w:space="0" w:color="auto"/>
        <w:right w:val="none" w:sz="0" w:space="0" w:color="auto"/>
      </w:divBdr>
    </w:div>
    <w:div w:id="781923964">
      <w:bodyDiv w:val="1"/>
      <w:marLeft w:val="0"/>
      <w:marRight w:val="0"/>
      <w:marTop w:val="0"/>
      <w:marBottom w:val="0"/>
      <w:divBdr>
        <w:top w:val="none" w:sz="0" w:space="0" w:color="auto"/>
        <w:left w:val="none" w:sz="0" w:space="0" w:color="auto"/>
        <w:bottom w:val="none" w:sz="0" w:space="0" w:color="auto"/>
        <w:right w:val="none" w:sz="0" w:space="0" w:color="auto"/>
      </w:divBdr>
    </w:div>
    <w:div w:id="1144470772">
      <w:bodyDiv w:val="1"/>
      <w:marLeft w:val="0"/>
      <w:marRight w:val="0"/>
      <w:marTop w:val="0"/>
      <w:marBottom w:val="0"/>
      <w:divBdr>
        <w:top w:val="none" w:sz="0" w:space="0" w:color="auto"/>
        <w:left w:val="none" w:sz="0" w:space="0" w:color="auto"/>
        <w:bottom w:val="none" w:sz="0" w:space="0" w:color="auto"/>
        <w:right w:val="none" w:sz="0" w:space="0" w:color="auto"/>
      </w:divBdr>
    </w:div>
    <w:div w:id="17387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1749</Words>
  <Characters>9971</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Seyran A. Hakobyan</dc:creator>
  <cp:keywords>https://mul2-mineconomy.gov.am/tasks/729141/oneclick?token=9a3617647854e8c1c3444c5166a3e71d</cp:keywords>
  <dc:description/>
  <cp:lastModifiedBy>Gevorg S. Matevosyan</cp:lastModifiedBy>
  <cp:revision>15</cp:revision>
  <cp:lastPrinted>2024-06-18T07:23:00Z</cp:lastPrinted>
  <dcterms:created xsi:type="dcterms:W3CDTF">2024-10-25T07:37:00Z</dcterms:created>
  <dcterms:modified xsi:type="dcterms:W3CDTF">2024-11-13T08:31:00Z</dcterms:modified>
</cp:coreProperties>
</file>