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5B6AE" w14:textId="77777777" w:rsidR="0060560D" w:rsidRDefault="0060560D" w:rsidP="0060560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  <w:r>
        <w:rPr>
          <w:rFonts w:ascii="GHEA Grapalat" w:hAnsi="GHEA Grapalat" w:cs="Sylfaen"/>
          <w:b/>
          <w:lang w:val="hy-AM"/>
        </w:rPr>
        <w:t>ՀԻՄՆԱՎՈՐՈՒՄ</w:t>
      </w:r>
    </w:p>
    <w:p w14:paraId="703E1098" w14:textId="77777777" w:rsidR="0060560D" w:rsidRDefault="0060560D" w:rsidP="0060560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 w:rsidRPr="00E76A28">
        <w:rPr>
          <w:rFonts w:ascii="GHEA Grapalat" w:hAnsi="GHEA Grapalat" w:cs="Sylfaen"/>
          <w:b/>
          <w:lang w:val="hy-AM"/>
        </w:rPr>
        <w:t>«Կուտակային</w:t>
      </w:r>
      <w:r w:rsidRPr="00E76A28">
        <w:rPr>
          <w:rFonts w:ascii="Calibri" w:hAnsi="Calibri" w:cs="Calibri"/>
          <w:b/>
          <w:lang w:val="hy-AM"/>
        </w:rPr>
        <w:t> </w:t>
      </w:r>
      <w:r w:rsidRPr="00E76A28">
        <w:rPr>
          <w:rFonts w:ascii="GHEA Grapalat" w:hAnsi="GHEA Grapalat" w:cs="Sylfaen"/>
          <w:b/>
          <w:lang w:val="hy-AM"/>
        </w:rPr>
        <w:t xml:space="preserve">կենսաթոշակների մասին» օրենքում </w:t>
      </w:r>
      <w:r>
        <w:rPr>
          <w:rFonts w:ascii="GHEA Grapalat" w:hAnsi="GHEA Grapalat" w:cs="Sylfaen"/>
          <w:b/>
          <w:lang w:val="hy-AM"/>
        </w:rPr>
        <w:t>փոփոխություն</w:t>
      </w:r>
      <w:r w:rsidRPr="00E76A28">
        <w:rPr>
          <w:rFonts w:ascii="GHEA Grapalat" w:hAnsi="GHEA Grapalat" w:cs="Sylfaen"/>
          <w:b/>
          <w:lang w:val="hy-AM"/>
        </w:rPr>
        <w:t xml:space="preserve"> կատարելու մասին» </w:t>
      </w:r>
      <w:r>
        <w:rPr>
          <w:rFonts w:ascii="GHEA Grapalat" w:hAnsi="GHEA Grapalat" w:cs="Sylfaen"/>
          <w:b/>
          <w:lang w:val="hy-AM"/>
        </w:rPr>
        <w:t>օրենքի նախագծի ընդունման վերաբերյալ</w:t>
      </w:r>
    </w:p>
    <w:p w14:paraId="180F79D4" w14:textId="77777777" w:rsidR="0060560D" w:rsidRDefault="0060560D" w:rsidP="0060560D">
      <w:pPr>
        <w:tabs>
          <w:tab w:val="left" w:pos="567"/>
          <w:tab w:val="left" w:pos="900"/>
        </w:tabs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14:paraId="24C16EFE" w14:textId="77777777" w:rsidR="0060560D" w:rsidRPr="009B7144" w:rsidRDefault="0060560D" w:rsidP="0060560D">
      <w:pPr>
        <w:pStyle w:val="ListParagraph"/>
        <w:numPr>
          <w:ilvl w:val="0"/>
          <w:numId w:val="2"/>
        </w:numPr>
        <w:tabs>
          <w:tab w:val="left" w:pos="567"/>
          <w:tab w:val="left" w:pos="900"/>
        </w:tabs>
        <w:spacing w:line="276" w:lineRule="auto"/>
        <w:jc w:val="both"/>
        <w:rPr>
          <w:rFonts w:ascii="GHEA Grapalat" w:hAnsi="GHEA Grapalat" w:cs="Sylfaen"/>
          <w:b/>
          <w:lang w:val="hy-AM"/>
        </w:rPr>
      </w:pPr>
      <w:r w:rsidRPr="009B7144">
        <w:rPr>
          <w:rFonts w:ascii="GHEA Grapalat" w:hAnsi="GHEA Grapalat" w:cs="Sylfaen"/>
          <w:b/>
          <w:lang w:val="hy-AM"/>
        </w:rPr>
        <w:t>Իրավական ակտի անհրաժեշտությունը (նպատակը)</w:t>
      </w:r>
    </w:p>
    <w:p w14:paraId="2BCBC9DC" w14:textId="77777777" w:rsidR="0060560D" w:rsidRDefault="0060560D" w:rsidP="0060560D">
      <w:pPr>
        <w:tabs>
          <w:tab w:val="left" w:pos="1080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14:paraId="440BD09E" w14:textId="77777777" w:rsidR="0060560D" w:rsidRPr="009B7144" w:rsidRDefault="0060560D" w:rsidP="0060560D">
      <w:pPr>
        <w:tabs>
          <w:tab w:val="left" w:pos="1080"/>
        </w:tabs>
        <w:ind w:firstLine="567"/>
        <w:jc w:val="both"/>
        <w:rPr>
          <w:rFonts w:ascii="GHEA Grapalat" w:hAnsi="GHEA Grapalat" w:cs="Sylfaen"/>
          <w:lang w:val="hy-AM"/>
        </w:rPr>
      </w:pPr>
      <w:r w:rsidRPr="008F7409">
        <w:rPr>
          <w:rFonts w:ascii="GHEA Grapalat" w:hAnsi="GHEA Grapalat" w:cs="Sylfaen"/>
          <w:lang w:val="hy-AM"/>
        </w:rPr>
        <w:t>Ներկայացվ</w:t>
      </w:r>
      <w:r>
        <w:rPr>
          <w:rFonts w:ascii="GHEA Grapalat" w:hAnsi="GHEA Grapalat" w:cs="Sylfaen"/>
          <w:lang w:val="hy-AM"/>
        </w:rPr>
        <w:t>ած</w:t>
      </w:r>
      <w:r w:rsidRPr="008F7409">
        <w:rPr>
          <w:rFonts w:ascii="GHEA Grapalat" w:hAnsi="GHEA Grapalat" w:cs="Sylfaen"/>
          <w:lang w:val="hy-AM"/>
        </w:rPr>
        <w:t xml:space="preserve"> նախագծի ընդունումը նպատակ</w:t>
      </w:r>
      <w:r>
        <w:rPr>
          <w:rFonts w:ascii="GHEA Grapalat" w:hAnsi="GHEA Grapalat" w:cs="Sylfaen"/>
          <w:lang w:val="hy-AM"/>
        </w:rPr>
        <w:t xml:space="preserve"> ունի նվազեցնել</w:t>
      </w:r>
      <w:r w:rsidRPr="008F7409">
        <w:rPr>
          <w:rFonts w:ascii="GHEA Grapalat" w:hAnsi="GHEA Grapalat" w:cs="Sylfaen"/>
          <w:lang w:val="hy-AM"/>
        </w:rPr>
        <w:t xml:space="preserve"> </w:t>
      </w:r>
      <w:r w:rsidRPr="00A3038E">
        <w:rPr>
          <w:rFonts w:ascii="GHEA Grapalat" w:hAnsi="GHEA Grapalat" w:cs="Sylfaen"/>
          <w:lang w:val="hy-AM"/>
        </w:rPr>
        <w:t>կուտակային կենսաթոշակային համակարգի պարտադիր մա</w:t>
      </w:r>
      <w:r>
        <w:rPr>
          <w:rFonts w:ascii="GHEA Grapalat" w:hAnsi="GHEA Grapalat" w:cs="Sylfaen"/>
          <w:lang w:val="hy-AM"/>
        </w:rPr>
        <w:t>սն</w:t>
      </w:r>
      <w:r w:rsidRPr="00A3038E">
        <w:rPr>
          <w:rFonts w:ascii="GHEA Grapalat" w:hAnsi="GHEA Grapalat" w:cs="Sylfaen"/>
          <w:lang w:val="hy-AM"/>
        </w:rPr>
        <w:t xml:space="preserve">ակիցների համար </w:t>
      </w:r>
      <w:r>
        <w:rPr>
          <w:rFonts w:ascii="GHEA Grapalat" w:hAnsi="GHEA Grapalat" w:cs="Sylfaen"/>
          <w:lang w:val="hy-AM"/>
        </w:rPr>
        <w:t xml:space="preserve">միջին և բարձր եկամուտ ունեցող </w:t>
      </w:r>
      <w:r w:rsidRPr="00A3038E">
        <w:rPr>
          <w:rFonts w:ascii="GHEA Grapalat" w:hAnsi="GHEA Grapalat" w:cs="Sylfaen"/>
          <w:lang w:val="hy-AM"/>
        </w:rPr>
        <w:t>մասնակիցների օգտին պետական բյուջեից մասնակցության չափը</w:t>
      </w:r>
      <w:r>
        <w:rPr>
          <w:rFonts w:ascii="GHEA Grapalat" w:hAnsi="GHEA Grapalat" w:cs="Sylfaen"/>
          <w:lang w:val="hy-AM"/>
        </w:rPr>
        <w:t>՝ պրոգրեսիվության ավելացման միջոցով բարձրացնելով ընդհանուր համակարգի արդյունավետությունը</w:t>
      </w:r>
      <w:r w:rsidRPr="009B7144">
        <w:rPr>
          <w:rFonts w:ascii="GHEA Grapalat" w:hAnsi="GHEA Grapalat" w:cs="Sylfaen"/>
          <w:lang w:val="hy-AM"/>
        </w:rPr>
        <w:t>:</w:t>
      </w:r>
    </w:p>
    <w:p w14:paraId="144F131F" w14:textId="77777777" w:rsidR="0060560D" w:rsidRPr="009A764C" w:rsidRDefault="0060560D" w:rsidP="0060560D">
      <w:pPr>
        <w:tabs>
          <w:tab w:val="left" w:pos="567"/>
          <w:tab w:val="left" w:pos="900"/>
        </w:tabs>
        <w:spacing w:line="276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14:paraId="389D37F2" w14:textId="77777777" w:rsidR="0060560D" w:rsidRPr="00632F59" w:rsidRDefault="0060560D" w:rsidP="0060560D">
      <w:pPr>
        <w:pStyle w:val="ListParagraph"/>
        <w:numPr>
          <w:ilvl w:val="1"/>
          <w:numId w:val="2"/>
        </w:numPr>
        <w:tabs>
          <w:tab w:val="left" w:pos="567"/>
          <w:tab w:val="left" w:pos="900"/>
        </w:tabs>
        <w:spacing w:line="276" w:lineRule="auto"/>
        <w:jc w:val="both"/>
        <w:rPr>
          <w:rFonts w:ascii="GHEA Grapalat" w:hAnsi="GHEA Grapalat" w:cs="Sylfaen"/>
          <w:b/>
          <w:lang w:val="hy-AM"/>
        </w:rPr>
      </w:pPr>
      <w:r w:rsidRPr="00632F59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</w:t>
      </w:r>
    </w:p>
    <w:p w14:paraId="027814C9" w14:textId="77777777" w:rsidR="0060560D" w:rsidRDefault="0060560D" w:rsidP="0060560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lang w:val="hy-AM" w:eastAsia="ru-RU"/>
        </w:rPr>
      </w:pPr>
      <w:r w:rsidRPr="009A764C">
        <w:rPr>
          <w:rStyle w:val="Strong"/>
          <w:rFonts w:ascii="GHEA Grapalat" w:hAnsi="GHEA Grapalat" w:cs="Adobe Devanagari"/>
          <w:color w:val="000000"/>
          <w:shd w:val="clear" w:color="auto" w:fill="FFFFFF"/>
          <w:lang w:val="af-ZA"/>
        </w:rPr>
        <w:t>«</w:t>
      </w:r>
      <w:r w:rsidRPr="009A764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Կուտակային</w:t>
      </w:r>
      <w:r w:rsidRPr="009A764C">
        <w:rPr>
          <w:rStyle w:val="Strong"/>
          <w:rFonts w:ascii="Calibri" w:hAnsi="Calibri" w:cs="Calibri"/>
          <w:color w:val="000000"/>
          <w:shd w:val="clear" w:color="auto" w:fill="FFFFFF"/>
          <w:lang w:val="af-ZA"/>
        </w:rPr>
        <w:t> </w:t>
      </w:r>
      <w:r w:rsidRPr="009A764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կենսաթոշակների</w:t>
      </w:r>
      <w:r w:rsidRPr="009A764C">
        <w:rPr>
          <w:rStyle w:val="Strong"/>
          <w:rFonts w:ascii="GHEA Grapalat" w:hAnsi="GHEA Grapalat" w:cs="Adobe Devanagari"/>
          <w:color w:val="000000"/>
          <w:shd w:val="clear" w:color="auto" w:fill="FFFFFF"/>
          <w:lang w:val="af-ZA"/>
        </w:rPr>
        <w:t xml:space="preserve"> </w:t>
      </w:r>
      <w:r w:rsidRPr="009A764C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մասին</w:t>
      </w:r>
      <w:r w:rsidRPr="009A764C">
        <w:rPr>
          <w:rStyle w:val="Strong"/>
          <w:rFonts w:ascii="GHEA Grapalat" w:hAnsi="GHEA Grapalat" w:cs="Adobe Devanagari"/>
          <w:color w:val="000000"/>
          <w:shd w:val="clear" w:color="auto" w:fill="FFFFFF"/>
          <w:lang w:val="af-ZA"/>
        </w:rPr>
        <w:t xml:space="preserve">» </w:t>
      </w:r>
      <w:r w:rsidRPr="009A764C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օրենքի գործող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իրավա</w:t>
      </w:r>
      <w:r w:rsidRPr="009A764C">
        <w:rPr>
          <w:rFonts w:ascii="GHEA Grapalat" w:hAnsi="GHEA Grapalat"/>
          <w:color w:val="000000"/>
          <w:shd w:val="clear" w:color="auto" w:fill="FFFFFF"/>
          <w:lang w:val="hy-AM"/>
        </w:rPr>
        <w:t>կարգավորումների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հ</w:t>
      </w:r>
      <w:r w:rsidRPr="009A764C">
        <w:rPr>
          <w:rFonts w:ascii="GHEA Grapalat" w:hAnsi="GHEA Grapalat"/>
          <w:color w:val="000000"/>
          <w:shd w:val="clear" w:color="auto" w:fill="FFFFFF"/>
          <w:lang w:val="hy-AM"/>
        </w:rPr>
        <w:t xml:space="preserve">ամաձայն՝ </w:t>
      </w:r>
      <w:r w:rsidRPr="00A3038E">
        <w:rPr>
          <w:rFonts w:ascii="GHEA Grapalat" w:hAnsi="GHEA Grapalat" w:cs="Sylfaen"/>
          <w:lang w:val="hy-AM" w:eastAsia="ru-RU"/>
        </w:rPr>
        <w:t>ամսական մինչև 500</w:t>
      </w:r>
      <w:r w:rsidRPr="00E00BA0">
        <w:rPr>
          <w:rFonts w:ascii="GHEA Grapalat" w:hAnsi="GHEA Grapalat" w:cs="Sylfaen"/>
          <w:lang w:val="hy-AM" w:eastAsia="ru-RU"/>
        </w:rPr>
        <w:t>,</w:t>
      </w:r>
      <w:r w:rsidRPr="00A3038E">
        <w:rPr>
          <w:rFonts w:ascii="GHEA Grapalat" w:hAnsi="GHEA Grapalat" w:cs="Sylfaen"/>
          <w:lang w:val="hy-AM" w:eastAsia="ru-RU"/>
        </w:rPr>
        <w:t>000 դրամ աշխատավարձ և դրան հավասարեցված վճարումներ ստացող կուտակային կենսաթոշակային համակարգի պարտադիր մա</w:t>
      </w:r>
      <w:r>
        <w:rPr>
          <w:rFonts w:ascii="GHEA Grapalat" w:hAnsi="GHEA Grapalat" w:cs="Sylfaen"/>
          <w:lang w:val="hy-AM" w:eastAsia="ru-RU"/>
        </w:rPr>
        <w:t>սն</w:t>
      </w:r>
      <w:r w:rsidRPr="00A3038E">
        <w:rPr>
          <w:rFonts w:ascii="GHEA Grapalat" w:hAnsi="GHEA Grapalat" w:cs="Sylfaen"/>
          <w:lang w:val="hy-AM" w:eastAsia="ru-RU"/>
        </w:rPr>
        <w:t>ակիցների համար մասնակիցների օգտին պետական բյուջեից մասնակցության չափը հարաբերական առումով նույն է, այդուհանդերձ պետական բյուջեից մասնակցության չափը բացարձակ թվերի առումով էական տարբերություն ունի, ինչը հանգեցնում է նրան, որ ավելի շատ աշխատավարձ ստացող անձանց համար պետության կողմից հատկացվում են ավելի մեծ գումարներ: Արդյունքում կուտակային կենսաթոշակային համակարգի շրջանակում ամսական մինչև 500</w:t>
      </w:r>
      <w:r w:rsidRPr="00E00BA0">
        <w:rPr>
          <w:rFonts w:ascii="GHEA Grapalat" w:hAnsi="GHEA Grapalat" w:cs="Sylfaen"/>
          <w:lang w:val="hy-AM" w:eastAsia="ru-RU"/>
        </w:rPr>
        <w:t>,</w:t>
      </w:r>
      <w:r w:rsidRPr="00A3038E">
        <w:rPr>
          <w:rFonts w:ascii="GHEA Grapalat" w:hAnsi="GHEA Grapalat" w:cs="Sylfaen"/>
          <w:lang w:val="hy-AM" w:eastAsia="ru-RU"/>
        </w:rPr>
        <w:t>000 դրամ աշխատավարձի և դրան հավասարեցված վճարումների դեպքում պետական բյուջեից կատարվող աջակցությ</w:t>
      </w:r>
      <w:r>
        <w:rPr>
          <w:rFonts w:ascii="GHEA Grapalat" w:hAnsi="GHEA Grapalat" w:cs="Sylfaen"/>
          <w:lang w:val="hy-AM" w:eastAsia="ru-RU"/>
        </w:rPr>
        <w:t>ու</w:t>
      </w:r>
      <w:r w:rsidRPr="00A3038E">
        <w:rPr>
          <w:rFonts w:ascii="GHEA Grapalat" w:hAnsi="GHEA Grapalat" w:cs="Sylfaen"/>
          <w:lang w:val="hy-AM" w:eastAsia="ru-RU"/>
        </w:rPr>
        <w:t>ն</w:t>
      </w:r>
      <w:r>
        <w:rPr>
          <w:rFonts w:ascii="GHEA Grapalat" w:hAnsi="GHEA Grapalat" w:cs="Sylfaen"/>
          <w:lang w:val="hy-AM" w:eastAsia="ru-RU"/>
        </w:rPr>
        <w:t>ն</w:t>
      </w:r>
      <w:r w:rsidRPr="00A3038E">
        <w:rPr>
          <w:rFonts w:ascii="GHEA Grapalat" w:hAnsi="GHEA Grapalat" w:cs="Sylfaen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ունի համահարթ բնույթ</w:t>
      </w:r>
      <w:r w:rsidRPr="00A3038E">
        <w:rPr>
          <w:rFonts w:ascii="GHEA Grapalat" w:hAnsi="GHEA Grapalat" w:cs="Sylfaen"/>
          <w:lang w:val="hy-AM" w:eastAsia="ru-RU"/>
        </w:rPr>
        <w:t>, իսկ դրանից ավելի եկամուտների դեպքում</w:t>
      </w:r>
      <w:r>
        <w:rPr>
          <w:rFonts w:ascii="GHEA Grapalat" w:hAnsi="GHEA Grapalat" w:cs="Sylfaen"/>
          <w:lang w:val="hy-AM" w:eastAsia="ru-RU"/>
        </w:rPr>
        <w:t>՝</w:t>
      </w:r>
      <w:r w:rsidRPr="00A3038E">
        <w:rPr>
          <w:rFonts w:ascii="GHEA Grapalat" w:hAnsi="GHEA Grapalat" w:cs="Sylfaen"/>
          <w:lang w:val="hy-AM" w:eastAsia="ru-RU"/>
        </w:rPr>
        <w:t xml:space="preserve"> համակարգը պրոգրեսիվ է։ </w:t>
      </w:r>
      <w:r>
        <w:rPr>
          <w:rFonts w:ascii="GHEA Grapalat" w:hAnsi="GHEA Grapalat" w:cs="Sylfaen"/>
          <w:lang w:val="hy-AM" w:eastAsia="ru-RU"/>
        </w:rPr>
        <w:t xml:space="preserve">Փոփոխության արդյունքում եկամուտների 300-500 հազար դրամ միջակայքում ևս կառաջանա պրոգրեսիվություն՝ մեծացնելով ընդհանուր համակարգի արդյունավետությունը: </w:t>
      </w:r>
    </w:p>
    <w:p w14:paraId="53C21CA3" w14:textId="77777777" w:rsidR="0060560D" w:rsidRPr="00E00BA0" w:rsidRDefault="0060560D" w:rsidP="0060560D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Fonts w:ascii="GHEA Grapalat" w:hAnsi="GHEA Grapalat" w:cs="Sylfaen"/>
          <w:lang w:val="hy-AM" w:eastAsia="ru-RU"/>
        </w:rPr>
      </w:pPr>
      <w:r w:rsidRPr="00E00BA0">
        <w:rPr>
          <w:rFonts w:ascii="GHEA Grapalat" w:hAnsi="GHEA Grapalat" w:cs="Sylfaen"/>
          <w:lang w:val="hy-AM" w:eastAsia="ru-RU"/>
        </w:rPr>
        <w:t xml:space="preserve">300,000 </w:t>
      </w:r>
      <w:r>
        <w:rPr>
          <w:rFonts w:ascii="GHEA Grapalat" w:hAnsi="GHEA Grapalat" w:cs="Sylfaen"/>
          <w:lang w:val="hy-AM" w:eastAsia="ru-RU"/>
        </w:rPr>
        <w:t xml:space="preserve">դրամ և ավելի աշխատավարձ </w:t>
      </w:r>
      <w:r w:rsidRPr="00A3038E">
        <w:rPr>
          <w:rFonts w:ascii="GHEA Grapalat" w:hAnsi="GHEA Grapalat" w:cs="Sylfaen"/>
          <w:lang w:val="hy-AM" w:eastAsia="ru-RU"/>
        </w:rPr>
        <w:t>և դրան հավասարեցված վճարումներ</w:t>
      </w:r>
      <w:r>
        <w:rPr>
          <w:rFonts w:ascii="GHEA Grapalat" w:hAnsi="GHEA Grapalat" w:cs="Sylfaen"/>
          <w:lang w:val="hy-AM" w:eastAsia="ru-RU"/>
        </w:rPr>
        <w:t xml:space="preserve"> ստացողների թիվը, որոնք ծնվել են 1974թ․ հունվարի 1-ից հետո, կազմում է մոտ 91,000 հազար աշխատող, որն ըստ տարիների աճել է և հետագա տարիներին ևս պահպանելու է աճի միտումը։ Արդյունքում, տարեցտարի ավելանում է պետական բյուջեի վրա </w:t>
      </w:r>
      <w:r w:rsidRPr="00A3038E">
        <w:rPr>
          <w:rFonts w:ascii="GHEA Grapalat" w:hAnsi="GHEA Grapalat" w:cs="Sylfaen"/>
          <w:lang w:val="hy-AM" w:eastAsia="ru-RU"/>
        </w:rPr>
        <w:t>կուտակային կենսաթոշակային համակարգի պարտադիր մա</w:t>
      </w:r>
      <w:r>
        <w:rPr>
          <w:rFonts w:ascii="GHEA Grapalat" w:hAnsi="GHEA Grapalat" w:cs="Sylfaen"/>
          <w:lang w:val="hy-AM" w:eastAsia="ru-RU"/>
        </w:rPr>
        <w:t>սն</w:t>
      </w:r>
      <w:r w:rsidRPr="00A3038E">
        <w:rPr>
          <w:rFonts w:ascii="GHEA Grapalat" w:hAnsi="GHEA Grapalat" w:cs="Sylfaen"/>
          <w:lang w:val="hy-AM" w:eastAsia="ru-RU"/>
        </w:rPr>
        <w:t>ակիցների համար մասնակիցների օգտին պետական բյուջեից մասնակցության չափ</w:t>
      </w:r>
      <w:r>
        <w:rPr>
          <w:rFonts w:ascii="GHEA Grapalat" w:hAnsi="GHEA Grapalat" w:cs="Sylfaen"/>
          <w:lang w:val="hy-AM" w:eastAsia="ru-RU"/>
        </w:rPr>
        <w:t xml:space="preserve">ի ծանրաբեռնվածությունը։ Հետևաբար, պարտադիր կուտակային կենսաթոշակային համակարգի կայացմանը զուգահեռ, անհրաժեշտ է աստիճանաբար նվազեցնել պետության մասնակցության չափը՝ աջակցության մեծ մասն ուղղելով հիմնականում ցածր եկամուտ ունեցող խմբերին։ </w:t>
      </w:r>
    </w:p>
    <w:p w14:paraId="58D18D34" w14:textId="77777777" w:rsidR="0060560D" w:rsidRDefault="0060560D" w:rsidP="0060560D">
      <w:pPr>
        <w:tabs>
          <w:tab w:val="left" w:pos="567"/>
          <w:tab w:val="left" w:pos="900"/>
        </w:tabs>
        <w:spacing w:line="276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14:paraId="7A22FB9F" w14:textId="77777777" w:rsidR="0060560D" w:rsidRPr="009A764C" w:rsidRDefault="0060560D" w:rsidP="0060560D">
      <w:pPr>
        <w:tabs>
          <w:tab w:val="left" w:pos="567"/>
          <w:tab w:val="left" w:pos="900"/>
        </w:tabs>
        <w:spacing w:line="276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9A764C">
        <w:rPr>
          <w:rFonts w:ascii="GHEA Grapalat" w:hAnsi="GHEA Grapalat" w:cs="Sylfaen"/>
          <w:b/>
          <w:lang w:val="hy-AM"/>
        </w:rPr>
        <w:t>1.2. Առկա խնդրի առաջարկվող լուծումը</w:t>
      </w:r>
    </w:p>
    <w:p w14:paraId="2B1C0D02" w14:textId="77777777" w:rsidR="0060560D" w:rsidRDefault="0060560D" w:rsidP="0060560D">
      <w:pPr>
        <w:tabs>
          <w:tab w:val="left" w:pos="567"/>
          <w:tab w:val="left" w:pos="900"/>
        </w:tabs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Առ</w:t>
      </w:r>
      <w:r w:rsidRPr="00555A5F">
        <w:rPr>
          <w:rFonts w:ascii="GHEA Grapalat" w:hAnsi="GHEA Grapalat" w:cs="Sylfaen"/>
          <w:lang w:val="hy-AM"/>
        </w:rPr>
        <w:t xml:space="preserve">աջարկվում </w:t>
      </w:r>
      <w:r w:rsidRPr="00C910BD">
        <w:rPr>
          <w:rFonts w:ascii="GHEA Grapalat" w:hAnsi="GHEA Grapalat"/>
          <w:color w:val="000000"/>
          <w:lang w:val="hy-AM"/>
        </w:rPr>
        <w:t xml:space="preserve">է </w:t>
      </w:r>
      <w:r w:rsidRPr="00555A5F">
        <w:rPr>
          <w:rFonts w:ascii="GHEA Grapalat" w:hAnsi="GHEA Grapalat"/>
          <w:color w:val="000000"/>
          <w:lang w:val="hy-AM"/>
        </w:rPr>
        <w:t xml:space="preserve">փոփոխություններ կատարել </w:t>
      </w:r>
      <w:r w:rsidRPr="00C910BD">
        <w:rPr>
          <w:rFonts w:ascii="GHEA Grapalat" w:hAnsi="GHEA Grapalat"/>
          <w:color w:val="000000"/>
          <w:lang w:val="hy-AM"/>
        </w:rPr>
        <w:t>«Կուտակային</w:t>
      </w:r>
      <w:r w:rsidRPr="00C910BD">
        <w:rPr>
          <w:rFonts w:ascii="Calibri" w:hAnsi="Calibri" w:cs="Calibri"/>
          <w:color w:val="000000"/>
          <w:lang w:val="hy-AM"/>
        </w:rPr>
        <w:t> </w:t>
      </w:r>
      <w:r w:rsidRPr="00C910BD">
        <w:rPr>
          <w:rFonts w:ascii="GHEA Grapalat" w:hAnsi="GHEA Grapalat"/>
          <w:color w:val="000000"/>
          <w:lang w:val="hy-AM"/>
        </w:rPr>
        <w:t xml:space="preserve">կենսաթոշակների մասին» օրենքում և ամսական 500,000 դրամ ու ավելի աշխատավարձ և դրան հավասարեցված վճարումներ ստացող կուտակային կենսաթոշակային համակարգի պարտադիր մասնակիցների </w:t>
      </w:r>
      <w:r>
        <w:rPr>
          <w:rFonts w:ascii="GHEA Grapalat" w:hAnsi="GHEA Grapalat"/>
          <w:color w:val="000000"/>
          <w:lang w:val="hy-AM"/>
        </w:rPr>
        <w:t xml:space="preserve">եկամտի սահմանաչափը, որի դեպքում պետական բյուջեից հատկացման չափը կազմում է 25,000 դրամ, նվազեցնել </w:t>
      </w:r>
      <w:r w:rsidRPr="00A3038E">
        <w:rPr>
          <w:rFonts w:ascii="GHEA Grapalat" w:hAnsi="GHEA Grapalat" w:cs="Sylfaen"/>
          <w:lang w:val="hy-AM"/>
        </w:rPr>
        <w:t xml:space="preserve">ամսական </w:t>
      </w:r>
      <w:r>
        <w:rPr>
          <w:rFonts w:ascii="GHEA Grapalat" w:hAnsi="GHEA Grapalat" w:cs="Sylfaen"/>
          <w:lang w:val="hy-AM"/>
        </w:rPr>
        <w:t>3</w:t>
      </w:r>
      <w:r w:rsidRPr="00A3038E">
        <w:rPr>
          <w:rFonts w:ascii="GHEA Grapalat" w:hAnsi="GHEA Grapalat" w:cs="Sylfaen"/>
          <w:lang w:val="hy-AM"/>
        </w:rPr>
        <w:t>00</w:t>
      </w:r>
      <w:r w:rsidRPr="00E00BA0">
        <w:rPr>
          <w:rFonts w:ascii="GHEA Grapalat" w:hAnsi="GHEA Grapalat" w:cs="Sylfaen"/>
          <w:lang w:val="hy-AM"/>
        </w:rPr>
        <w:t>,</w:t>
      </w:r>
      <w:r w:rsidRPr="00A3038E">
        <w:rPr>
          <w:rFonts w:ascii="GHEA Grapalat" w:hAnsi="GHEA Grapalat" w:cs="Sylfaen"/>
          <w:lang w:val="hy-AM"/>
        </w:rPr>
        <w:t>000 դրամ</w:t>
      </w:r>
      <w:r>
        <w:rPr>
          <w:rFonts w:ascii="GHEA Grapalat" w:hAnsi="GHEA Grapalat" w:cs="Sylfaen"/>
          <w:lang w:val="hy-AM"/>
        </w:rPr>
        <w:t>ի՝ սահմանափակելով</w:t>
      </w:r>
      <w:r>
        <w:rPr>
          <w:rFonts w:ascii="GHEA Grapalat" w:hAnsi="GHEA Grapalat"/>
          <w:color w:val="000000"/>
          <w:lang w:val="hy-AM"/>
        </w:rPr>
        <w:t xml:space="preserve"> այդ</w:t>
      </w:r>
      <w:r w:rsidRPr="00C910BD">
        <w:rPr>
          <w:rFonts w:ascii="GHEA Grapalat" w:hAnsi="GHEA Grapalat"/>
          <w:color w:val="000000"/>
          <w:lang w:val="hy-AM"/>
        </w:rPr>
        <w:t xml:space="preserve"> մասնակիցների</w:t>
      </w:r>
      <w:r w:rsidRPr="00A3038E">
        <w:rPr>
          <w:rFonts w:ascii="GHEA Grapalat" w:hAnsi="GHEA Grapalat" w:cs="Sylfaen"/>
          <w:lang w:val="hy-AM"/>
        </w:rPr>
        <w:t xml:space="preserve"> օգտին պետական բյուջեից մասնակցության չափը</w:t>
      </w:r>
      <w:r>
        <w:rPr>
          <w:rFonts w:ascii="GHEA Grapalat" w:hAnsi="GHEA Grapalat" w:cs="Sylfaen"/>
          <w:lang w:val="hy-AM"/>
        </w:rPr>
        <w:t xml:space="preserve"> 15,000 դրամի չափով։ </w:t>
      </w:r>
    </w:p>
    <w:p w14:paraId="6E2BBE25" w14:textId="77777777" w:rsidR="0060560D" w:rsidRPr="009A764C" w:rsidRDefault="0060560D" w:rsidP="0060560D">
      <w:pPr>
        <w:tabs>
          <w:tab w:val="left" w:pos="567"/>
          <w:tab w:val="left" w:pos="900"/>
        </w:tabs>
        <w:ind w:firstLine="720"/>
        <w:jc w:val="both"/>
        <w:rPr>
          <w:rFonts w:ascii="GHEA Grapalat" w:hAnsi="GHEA Grapalat" w:cs="Sylfaen"/>
          <w:b/>
          <w:lang w:val="hy-AM"/>
        </w:rPr>
      </w:pPr>
    </w:p>
    <w:p w14:paraId="1F2A8907" w14:textId="77777777" w:rsidR="0060560D" w:rsidRPr="009A764C" w:rsidRDefault="0060560D" w:rsidP="0060560D">
      <w:pPr>
        <w:tabs>
          <w:tab w:val="left" w:pos="567"/>
          <w:tab w:val="left" w:pos="900"/>
        </w:tabs>
        <w:ind w:firstLine="720"/>
        <w:jc w:val="both"/>
        <w:rPr>
          <w:rFonts w:ascii="GHEA Grapalat" w:hAnsi="GHEA Grapalat" w:cs="Sylfaen"/>
          <w:b/>
          <w:lang w:val="hy-AM"/>
        </w:rPr>
      </w:pPr>
    </w:p>
    <w:p w14:paraId="3DD7A77C" w14:textId="77777777" w:rsidR="0060560D" w:rsidRPr="009A764C" w:rsidRDefault="0060560D" w:rsidP="0060560D">
      <w:pPr>
        <w:tabs>
          <w:tab w:val="left" w:pos="567"/>
          <w:tab w:val="left" w:pos="900"/>
        </w:tabs>
        <w:spacing w:line="276" w:lineRule="auto"/>
        <w:ind w:firstLine="720"/>
        <w:jc w:val="both"/>
        <w:rPr>
          <w:rFonts w:ascii="GHEA Grapalat" w:hAnsi="GHEA Grapalat" w:cstheme="minorBidi"/>
          <w:color w:val="000000"/>
          <w:lang w:val="hy-AM"/>
        </w:rPr>
      </w:pPr>
      <w:r w:rsidRPr="009A764C">
        <w:rPr>
          <w:rFonts w:ascii="GHEA Grapalat" w:hAnsi="GHEA Grapalat" w:cs="Sylfaen"/>
          <w:b/>
          <w:lang w:val="hy-AM"/>
        </w:rPr>
        <w:t>2. Կարգավորման առարկան</w:t>
      </w:r>
    </w:p>
    <w:p w14:paraId="15412700" w14:textId="77777777" w:rsidR="0060560D" w:rsidRDefault="0060560D" w:rsidP="0060560D">
      <w:pPr>
        <w:tabs>
          <w:tab w:val="left" w:pos="567"/>
          <w:tab w:val="left" w:pos="900"/>
        </w:tabs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</w:p>
    <w:p w14:paraId="7F81F480" w14:textId="77777777" w:rsidR="0060560D" w:rsidRPr="00A3038E" w:rsidRDefault="0060560D" w:rsidP="0060560D">
      <w:pPr>
        <w:tabs>
          <w:tab w:val="left" w:pos="567"/>
          <w:tab w:val="left" w:pos="900"/>
        </w:tabs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Ներկայացված</w:t>
      </w:r>
      <w:r w:rsidRPr="00A3038E">
        <w:rPr>
          <w:rFonts w:ascii="GHEA Grapalat" w:hAnsi="GHEA Grapalat" w:cs="Sylfaen"/>
          <w:lang w:val="hy-AM"/>
        </w:rPr>
        <w:t xml:space="preserve"> նախագծով առաջարկվում է նվազեցնել համեմատաբար բարձր եկամուտներ ստացող՝ կուտակային կենսաթոշակային համակարգի պարտադիր մասնակիցների օգտին պետական բյուջեից հատկացվող գումարների պետության մասնակցության չափը և պետական բյուջեից 5 տոկոսի չափով հատկացում կատարել միայն մինչև 300</w:t>
      </w:r>
      <w:r w:rsidRPr="00E00BA0">
        <w:rPr>
          <w:rFonts w:ascii="GHEA Grapalat" w:hAnsi="GHEA Grapalat" w:cs="Sylfaen"/>
          <w:lang w:val="hy-AM"/>
        </w:rPr>
        <w:t>,</w:t>
      </w:r>
      <w:r w:rsidRPr="00A3038E">
        <w:rPr>
          <w:rFonts w:ascii="GHEA Grapalat" w:hAnsi="GHEA Grapalat" w:cs="Sylfaen"/>
          <w:lang w:val="hy-AM"/>
        </w:rPr>
        <w:t xml:space="preserve">000 </w:t>
      </w:r>
      <w:r w:rsidRPr="00A3038E">
        <w:rPr>
          <w:rFonts w:ascii="GHEA Grapalat" w:hAnsi="GHEA Grapalat" w:cs="GHEA Grapalat"/>
          <w:lang w:val="hy-AM"/>
        </w:rPr>
        <w:t>դրամ</w:t>
      </w:r>
      <w:r w:rsidRPr="00A3038E">
        <w:rPr>
          <w:rFonts w:ascii="GHEA Grapalat" w:hAnsi="GHEA Grapalat" w:cs="Sylfaen"/>
          <w:lang w:val="hy-AM"/>
        </w:rPr>
        <w:t xml:space="preserve"> </w:t>
      </w:r>
      <w:r w:rsidRPr="00A3038E">
        <w:rPr>
          <w:rFonts w:ascii="GHEA Grapalat" w:hAnsi="GHEA Grapalat" w:cs="GHEA Grapalat"/>
          <w:lang w:val="hy-AM"/>
        </w:rPr>
        <w:t>աշխատավարձ</w:t>
      </w:r>
      <w:r w:rsidRPr="00A3038E">
        <w:rPr>
          <w:rFonts w:ascii="GHEA Grapalat" w:hAnsi="GHEA Grapalat" w:cs="Sylfaen"/>
          <w:lang w:val="hy-AM"/>
        </w:rPr>
        <w:t xml:space="preserve"> </w:t>
      </w:r>
      <w:r w:rsidRPr="00A3038E">
        <w:rPr>
          <w:rFonts w:ascii="GHEA Grapalat" w:hAnsi="GHEA Grapalat" w:cs="GHEA Grapalat"/>
          <w:lang w:val="hy-AM"/>
        </w:rPr>
        <w:t>և</w:t>
      </w:r>
      <w:r w:rsidRPr="00A3038E">
        <w:rPr>
          <w:rFonts w:ascii="GHEA Grapalat" w:hAnsi="GHEA Grapalat" w:cs="Sylfaen"/>
          <w:lang w:val="hy-AM"/>
        </w:rPr>
        <w:t xml:space="preserve"> </w:t>
      </w:r>
      <w:r w:rsidRPr="00A3038E">
        <w:rPr>
          <w:rFonts w:ascii="GHEA Grapalat" w:hAnsi="GHEA Grapalat" w:cs="GHEA Grapalat"/>
          <w:lang w:val="hy-AM"/>
        </w:rPr>
        <w:t>դրան</w:t>
      </w:r>
      <w:r w:rsidRPr="00A3038E">
        <w:rPr>
          <w:rFonts w:ascii="GHEA Grapalat" w:hAnsi="GHEA Grapalat" w:cs="Sylfaen"/>
          <w:lang w:val="hy-AM"/>
        </w:rPr>
        <w:t xml:space="preserve"> </w:t>
      </w:r>
      <w:r w:rsidRPr="00A3038E">
        <w:rPr>
          <w:rFonts w:ascii="GHEA Grapalat" w:hAnsi="GHEA Grapalat" w:cs="GHEA Grapalat"/>
          <w:lang w:val="hy-AM"/>
        </w:rPr>
        <w:t>հավասարեցված</w:t>
      </w:r>
      <w:r w:rsidRPr="00A3038E">
        <w:rPr>
          <w:rFonts w:ascii="GHEA Grapalat" w:hAnsi="GHEA Grapalat" w:cs="Sylfaen"/>
          <w:lang w:val="hy-AM"/>
        </w:rPr>
        <w:t xml:space="preserve"> </w:t>
      </w:r>
      <w:r w:rsidRPr="00A3038E">
        <w:rPr>
          <w:rFonts w:ascii="GHEA Grapalat" w:hAnsi="GHEA Grapalat" w:cs="GHEA Grapalat"/>
          <w:lang w:val="hy-AM"/>
        </w:rPr>
        <w:t>վճարումներ</w:t>
      </w:r>
      <w:r w:rsidRPr="00A3038E">
        <w:rPr>
          <w:rFonts w:ascii="GHEA Grapalat" w:hAnsi="GHEA Grapalat" w:cs="Sylfaen"/>
          <w:lang w:val="hy-AM"/>
        </w:rPr>
        <w:t xml:space="preserve"> </w:t>
      </w:r>
      <w:r w:rsidRPr="00A3038E">
        <w:rPr>
          <w:rFonts w:ascii="GHEA Grapalat" w:hAnsi="GHEA Grapalat" w:cs="GHEA Grapalat"/>
          <w:lang w:val="hy-AM"/>
        </w:rPr>
        <w:t>ստացող</w:t>
      </w:r>
      <w:r w:rsidRPr="00A3038E">
        <w:rPr>
          <w:rFonts w:ascii="GHEA Grapalat" w:hAnsi="GHEA Grapalat" w:cs="Sylfaen"/>
          <w:lang w:val="hy-AM"/>
        </w:rPr>
        <w:t xml:space="preserve"> </w:t>
      </w:r>
      <w:r w:rsidRPr="00A3038E">
        <w:rPr>
          <w:rFonts w:ascii="GHEA Grapalat" w:hAnsi="GHEA Grapalat" w:cs="GHEA Grapalat"/>
          <w:lang w:val="hy-AM"/>
        </w:rPr>
        <w:t>անձանց</w:t>
      </w:r>
      <w:r w:rsidRPr="00A3038E">
        <w:rPr>
          <w:rFonts w:ascii="GHEA Grapalat" w:hAnsi="GHEA Grapalat" w:cs="Sylfaen"/>
          <w:lang w:val="hy-AM"/>
        </w:rPr>
        <w:t xml:space="preserve"> </w:t>
      </w:r>
      <w:r w:rsidRPr="00A3038E">
        <w:rPr>
          <w:rFonts w:ascii="GHEA Grapalat" w:hAnsi="GHEA Grapalat" w:cs="GHEA Grapalat"/>
          <w:lang w:val="hy-AM"/>
        </w:rPr>
        <w:t>համար</w:t>
      </w:r>
      <w:r w:rsidRPr="00A3038E">
        <w:rPr>
          <w:rFonts w:ascii="GHEA Grapalat" w:hAnsi="GHEA Grapalat" w:cs="Sylfaen"/>
          <w:lang w:val="hy-AM"/>
        </w:rPr>
        <w:t xml:space="preserve">, </w:t>
      </w:r>
      <w:r w:rsidRPr="00A3038E">
        <w:rPr>
          <w:rFonts w:ascii="GHEA Grapalat" w:hAnsi="GHEA Grapalat" w:cs="GHEA Grapalat"/>
          <w:lang w:val="hy-AM"/>
        </w:rPr>
        <w:t>իսկ</w:t>
      </w:r>
      <w:r w:rsidRPr="00A3038E">
        <w:rPr>
          <w:rFonts w:ascii="GHEA Grapalat" w:hAnsi="GHEA Grapalat" w:cs="Sylfaen"/>
          <w:lang w:val="hy-AM"/>
        </w:rPr>
        <w:t xml:space="preserve"> </w:t>
      </w:r>
      <w:r w:rsidRPr="00A3038E">
        <w:rPr>
          <w:rFonts w:ascii="GHEA Grapalat" w:hAnsi="GHEA Grapalat" w:cs="GHEA Grapalat"/>
          <w:lang w:val="hy-AM"/>
        </w:rPr>
        <w:t>դրանից</w:t>
      </w:r>
      <w:r w:rsidRPr="00A3038E">
        <w:rPr>
          <w:rFonts w:ascii="GHEA Grapalat" w:hAnsi="GHEA Grapalat" w:cs="Sylfaen"/>
          <w:lang w:val="hy-AM"/>
        </w:rPr>
        <w:t xml:space="preserve"> </w:t>
      </w:r>
      <w:r w:rsidRPr="00A3038E">
        <w:rPr>
          <w:rFonts w:ascii="GHEA Grapalat" w:hAnsi="GHEA Grapalat" w:cs="GHEA Grapalat"/>
          <w:lang w:val="hy-AM"/>
        </w:rPr>
        <w:t>ավել</w:t>
      </w:r>
      <w:r>
        <w:rPr>
          <w:rFonts w:ascii="GHEA Grapalat" w:hAnsi="GHEA Grapalat" w:cs="GHEA Grapalat"/>
          <w:lang w:val="hy-AM"/>
        </w:rPr>
        <w:t>ի</w:t>
      </w:r>
      <w:r w:rsidRPr="00A3038E">
        <w:rPr>
          <w:rFonts w:ascii="GHEA Grapalat" w:hAnsi="GHEA Grapalat" w:cs="Sylfaen"/>
          <w:lang w:val="hy-AM"/>
        </w:rPr>
        <w:t xml:space="preserve"> </w:t>
      </w:r>
      <w:r w:rsidRPr="00A3038E">
        <w:rPr>
          <w:rFonts w:ascii="GHEA Grapalat" w:hAnsi="GHEA Grapalat" w:cs="GHEA Grapalat"/>
          <w:lang w:val="hy-AM"/>
        </w:rPr>
        <w:t>եկամուտներ</w:t>
      </w:r>
      <w:r w:rsidRPr="00A3038E">
        <w:rPr>
          <w:rFonts w:ascii="GHEA Grapalat" w:hAnsi="GHEA Grapalat" w:cs="Sylfaen"/>
          <w:lang w:val="hy-AM"/>
        </w:rPr>
        <w:t xml:space="preserve"> </w:t>
      </w:r>
      <w:r w:rsidRPr="00A3038E">
        <w:rPr>
          <w:rFonts w:ascii="GHEA Grapalat" w:hAnsi="GHEA Grapalat" w:cs="GHEA Grapalat"/>
          <w:lang w:val="hy-AM"/>
        </w:rPr>
        <w:t>ստացող</w:t>
      </w:r>
      <w:r w:rsidRPr="00A3038E">
        <w:rPr>
          <w:rFonts w:ascii="GHEA Grapalat" w:hAnsi="GHEA Grapalat" w:cs="Sylfaen"/>
          <w:lang w:val="hy-AM"/>
        </w:rPr>
        <w:t xml:space="preserve"> </w:t>
      </w:r>
      <w:r w:rsidRPr="00A3038E">
        <w:rPr>
          <w:rFonts w:ascii="GHEA Grapalat" w:hAnsi="GHEA Grapalat" w:cs="GHEA Grapalat"/>
          <w:lang w:val="hy-AM"/>
        </w:rPr>
        <w:t>անձանց</w:t>
      </w:r>
      <w:r w:rsidRPr="00A3038E">
        <w:rPr>
          <w:rFonts w:ascii="GHEA Grapalat" w:hAnsi="GHEA Grapalat" w:cs="Sylfaen"/>
          <w:lang w:val="hy-AM"/>
        </w:rPr>
        <w:t xml:space="preserve"> </w:t>
      </w:r>
      <w:r w:rsidRPr="00A3038E">
        <w:rPr>
          <w:rFonts w:ascii="GHEA Grapalat" w:hAnsi="GHEA Grapalat" w:cs="GHEA Grapalat"/>
          <w:lang w:val="hy-AM"/>
        </w:rPr>
        <w:t>համար</w:t>
      </w:r>
      <w:r w:rsidRPr="00A3038E">
        <w:rPr>
          <w:rFonts w:ascii="GHEA Grapalat" w:hAnsi="GHEA Grapalat" w:cs="Sylfaen"/>
          <w:lang w:val="hy-AM"/>
        </w:rPr>
        <w:t xml:space="preserve"> </w:t>
      </w:r>
      <w:r w:rsidRPr="00A3038E">
        <w:rPr>
          <w:rFonts w:ascii="GHEA Grapalat" w:hAnsi="GHEA Grapalat" w:cs="GHEA Grapalat"/>
          <w:lang w:val="hy-AM"/>
        </w:rPr>
        <w:t>հատկաց</w:t>
      </w:r>
      <w:r>
        <w:rPr>
          <w:rFonts w:ascii="GHEA Grapalat" w:hAnsi="GHEA Grapalat" w:cs="GHEA Grapalat"/>
          <w:lang w:val="hy-AM"/>
        </w:rPr>
        <w:t>ման չափը</w:t>
      </w:r>
      <w:r w:rsidRPr="00A3038E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սահմանափակել</w:t>
      </w:r>
      <w:r w:rsidRPr="00A3038E">
        <w:rPr>
          <w:rFonts w:ascii="GHEA Grapalat" w:hAnsi="GHEA Grapalat" w:cs="Sylfaen"/>
          <w:lang w:val="hy-AM"/>
        </w:rPr>
        <w:t xml:space="preserve"> </w:t>
      </w:r>
      <w:r w:rsidRPr="00A3038E">
        <w:rPr>
          <w:rFonts w:ascii="GHEA Grapalat" w:hAnsi="GHEA Grapalat" w:cs="GHEA Grapalat"/>
          <w:lang w:val="hy-AM"/>
        </w:rPr>
        <w:t>ամսական</w:t>
      </w:r>
      <w:r w:rsidRPr="00A3038E">
        <w:rPr>
          <w:rFonts w:ascii="GHEA Grapalat" w:hAnsi="GHEA Grapalat" w:cs="Sylfaen"/>
          <w:lang w:val="hy-AM"/>
        </w:rPr>
        <w:t xml:space="preserve"> 15</w:t>
      </w:r>
      <w:r w:rsidRPr="00E00BA0">
        <w:rPr>
          <w:rFonts w:ascii="GHEA Grapalat" w:hAnsi="GHEA Grapalat" w:cs="Sylfaen"/>
          <w:lang w:val="hy-AM"/>
        </w:rPr>
        <w:t>,</w:t>
      </w:r>
      <w:r w:rsidRPr="00A3038E">
        <w:rPr>
          <w:rFonts w:ascii="GHEA Grapalat" w:hAnsi="GHEA Grapalat" w:cs="Sylfaen"/>
          <w:lang w:val="hy-AM"/>
        </w:rPr>
        <w:t xml:space="preserve">000 </w:t>
      </w:r>
      <w:r w:rsidRPr="00A3038E">
        <w:rPr>
          <w:rFonts w:ascii="GHEA Grapalat" w:hAnsi="GHEA Grapalat" w:cs="GHEA Grapalat"/>
          <w:lang w:val="hy-AM"/>
        </w:rPr>
        <w:t>դրամի</w:t>
      </w:r>
      <w:r w:rsidRPr="00A3038E">
        <w:rPr>
          <w:rFonts w:ascii="GHEA Grapalat" w:hAnsi="GHEA Grapalat" w:cs="Sylfaen"/>
          <w:lang w:val="hy-AM"/>
        </w:rPr>
        <w:t xml:space="preserve"> </w:t>
      </w:r>
      <w:r w:rsidRPr="00A3038E">
        <w:rPr>
          <w:rFonts w:ascii="GHEA Grapalat" w:hAnsi="GHEA Grapalat" w:cs="GHEA Grapalat"/>
          <w:lang w:val="hy-AM"/>
        </w:rPr>
        <w:t>չափով</w:t>
      </w:r>
      <w:r w:rsidRPr="00A3038E">
        <w:rPr>
          <w:rFonts w:ascii="GHEA Grapalat" w:hAnsi="GHEA Grapalat" w:cs="Sylfaen"/>
          <w:lang w:val="hy-AM"/>
        </w:rPr>
        <w:t>։</w:t>
      </w:r>
    </w:p>
    <w:p w14:paraId="378DD9F9" w14:textId="77777777" w:rsidR="0060560D" w:rsidRPr="00A3038E" w:rsidRDefault="0060560D" w:rsidP="0060560D">
      <w:pPr>
        <w:tabs>
          <w:tab w:val="left" w:pos="567"/>
          <w:tab w:val="left" w:pos="900"/>
        </w:tabs>
        <w:ind w:firstLine="720"/>
        <w:jc w:val="both"/>
        <w:rPr>
          <w:rFonts w:ascii="GHEA Grapalat" w:hAnsi="GHEA Grapalat" w:cs="Sylfaen"/>
          <w:lang w:val="hy-AM"/>
        </w:rPr>
      </w:pPr>
    </w:p>
    <w:p w14:paraId="57EFE884" w14:textId="77777777" w:rsidR="0060560D" w:rsidRPr="009A764C" w:rsidRDefault="0060560D" w:rsidP="0060560D">
      <w:pPr>
        <w:shd w:val="clear" w:color="auto" w:fill="FFFFFF"/>
        <w:spacing w:line="276" w:lineRule="auto"/>
        <w:ind w:firstLine="375"/>
        <w:jc w:val="both"/>
        <w:rPr>
          <w:rFonts w:ascii="GHEA Grapalat" w:hAnsi="GHEA Grapalat"/>
          <w:lang w:val="hy-AM"/>
        </w:rPr>
      </w:pPr>
    </w:p>
    <w:p w14:paraId="29B7FF99" w14:textId="77777777" w:rsidR="0060560D" w:rsidRDefault="0060560D" w:rsidP="0060560D">
      <w:pPr>
        <w:tabs>
          <w:tab w:val="left" w:pos="567"/>
          <w:tab w:val="left" w:pos="900"/>
        </w:tabs>
        <w:spacing w:line="276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9A764C">
        <w:rPr>
          <w:rFonts w:ascii="GHEA Grapalat" w:hAnsi="GHEA Grapalat" w:cs="Sylfaen"/>
          <w:b/>
          <w:lang w:val="hy-AM"/>
        </w:rPr>
        <w:t>3. Իրավական ակտի կիրառման դեպքում ակնկալվող արդյունքը</w:t>
      </w:r>
    </w:p>
    <w:p w14:paraId="12D55CCA" w14:textId="77777777" w:rsidR="0060560D" w:rsidRDefault="0060560D" w:rsidP="0060560D">
      <w:pPr>
        <w:tabs>
          <w:tab w:val="left" w:pos="567"/>
          <w:tab w:val="left" w:pos="900"/>
        </w:tabs>
        <w:spacing w:line="276" w:lineRule="auto"/>
        <w:ind w:firstLine="720"/>
        <w:jc w:val="both"/>
        <w:rPr>
          <w:rFonts w:cs="Sylfaen"/>
          <w:lang w:val="hy-AM"/>
        </w:rPr>
      </w:pPr>
    </w:p>
    <w:p w14:paraId="1E555A72" w14:textId="77777777" w:rsidR="0060560D" w:rsidRPr="00ED687C" w:rsidRDefault="0060560D" w:rsidP="0060560D">
      <w:pPr>
        <w:shd w:val="clear" w:color="auto" w:fill="FFFFFF"/>
        <w:tabs>
          <w:tab w:val="left" w:pos="900"/>
          <w:tab w:val="left" w:pos="1080"/>
        </w:tabs>
        <w:ind w:firstLine="567"/>
        <w:jc w:val="both"/>
        <w:rPr>
          <w:rFonts w:cs="Sylfaen"/>
          <w:lang w:val="hy-AM"/>
        </w:rPr>
      </w:pPr>
      <w:r w:rsidRPr="00A3038E">
        <w:rPr>
          <w:rFonts w:ascii="GHEA Grapalat" w:hAnsi="GHEA Grapalat" w:cs="GHEA Grapalat"/>
          <w:lang w:val="hy-AM"/>
        </w:rPr>
        <w:t xml:space="preserve">Նախագիծն ընդունվելու դեպքում </w:t>
      </w:r>
      <w:r>
        <w:rPr>
          <w:rFonts w:ascii="GHEA Grapalat" w:hAnsi="GHEA Grapalat" w:cs="GHEA Grapalat"/>
          <w:lang w:val="hy-AM"/>
        </w:rPr>
        <w:t xml:space="preserve">պետության </w:t>
      </w:r>
      <w:r w:rsidRPr="00A3038E">
        <w:rPr>
          <w:rFonts w:ascii="GHEA Grapalat" w:hAnsi="GHEA Grapalat" w:cs="Sylfaen"/>
          <w:lang w:val="hy-AM"/>
        </w:rPr>
        <w:t>կուտակային կենսաթոշակային համակարգի պարտադիր մա</w:t>
      </w:r>
      <w:r>
        <w:rPr>
          <w:rFonts w:ascii="GHEA Grapalat" w:hAnsi="GHEA Grapalat" w:cs="Sylfaen"/>
          <w:lang w:val="hy-AM"/>
        </w:rPr>
        <w:t>սն</w:t>
      </w:r>
      <w:r w:rsidRPr="00A3038E">
        <w:rPr>
          <w:rFonts w:ascii="GHEA Grapalat" w:hAnsi="GHEA Grapalat" w:cs="Sylfaen"/>
          <w:lang w:val="hy-AM"/>
        </w:rPr>
        <w:t xml:space="preserve">ակիցների համար մասնակիցների օգտին պետական բյուջեից մասնակցության </w:t>
      </w:r>
      <w:r>
        <w:rPr>
          <w:rFonts w:ascii="GHEA Grapalat" w:hAnsi="GHEA Grapalat" w:cs="GHEA Grapalat"/>
          <w:lang w:val="hy-AM"/>
        </w:rPr>
        <w:t>ծախսերը կնպատակաուղղվեն հիմնականում համեմատաբար ցածր եկամուտ ունեցող անձանց՝ նվազեցնելով բարձր եկամուտ ունեցող անձանց համար մասնակցության չափը։</w:t>
      </w:r>
      <w:r w:rsidRPr="00ED687C">
        <w:rPr>
          <w:rFonts w:cs="Sylfaen"/>
          <w:lang w:val="hy-AM"/>
        </w:rPr>
        <w:t xml:space="preserve"> </w:t>
      </w:r>
    </w:p>
    <w:p w14:paraId="4B7B8F92" w14:textId="77777777" w:rsidR="0060560D" w:rsidRPr="009A764C" w:rsidRDefault="0060560D" w:rsidP="0060560D">
      <w:pPr>
        <w:tabs>
          <w:tab w:val="left" w:pos="567"/>
        </w:tabs>
        <w:spacing w:line="276" w:lineRule="auto"/>
        <w:ind w:firstLine="720"/>
        <w:jc w:val="center"/>
        <w:rPr>
          <w:rStyle w:val="Strong"/>
          <w:rFonts w:cstheme="minorBidi"/>
          <w:color w:val="000000"/>
          <w:lang w:val="hy-AM"/>
        </w:rPr>
      </w:pPr>
    </w:p>
    <w:p w14:paraId="5E3FAACE" w14:textId="77777777" w:rsidR="0060560D" w:rsidRDefault="0060560D" w:rsidP="0060560D">
      <w:pPr>
        <w:tabs>
          <w:tab w:val="left" w:pos="567"/>
          <w:tab w:val="left" w:pos="900"/>
        </w:tabs>
        <w:spacing w:line="276" w:lineRule="auto"/>
        <w:ind w:firstLine="720"/>
        <w:jc w:val="both"/>
        <w:rPr>
          <w:rStyle w:val="Strong"/>
          <w:rFonts w:ascii="GHEA Grapalat" w:hAnsi="GHEA Grapalat" w:cs="Sylfaen"/>
          <w:bCs w:val="0"/>
          <w:lang w:val="hy-AM"/>
        </w:rPr>
      </w:pPr>
      <w:r w:rsidRPr="009A764C">
        <w:rPr>
          <w:rFonts w:ascii="GHEA Grapalat" w:hAnsi="GHEA Grapalat" w:cs="Sylfaen"/>
          <w:b/>
          <w:lang w:val="hy-AM"/>
        </w:rPr>
        <w:t xml:space="preserve">4. </w:t>
      </w:r>
      <w:r w:rsidRPr="008F7409">
        <w:rPr>
          <w:rFonts w:ascii="GHEA Grapalat" w:hAnsi="GHEA Grapalat" w:cs="Sylfaen"/>
          <w:b/>
          <w:lang w:val="hy-AM"/>
        </w:rPr>
        <w:t>Կապը ռազմավարական փաստաթղթերի հետ</w:t>
      </w:r>
      <w:r w:rsidRPr="008F7409">
        <w:rPr>
          <w:rFonts w:ascii="Cambria Math" w:hAnsi="Cambria Math" w:cs="Cambria Math"/>
          <w:b/>
          <w:lang w:val="hy-AM"/>
        </w:rPr>
        <w:t>․</w:t>
      </w:r>
      <w:r w:rsidRPr="008F7409">
        <w:rPr>
          <w:rFonts w:ascii="GHEA Grapalat" w:hAnsi="GHEA Grapalat" w:cs="Sylfaen"/>
          <w:b/>
          <w:lang w:val="hy-AM"/>
        </w:rPr>
        <w:t xml:space="preserve"> </w:t>
      </w:r>
      <w:r w:rsidRPr="008F7409">
        <w:rPr>
          <w:rFonts w:ascii="GHEA Grapalat" w:hAnsi="GHEA Grapalat" w:cs="GHEA Grapalat"/>
          <w:b/>
          <w:lang w:val="hy-AM"/>
        </w:rPr>
        <w:t>Հայաստանի</w:t>
      </w:r>
      <w:r w:rsidRPr="008F7409">
        <w:rPr>
          <w:rFonts w:ascii="GHEA Grapalat" w:hAnsi="GHEA Grapalat" w:cs="Sylfaen"/>
          <w:b/>
          <w:lang w:val="hy-AM"/>
        </w:rPr>
        <w:t xml:space="preserve"> </w:t>
      </w:r>
      <w:r w:rsidRPr="008F7409">
        <w:rPr>
          <w:rFonts w:ascii="GHEA Grapalat" w:hAnsi="GHEA Grapalat" w:cs="GHEA Grapalat"/>
          <w:b/>
          <w:lang w:val="hy-AM"/>
        </w:rPr>
        <w:t>վերափոխման</w:t>
      </w:r>
      <w:r w:rsidRPr="008F7409">
        <w:rPr>
          <w:rFonts w:ascii="GHEA Grapalat" w:hAnsi="GHEA Grapalat" w:cs="Sylfaen"/>
          <w:b/>
          <w:lang w:val="hy-AM"/>
        </w:rPr>
        <w:t xml:space="preserve"> </w:t>
      </w:r>
      <w:r w:rsidRPr="008F7409">
        <w:rPr>
          <w:rFonts w:ascii="GHEA Grapalat" w:hAnsi="GHEA Grapalat" w:cs="GHEA Grapalat"/>
          <w:b/>
          <w:lang w:val="hy-AM"/>
        </w:rPr>
        <w:t>ռազմավարություն</w:t>
      </w:r>
      <w:r w:rsidRPr="008F7409">
        <w:rPr>
          <w:rFonts w:ascii="GHEA Grapalat" w:hAnsi="GHEA Grapalat" w:cs="Sylfaen"/>
          <w:b/>
          <w:lang w:val="hy-AM"/>
        </w:rPr>
        <w:t xml:space="preserve"> 2050, </w:t>
      </w:r>
      <w:r w:rsidRPr="008F7409">
        <w:rPr>
          <w:rFonts w:ascii="GHEA Grapalat" w:hAnsi="GHEA Grapalat" w:cs="GHEA Grapalat"/>
          <w:b/>
          <w:lang w:val="hy-AM"/>
        </w:rPr>
        <w:t>Կառավարության</w:t>
      </w:r>
      <w:r w:rsidRPr="008F7409">
        <w:rPr>
          <w:rFonts w:ascii="GHEA Grapalat" w:hAnsi="GHEA Grapalat" w:cs="Sylfaen"/>
          <w:b/>
          <w:lang w:val="hy-AM"/>
        </w:rPr>
        <w:t xml:space="preserve"> 2021-2026</w:t>
      </w:r>
      <w:r w:rsidRPr="008F7409">
        <w:rPr>
          <w:rFonts w:ascii="GHEA Grapalat" w:hAnsi="GHEA Grapalat" w:cs="GHEA Grapalat"/>
          <w:b/>
          <w:lang w:val="hy-AM"/>
        </w:rPr>
        <w:t>թթ</w:t>
      </w:r>
      <w:r w:rsidRPr="008F7409">
        <w:rPr>
          <w:rFonts w:ascii="Cambria Math" w:hAnsi="Cambria Math" w:cs="Cambria Math"/>
          <w:b/>
          <w:lang w:val="hy-AM"/>
        </w:rPr>
        <w:t>․</w:t>
      </w:r>
      <w:r w:rsidRPr="008F7409">
        <w:rPr>
          <w:rFonts w:ascii="GHEA Grapalat" w:hAnsi="GHEA Grapalat" w:cs="Sylfaen"/>
          <w:b/>
          <w:lang w:val="hy-AM"/>
        </w:rPr>
        <w:t xml:space="preserve"> </w:t>
      </w:r>
      <w:r w:rsidRPr="008F7409">
        <w:rPr>
          <w:rFonts w:ascii="GHEA Grapalat" w:hAnsi="GHEA Grapalat" w:cs="GHEA Grapalat"/>
          <w:b/>
          <w:lang w:val="hy-AM"/>
        </w:rPr>
        <w:t>ծրագիր</w:t>
      </w:r>
      <w:r w:rsidRPr="008F7409">
        <w:rPr>
          <w:rFonts w:ascii="GHEA Grapalat" w:hAnsi="GHEA Grapalat" w:cs="Sylfaen"/>
          <w:b/>
          <w:lang w:val="hy-AM"/>
        </w:rPr>
        <w:t xml:space="preserve">, </w:t>
      </w:r>
      <w:r w:rsidRPr="008F7409">
        <w:rPr>
          <w:rFonts w:ascii="GHEA Grapalat" w:hAnsi="GHEA Grapalat" w:cs="GHEA Grapalat"/>
          <w:b/>
          <w:lang w:val="hy-AM"/>
        </w:rPr>
        <w:t>ոլորտային</w:t>
      </w:r>
      <w:r w:rsidRPr="008F7409">
        <w:rPr>
          <w:rFonts w:ascii="GHEA Grapalat" w:hAnsi="GHEA Grapalat" w:cs="Sylfaen"/>
          <w:b/>
          <w:lang w:val="hy-AM"/>
        </w:rPr>
        <w:t xml:space="preserve"> </w:t>
      </w:r>
      <w:r w:rsidRPr="008F7409">
        <w:rPr>
          <w:rFonts w:ascii="GHEA Grapalat" w:hAnsi="GHEA Grapalat" w:cs="GHEA Grapalat"/>
          <w:b/>
          <w:lang w:val="hy-AM"/>
        </w:rPr>
        <w:t>և</w:t>
      </w:r>
      <w:r w:rsidRPr="008F7409">
        <w:rPr>
          <w:rFonts w:ascii="GHEA Grapalat" w:hAnsi="GHEA Grapalat" w:cs="Sylfaen"/>
          <w:b/>
          <w:lang w:val="hy-AM"/>
        </w:rPr>
        <w:t>/</w:t>
      </w:r>
      <w:r w:rsidRPr="008F7409">
        <w:rPr>
          <w:rFonts w:ascii="GHEA Grapalat" w:hAnsi="GHEA Grapalat" w:cs="GHEA Grapalat"/>
          <w:b/>
          <w:lang w:val="hy-AM"/>
        </w:rPr>
        <w:t>կամ</w:t>
      </w:r>
      <w:r w:rsidRPr="008F7409">
        <w:rPr>
          <w:rFonts w:ascii="GHEA Grapalat" w:hAnsi="GHEA Grapalat" w:cs="Sylfaen"/>
          <w:b/>
          <w:lang w:val="hy-AM"/>
        </w:rPr>
        <w:t xml:space="preserve"> </w:t>
      </w:r>
      <w:r w:rsidRPr="008F7409">
        <w:rPr>
          <w:rFonts w:ascii="GHEA Grapalat" w:hAnsi="GHEA Grapalat" w:cs="GHEA Grapalat"/>
          <w:b/>
          <w:lang w:val="hy-AM"/>
        </w:rPr>
        <w:t>այլ</w:t>
      </w:r>
      <w:r w:rsidRPr="008F7409">
        <w:rPr>
          <w:rFonts w:ascii="GHEA Grapalat" w:hAnsi="GHEA Grapalat" w:cs="Sylfaen"/>
          <w:b/>
          <w:lang w:val="hy-AM"/>
        </w:rPr>
        <w:t xml:space="preserve"> </w:t>
      </w:r>
      <w:r w:rsidRPr="008F7409">
        <w:rPr>
          <w:rFonts w:ascii="GHEA Grapalat" w:hAnsi="GHEA Grapalat" w:cs="GHEA Grapalat"/>
          <w:b/>
          <w:lang w:val="hy-AM"/>
        </w:rPr>
        <w:t>ռազմավարություննե</w:t>
      </w:r>
      <w:r w:rsidRPr="008F7409">
        <w:rPr>
          <w:rFonts w:ascii="GHEA Grapalat" w:hAnsi="GHEA Grapalat" w:cs="Sylfaen"/>
          <w:b/>
          <w:lang w:val="hy-AM"/>
        </w:rPr>
        <w:t>ր</w:t>
      </w:r>
      <w:r w:rsidRPr="008F7409">
        <w:rPr>
          <w:rStyle w:val="Strong"/>
          <w:rFonts w:ascii="GHEA Grapalat" w:hAnsi="GHEA Grapalat" w:cs="Sylfaen"/>
          <w:bCs w:val="0"/>
          <w:lang w:val="hy-AM"/>
        </w:rPr>
        <w:t xml:space="preserve"> </w:t>
      </w:r>
    </w:p>
    <w:p w14:paraId="4B8887B6" w14:textId="77777777" w:rsidR="0060560D" w:rsidRDefault="0060560D" w:rsidP="0060560D">
      <w:pPr>
        <w:tabs>
          <w:tab w:val="left" w:pos="567"/>
        </w:tabs>
        <w:ind w:firstLine="720"/>
        <w:jc w:val="both"/>
        <w:rPr>
          <w:rFonts w:ascii="GHEA Grapalat" w:hAnsi="GHEA Grapalat" w:cs="Sylfaen"/>
          <w:lang w:val="hy-AM"/>
        </w:rPr>
      </w:pPr>
      <w:r w:rsidRPr="00961451">
        <w:rPr>
          <w:rFonts w:ascii="GHEA Grapalat" w:hAnsi="GHEA Grapalat" w:cs="Sylfaen"/>
          <w:lang w:val="hy-AM"/>
        </w:rPr>
        <w:t>Կապը ռազմավարական փաստաթղթերի հետ բացակայում է:</w:t>
      </w:r>
    </w:p>
    <w:p w14:paraId="4FCB3A04" w14:textId="77777777" w:rsidR="0060560D" w:rsidRPr="00601181" w:rsidRDefault="0060560D" w:rsidP="0060560D">
      <w:pPr>
        <w:tabs>
          <w:tab w:val="left" w:pos="567"/>
        </w:tabs>
        <w:ind w:firstLine="720"/>
        <w:jc w:val="both"/>
        <w:rPr>
          <w:rFonts w:cs="Sylfaen"/>
          <w:b/>
          <w:bCs/>
          <w:lang w:val="hy-AM"/>
        </w:rPr>
      </w:pPr>
    </w:p>
    <w:p w14:paraId="427D90AE" w14:textId="77777777" w:rsidR="0060560D" w:rsidRDefault="0060560D" w:rsidP="0060560D">
      <w:pPr>
        <w:tabs>
          <w:tab w:val="left" w:pos="567"/>
        </w:tabs>
        <w:spacing w:line="276" w:lineRule="auto"/>
        <w:ind w:firstLine="720"/>
        <w:jc w:val="both"/>
        <w:rPr>
          <w:rStyle w:val="Strong"/>
          <w:rFonts w:ascii="GHEA Grapalat" w:hAnsi="GHEA Grapalat"/>
          <w:bCs w:val="0"/>
          <w:lang w:val="hy-AM"/>
        </w:rPr>
      </w:pPr>
      <w:r w:rsidRPr="009A764C">
        <w:rPr>
          <w:rFonts w:ascii="GHEA Grapalat" w:hAnsi="GHEA Grapalat"/>
          <w:b/>
          <w:lang w:val="hy-AM"/>
        </w:rPr>
        <w:t xml:space="preserve">5. </w:t>
      </w:r>
      <w:r w:rsidRPr="008F7409">
        <w:rPr>
          <w:rFonts w:ascii="GHEA Grapalat" w:hAnsi="GHEA Grapalat"/>
          <w:b/>
          <w:lang w:val="hy-AM"/>
        </w:rPr>
        <w:t>Տեղեկանք պետական բյուջեի եկամուտների և ծախսերի վերաբերյալ</w:t>
      </w:r>
      <w:r w:rsidRPr="008F7409">
        <w:rPr>
          <w:rStyle w:val="Strong"/>
          <w:rFonts w:ascii="GHEA Grapalat" w:hAnsi="GHEA Grapalat"/>
          <w:bCs w:val="0"/>
          <w:lang w:val="hy-AM"/>
        </w:rPr>
        <w:t xml:space="preserve"> </w:t>
      </w:r>
    </w:p>
    <w:p w14:paraId="66244C42" w14:textId="77777777" w:rsidR="0060560D" w:rsidRDefault="0060560D" w:rsidP="0060560D">
      <w:pPr>
        <w:tabs>
          <w:tab w:val="left" w:pos="567"/>
        </w:tabs>
        <w:spacing w:line="276" w:lineRule="auto"/>
        <w:ind w:firstLine="720"/>
        <w:jc w:val="both"/>
        <w:rPr>
          <w:rStyle w:val="Strong"/>
          <w:rFonts w:ascii="GHEA Grapalat" w:hAnsi="GHEA Grapalat"/>
          <w:bCs w:val="0"/>
          <w:lang w:val="hy-AM"/>
        </w:rPr>
      </w:pPr>
    </w:p>
    <w:p w14:paraId="198E7325" w14:textId="70D1B6B8" w:rsidR="0060560D" w:rsidRPr="008F7409" w:rsidRDefault="0060560D" w:rsidP="0060560D">
      <w:pPr>
        <w:tabs>
          <w:tab w:val="left" w:pos="567"/>
        </w:tabs>
        <w:ind w:firstLine="720"/>
        <w:jc w:val="both"/>
        <w:rPr>
          <w:rFonts w:ascii="GHEA Grapalat" w:hAnsi="GHEA Grapalat" w:cs="Sylfaen"/>
          <w:lang w:val="hy-AM"/>
        </w:rPr>
      </w:pPr>
      <w:r w:rsidRPr="008F7409">
        <w:rPr>
          <w:rFonts w:ascii="GHEA Grapalat" w:hAnsi="GHEA Grapalat" w:cs="Sylfaen"/>
          <w:lang w:val="hy-AM"/>
        </w:rPr>
        <w:t xml:space="preserve">««Կուտակային կենսաթոշակների մասին» օրենքում փոփոխություններ և լրացումներ կատարելու մասին» օրենքի նախագծի ընդունման դեպքում </w:t>
      </w:r>
      <w:r w:rsidR="00524F7C" w:rsidRPr="008F7409">
        <w:rPr>
          <w:rFonts w:ascii="GHEA Grapalat" w:hAnsi="GHEA Grapalat" w:cs="Sylfaen"/>
          <w:lang w:val="hy-AM"/>
        </w:rPr>
        <w:t>պետական բյուջեի</w:t>
      </w:r>
      <w:r w:rsidR="00524F7C">
        <w:rPr>
          <w:rFonts w:ascii="GHEA Grapalat" w:hAnsi="GHEA Grapalat" w:cs="Sylfaen"/>
          <w:lang w:val="hy-AM"/>
        </w:rPr>
        <w:t xml:space="preserve"> 2025թ.</w:t>
      </w:r>
      <w:r w:rsidR="00524F7C" w:rsidRPr="008F7409">
        <w:rPr>
          <w:rFonts w:ascii="GHEA Grapalat" w:hAnsi="GHEA Grapalat" w:cs="Sylfaen"/>
          <w:lang w:val="hy-AM"/>
        </w:rPr>
        <w:t xml:space="preserve"> </w:t>
      </w:r>
      <w:r w:rsidR="00524F7C">
        <w:rPr>
          <w:rFonts w:ascii="GHEA Grapalat" w:hAnsi="GHEA Grapalat" w:cs="Sylfaen"/>
          <w:lang w:val="hy-AM"/>
        </w:rPr>
        <w:t>մուտքերը</w:t>
      </w:r>
      <w:r w:rsidR="00524F7C" w:rsidRPr="008F7409">
        <w:rPr>
          <w:rFonts w:ascii="GHEA Grapalat" w:hAnsi="GHEA Grapalat" w:cs="Sylfaen"/>
          <w:lang w:val="hy-AM"/>
        </w:rPr>
        <w:t xml:space="preserve"> </w:t>
      </w:r>
      <w:r w:rsidR="00524F7C">
        <w:rPr>
          <w:rFonts w:ascii="GHEA Grapalat" w:hAnsi="GHEA Grapalat" w:cs="Sylfaen"/>
          <w:lang w:val="hy-AM"/>
        </w:rPr>
        <w:t>կավելանան մոտ 10</w:t>
      </w:r>
      <w:r w:rsidR="00524F7C" w:rsidRPr="00E74D7F">
        <w:rPr>
          <w:rFonts w:ascii="GHEA Grapalat" w:hAnsi="GHEA Grapalat" w:cs="Sylfaen"/>
          <w:lang w:val="hy-AM"/>
        </w:rPr>
        <w:t>.</w:t>
      </w:r>
      <w:r w:rsidR="00524F7C">
        <w:rPr>
          <w:rFonts w:ascii="GHEA Grapalat" w:hAnsi="GHEA Grapalat" w:cs="Sylfaen"/>
          <w:lang w:val="hy-AM"/>
        </w:rPr>
        <w:t>2 մլրդ դրամով</w:t>
      </w:r>
      <w:r w:rsidR="00524F7C" w:rsidRPr="00A3038E">
        <w:rPr>
          <w:rFonts w:ascii="GHEA Grapalat" w:hAnsi="GHEA Grapalat" w:cs="Sylfaen"/>
          <w:lang w:val="hy-AM"/>
        </w:rPr>
        <w:t xml:space="preserve"> </w:t>
      </w:r>
      <w:r w:rsidR="00524F7C" w:rsidRPr="00524F7C">
        <w:rPr>
          <w:rFonts w:ascii="GHEA Grapalat" w:hAnsi="GHEA Grapalat" w:cs="Sylfaen"/>
          <w:lang w:val="hy-AM"/>
        </w:rPr>
        <w:t>(</w:t>
      </w:r>
      <w:r w:rsidR="005F57C5">
        <w:rPr>
          <w:rFonts w:ascii="GHEA Grapalat" w:hAnsi="GHEA Grapalat" w:cs="Sylfaen"/>
          <w:lang w:val="hy-AM"/>
        </w:rPr>
        <w:t>պետական բյուջեի մուտքերում</w:t>
      </w:r>
      <w:r w:rsidR="005F57C5" w:rsidRPr="00A3038E">
        <w:rPr>
          <w:rFonts w:ascii="GHEA Grapalat" w:hAnsi="GHEA Grapalat" w:cs="Sylfaen"/>
          <w:lang w:val="hy-AM"/>
        </w:rPr>
        <w:t xml:space="preserve"> </w:t>
      </w:r>
      <w:r w:rsidR="005F57C5">
        <w:rPr>
          <w:rFonts w:ascii="GHEA Grapalat" w:hAnsi="GHEA Grapalat" w:cs="Sylfaen"/>
          <w:lang w:val="hy-AM"/>
        </w:rPr>
        <w:t xml:space="preserve">արտացոլվող </w:t>
      </w:r>
      <w:r w:rsidR="00524F7C" w:rsidRPr="00A3038E">
        <w:rPr>
          <w:rFonts w:ascii="GHEA Grapalat" w:hAnsi="GHEA Grapalat" w:cs="Sylfaen"/>
          <w:lang w:val="hy-AM"/>
        </w:rPr>
        <w:t>կուտակային կենսաթոշակային համակարգի պարտադիր մասնակիցների</w:t>
      </w:r>
      <w:r w:rsidR="00524F7C" w:rsidRPr="008F7409">
        <w:rPr>
          <w:rFonts w:ascii="GHEA Grapalat" w:hAnsi="GHEA Grapalat" w:cs="Sylfaen"/>
          <w:lang w:val="hy-AM"/>
        </w:rPr>
        <w:t xml:space="preserve"> </w:t>
      </w:r>
      <w:r w:rsidR="00524F7C">
        <w:rPr>
          <w:rFonts w:ascii="GHEA Grapalat" w:hAnsi="GHEA Grapalat" w:cs="Sylfaen"/>
          <w:lang w:val="hy-AM"/>
        </w:rPr>
        <w:t>կողմից իրենց վճարումների ավելացման չափով</w:t>
      </w:r>
      <w:r w:rsidR="005F57C5" w:rsidRPr="005F57C5">
        <w:rPr>
          <w:rFonts w:ascii="GHEA Grapalat" w:hAnsi="GHEA Grapalat" w:cs="Sylfaen"/>
          <w:lang w:val="hy-AM"/>
        </w:rPr>
        <w:t>)</w:t>
      </w:r>
      <w:r w:rsidR="00524F7C">
        <w:rPr>
          <w:rFonts w:ascii="GHEA Grapalat" w:hAnsi="GHEA Grapalat" w:cs="Sylfaen"/>
          <w:lang w:val="hy-AM"/>
        </w:rPr>
        <w:t xml:space="preserve">, </w:t>
      </w:r>
      <w:r>
        <w:rPr>
          <w:rFonts w:ascii="GHEA Grapalat" w:hAnsi="GHEA Grapalat" w:cs="Sylfaen"/>
          <w:lang w:val="hy-AM"/>
        </w:rPr>
        <w:t>իսկ</w:t>
      </w:r>
      <w:r w:rsidRPr="008F7409">
        <w:rPr>
          <w:rFonts w:ascii="GHEA Grapalat" w:hAnsi="GHEA Grapalat" w:cs="Sylfaen"/>
          <w:lang w:val="hy-AM"/>
        </w:rPr>
        <w:t xml:space="preserve"> </w:t>
      </w:r>
      <w:r w:rsidR="00524F7C">
        <w:rPr>
          <w:rFonts w:ascii="GHEA Grapalat" w:hAnsi="GHEA Grapalat" w:cs="Sylfaen"/>
          <w:lang w:val="hy-AM"/>
        </w:rPr>
        <w:t xml:space="preserve">պետական բյուջեի </w:t>
      </w:r>
      <w:r w:rsidRPr="008F7409">
        <w:rPr>
          <w:rFonts w:ascii="GHEA Grapalat" w:hAnsi="GHEA Grapalat" w:cs="Sylfaen"/>
          <w:lang w:val="hy-AM"/>
        </w:rPr>
        <w:t>ծախսերը չեն փոխվի։</w:t>
      </w:r>
    </w:p>
    <w:p w14:paraId="08E40CE4" w14:textId="77777777" w:rsidR="0060560D" w:rsidRPr="00437358" w:rsidRDefault="0060560D" w:rsidP="0060560D">
      <w:pPr>
        <w:rPr>
          <w:lang w:val="hy-AM"/>
        </w:rPr>
      </w:pPr>
    </w:p>
    <w:p w14:paraId="79FF89D8" w14:textId="51169930" w:rsidR="00C23575" w:rsidRPr="0060560D" w:rsidRDefault="00C23575" w:rsidP="0060560D">
      <w:pPr>
        <w:rPr>
          <w:lang w:val="hy-AM"/>
        </w:rPr>
      </w:pPr>
    </w:p>
    <w:sectPr w:rsidR="00C23575" w:rsidRPr="0060560D" w:rsidSect="002F0518">
      <w:footerReference w:type="first" r:id="rId8"/>
      <w:pgSz w:w="11906" w:h="16838" w:code="9"/>
      <w:pgMar w:top="1276" w:right="707" w:bottom="1134" w:left="12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3C392" w14:textId="77777777" w:rsidR="00D031E2" w:rsidRDefault="00D031E2">
      <w:r>
        <w:separator/>
      </w:r>
    </w:p>
  </w:endnote>
  <w:endnote w:type="continuationSeparator" w:id="0">
    <w:p w14:paraId="562D1FA6" w14:textId="77777777" w:rsidR="00D031E2" w:rsidRDefault="00D0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B703D" w14:textId="77777777" w:rsidR="005C4621" w:rsidRDefault="00D031E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14:paraId="2A9D9D5E" w14:textId="77777777" w:rsidR="005C4621" w:rsidRDefault="00D031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3C46E" w14:textId="77777777" w:rsidR="00D031E2" w:rsidRDefault="00D031E2">
      <w:r>
        <w:separator/>
      </w:r>
    </w:p>
  </w:footnote>
  <w:footnote w:type="continuationSeparator" w:id="0">
    <w:p w14:paraId="0468DA03" w14:textId="77777777" w:rsidR="00D031E2" w:rsidRDefault="00D03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B7218"/>
    <w:multiLevelType w:val="multilevel"/>
    <w:tmpl w:val="448C41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73764786"/>
    <w:multiLevelType w:val="hybridMultilevel"/>
    <w:tmpl w:val="68EA5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62"/>
    <w:rsid w:val="00061622"/>
    <w:rsid w:val="001331E2"/>
    <w:rsid w:val="00183A67"/>
    <w:rsid w:val="00251263"/>
    <w:rsid w:val="00282022"/>
    <w:rsid w:val="002860F3"/>
    <w:rsid w:val="00293393"/>
    <w:rsid w:val="002A53FE"/>
    <w:rsid w:val="0032598F"/>
    <w:rsid w:val="00332CEA"/>
    <w:rsid w:val="00334985"/>
    <w:rsid w:val="00350F78"/>
    <w:rsid w:val="00361F7C"/>
    <w:rsid w:val="003818A2"/>
    <w:rsid w:val="003E04D3"/>
    <w:rsid w:val="00437358"/>
    <w:rsid w:val="004606A6"/>
    <w:rsid w:val="00464183"/>
    <w:rsid w:val="004F4C4C"/>
    <w:rsid w:val="004F60B3"/>
    <w:rsid w:val="00524F7C"/>
    <w:rsid w:val="00547933"/>
    <w:rsid w:val="00555A5F"/>
    <w:rsid w:val="00580F62"/>
    <w:rsid w:val="00584F02"/>
    <w:rsid w:val="005F57C5"/>
    <w:rsid w:val="00601181"/>
    <w:rsid w:val="0060560D"/>
    <w:rsid w:val="00632F59"/>
    <w:rsid w:val="00657E74"/>
    <w:rsid w:val="006D23A2"/>
    <w:rsid w:val="0072791E"/>
    <w:rsid w:val="00846B9D"/>
    <w:rsid w:val="008F7409"/>
    <w:rsid w:val="0093710C"/>
    <w:rsid w:val="009B7144"/>
    <w:rsid w:val="009E4215"/>
    <w:rsid w:val="00A124D8"/>
    <w:rsid w:val="00A3038E"/>
    <w:rsid w:val="00A63778"/>
    <w:rsid w:val="00A92E2C"/>
    <w:rsid w:val="00AD1452"/>
    <w:rsid w:val="00C06E53"/>
    <w:rsid w:val="00C23575"/>
    <w:rsid w:val="00C4086F"/>
    <w:rsid w:val="00CA1EA2"/>
    <w:rsid w:val="00D031E2"/>
    <w:rsid w:val="00D037D9"/>
    <w:rsid w:val="00D30ABE"/>
    <w:rsid w:val="00DA41FC"/>
    <w:rsid w:val="00E00BA0"/>
    <w:rsid w:val="00E23AE9"/>
    <w:rsid w:val="00E74D7F"/>
    <w:rsid w:val="00F6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7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91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7D9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37D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7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D037D9"/>
    <w:rPr>
      <w:b/>
      <w:bCs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basedOn w:val="Normal"/>
    <w:link w:val="ListParagraphChar"/>
    <w:uiPriority w:val="34"/>
    <w:qFormat/>
    <w:rsid w:val="00D037D9"/>
    <w:pPr>
      <w:ind w:left="720"/>
    </w:p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locked/>
    <w:rsid w:val="00D037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547933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57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E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E7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E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E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E7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91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7D9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37D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7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D037D9"/>
    <w:rPr>
      <w:b/>
      <w:bCs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,CPS,Ha"/>
    <w:basedOn w:val="Normal"/>
    <w:link w:val="ListParagraphChar"/>
    <w:uiPriority w:val="34"/>
    <w:qFormat/>
    <w:rsid w:val="00D037D9"/>
    <w:pPr>
      <w:ind w:left="720"/>
    </w:p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locked/>
    <w:rsid w:val="00D037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547933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57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E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E7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E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E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E7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3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Badanyan</dc:creator>
  <cp:keywords>https:/mul2-minfin.gov.am/tasks/890471/oneclick/e7e3436a1d5aa362c83311de752242aa49db628a241e40bc7f2f741f428973d1.docx?token=c8b9c53c2df1d46737d8f6813358dee4</cp:keywords>
  <cp:lastModifiedBy>Hasmik Stepanyan</cp:lastModifiedBy>
  <cp:revision>2</cp:revision>
  <dcterms:created xsi:type="dcterms:W3CDTF">2024-10-31T11:58:00Z</dcterms:created>
  <dcterms:modified xsi:type="dcterms:W3CDTF">2024-10-31T11:58:00Z</dcterms:modified>
</cp:coreProperties>
</file>