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ED" w:rsidRPr="005163CF" w:rsidRDefault="00D172ED" w:rsidP="005163CF">
      <w:pPr>
        <w:spacing w:after="0" w:line="276" w:lineRule="auto"/>
        <w:ind w:firstLine="720"/>
        <w:jc w:val="center"/>
        <w:rPr>
          <w:rFonts w:ascii="GHEA Grapalat" w:eastAsia="Calibri" w:hAnsi="GHEA Grapalat" w:cs="GHEA Mariam"/>
          <w:b/>
          <w:sz w:val="24"/>
          <w:szCs w:val="24"/>
          <w:lang w:val="hy-AM"/>
        </w:rPr>
      </w:pPr>
      <w:bookmarkStart w:id="0" w:name="_GoBack"/>
      <w:bookmarkEnd w:id="0"/>
      <w:r w:rsidRPr="005163CF">
        <w:rPr>
          <w:rFonts w:ascii="GHEA Grapalat" w:eastAsia="Calibri" w:hAnsi="GHEA Grapalat" w:cs="GHEA Mariam"/>
          <w:b/>
          <w:sz w:val="24"/>
          <w:szCs w:val="24"/>
          <w:lang w:val="hy-AM"/>
        </w:rPr>
        <w:t>ՀԻՄՆԱՎՈՐՈՒՄ</w:t>
      </w:r>
    </w:p>
    <w:p w:rsidR="00D172ED" w:rsidRPr="005163CF" w:rsidRDefault="00D172ED" w:rsidP="005163CF">
      <w:pPr>
        <w:shd w:val="clear" w:color="auto" w:fill="FFFFFF"/>
        <w:spacing w:after="0" w:line="276" w:lineRule="auto"/>
        <w:ind w:firstLine="720"/>
        <w:jc w:val="center"/>
        <w:rPr>
          <w:rFonts w:ascii="GHEA Grapalat" w:eastAsia="Calibri" w:hAnsi="GHEA Grapalat" w:cs="GHEA Mariam"/>
          <w:b/>
          <w:sz w:val="24"/>
          <w:szCs w:val="24"/>
          <w:lang w:val="hy-AM"/>
        </w:rPr>
      </w:pPr>
      <w:r w:rsidRPr="005163C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5163C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«ՄԱՔՍԱՅԻՆ</w:t>
      </w:r>
      <w:r w:rsidRPr="005163CF">
        <w:rPr>
          <w:rFonts w:ascii="Calibri" w:eastAsia="Calibri" w:hAnsi="Calibri" w:cs="Calibri"/>
          <w:b/>
          <w:bCs/>
          <w:sz w:val="24"/>
          <w:szCs w:val="24"/>
          <w:lang w:val="hy-AM"/>
        </w:rPr>
        <w:t> </w:t>
      </w:r>
      <w:r w:rsidRPr="005163CF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ԿԱՐԳԱՎՈՐՄԱՆ</w:t>
      </w:r>
      <w:r w:rsidRPr="005163CF">
        <w:rPr>
          <w:rFonts w:ascii="Calibri" w:eastAsia="Calibri" w:hAnsi="Calibri" w:cs="Calibri"/>
          <w:b/>
          <w:bCs/>
          <w:sz w:val="24"/>
          <w:szCs w:val="24"/>
          <w:lang w:val="hy-AM"/>
        </w:rPr>
        <w:t> </w:t>
      </w:r>
      <w:r w:rsidRPr="005163CF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ՄԱՍԻՆ»</w:t>
      </w:r>
      <w:r w:rsidRPr="005163C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ՕՐԵՆՔՈՒՄ ՓՈՓՈԽՈՒԹՅՈՒՆ ԵՎ ԼՐԱՑՈՒՄՆԵՐ ԿԱՏԱՐԵԼՈՒ ՄԱՍԻՆ» </w:t>
      </w:r>
      <w:r w:rsidRPr="005163CF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ՀԱՅԱՍՏԱՆԻ ՀԱՆՐԱՊԵՏՈՒԹՅԱՆ </w:t>
      </w:r>
      <w:r w:rsidRPr="005163CF">
        <w:rPr>
          <w:rFonts w:ascii="GHEA Grapalat" w:eastAsia="Calibri" w:hAnsi="GHEA Grapalat" w:cs="GHEA Mariam"/>
          <w:b/>
          <w:sz w:val="24"/>
          <w:szCs w:val="24"/>
          <w:lang w:val="hy-AM"/>
        </w:rPr>
        <w:t>ՕՐԵՆՔԻ ՆԱԽԱԳԾԻ ԸՆԴՈՒՆՄԱՆ</w:t>
      </w:r>
    </w:p>
    <w:p w:rsidR="00D172ED" w:rsidRPr="005163CF" w:rsidRDefault="00D172ED" w:rsidP="005163CF">
      <w:pPr>
        <w:shd w:val="clear" w:color="auto" w:fill="FFFFFF"/>
        <w:spacing w:after="0"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6D7252" w:rsidRDefault="006D7252" w:rsidP="005163CF">
      <w:pPr>
        <w:shd w:val="clear" w:color="auto" w:fill="FFFFFF"/>
        <w:tabs>
          <w:tab w:val="left" w:pos="993"/>
        </w:tabs>
        <w:spacing w:after="0" w:line="276" w:lineRule="auto"/>
        <w:ind w:firstLine="63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6D7252" w:rsidRPr="004B2C7A" w:rsidRDefault="006D7252" w:rsidP="004B2C7A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8B3F27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</w:t>
      </w:r>
      <w:r w:rsidRPr="004B2C7A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Իրավական ակտի անհրաժեշտությունը (նպատակը).</w:t>
      </w:r>
      <w:r w:rsid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4B2C7A" w:rsidRPr="004B2C7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Օրենքի նախագծի </w:t>
      </w:r>
      <w:r w:rsidR="00D8702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ընդունումը </w:t>
      </w:r>
      <w:r w:rsidR="004B2C7A" w:rsidRPr="004B2C7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նպատակ</w:t>
      </w:r>
      <w:r w:rsidR="00D8702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ունի որոշակիացնել</w:t>
      </w:r>
      <w:r w:rsidR="00724FD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մաքսային ստուգումների գործընթաց</w:t>
      </w:r>
      <w:r w:rsidR="00D8702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</w:t>
      </w:r>
      <w:r w:rsidR="00724FD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, </w:t>
      </w:r>
      <w:r w:rsidR="00D8702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հստակեցնել </w:t>
      </w:r>
      <w:r w:rsidR="00180BE8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մաքսային ստուգումների</w:t>
      </w:r>
      <w:r w:rsidR="00223A35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գծով</w:t>
      </w:r>
      <w:r w:rsidR="00724FDB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975E1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գործող կարգավորումներով</w:t>
      </w:r>
      <w:r w:rsidR="00724FDB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չ</w:t>
      </w:r>
      <w:r w:rsidR="00223A35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սահմանվա</w:t>
      </w:r>
      <w:r w:rsidR="00975E1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ծ</w:t>
      </w:r>
      <w:r w:rsidR="00223A35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հարցեր</w:t>
      </w:r>
      <w:r w:rsidR="00D8702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ը</w:t>
      </w:r>
      <w:r w:rsidR="00223A35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D8702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ամրագրել </w:t>
      </w:r>
      <w:r w:rsidR="00223A35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մաքսային ստուգմանը վերաբերող փաստաթղթերի էլեկտրոնային եղանակով ծանուցման </w:t>
      </w:r>
      <w:r w:rsidR="00975E1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դրույթներ</w:t>
      </w:r>
      <w:r w:rsidR="00D8702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ը, </w:t>
      </w:r>
      <w:r w:rsidR="00C326A7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սահմանել պատասխանատվությ</w:t>
      </w:r>
      <w:r w:rsidR="00180BE8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ան նորմեր</w:t>
      </w:r>
      <w:r w:rsidR="00C326A7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5E127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մաքսային ստուգման արդյունքներով` լրացուցիչ հայտնաբերված պարտավորությունների նկատմամբ: </w:t>
      </w:r>
      <w:r w:rsidR="00223A35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724FDB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6D7252" w:rsidRDefault="006D7252" w:rsidP="004B2C7A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2. Կարգավորման հարաբերությունների ներկա վիճակը և առկա խնդիրները.</w:t>
      </w:r>
    </w:p>
    <w:p w:rsidR="00FB427E" w:rsidRDefault="00FB427E" w:rsidP="00FB427E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D03A1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«Մաքսային կարգավորման մասին» ՀՀ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օրենքի գործող խմբագրությամբ.</w:t>
      </w:r>
    </w:p>
    <w:p w:rsidR="005E127E" w:rsidRDefault="003A3EFC" w:rsidP="004B2C7A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DD57BB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1</w:t>
      </w:r>
      <w:r w:rsidR="00FB427E" w:rsidRPr="00DD57BB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)</w:t>
      </w:r>
      <w:r w:rsidR="00E471B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FB427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</w:t>
      </w:r>
      <w:r w:rsidR="00E471B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ահմանված չեն կամերալ մաքսային ստուգման ժամկետը, կամերալ մաքսային ստուգման սկիզբ համարելու ամսաթիվը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: Նշվածը ըստ էության անորոշություն է առաջացնում </w:t>
      </w:r>
      <w:r w:rsidR="0088456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ինչպես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ստուգվող անձանց</w:t>
      </w:r>
      <w:r w:rsidR="0088456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, այնպես էլ մաքսային մարմնի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մոտ:</w:t>
      </w:r>
      <w:r w:rsidR="00300A62" w:rsidRPr="00300A6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300A6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</w:t>
      </w:r>
      <w:r w:rsidR="00300A62" w:rsidRPr="00300A6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ամերալ մաքսային ստուգումն իրականացվում է առանց վարչական վարույթի մասին ծանուցման և առանց ստուգման ժամկետի սահմանափակման, ինչը </w:t>
      </w:r>
      <w:r w:rsidR="00596A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բացի անորոշությունից` </w:t>
      </w:r>
      <w:r w:rsidR="00300A62" w:rsidRPr="00300A6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առանձին դեպքերում </w:t>
      </w:r>
      <w:r w:rsidR="00596A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օբյեկտիվորեն </w:t>
      </w:r>
      <w:r w:rsidR="00300A62" w:rsidRPr="00300A6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դառնում է</w:t>
      </w:r>
      <w:r w:rsidR="00596A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նաև</w:t>
      </w:r>
      <w:r w:rsidR="00300A62" w:rsidRPr="00300A6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կամերալ մաքսային ստուգման վիճարկման հիմ</w:t>
      </w:r>
      <w:r w:rsidR="00300A6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ք:</w:t>
      </w:r>
    </w:p>
    <w:p w:rsidR="003A3EFC" w:rsidRDefault="003A3EFC" w:rsidP="002919B1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DD57BB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2)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FB427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</w:t>
      </w:r>
      <w:r w:rsidR="002919B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ահմանված է կամերալ </w:t>
      </w:r>
      <w:r w:rsidR="0033255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մաքսային </w:t>
      </w:r>
      <w:r w:rsidR="002919B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ուսումնասիրության տեսակ</w:t>
      </w:r>
      <w:r w:rsidR="0033255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ը, որը մի կողմից չի բխում Եվրասիական տնտեսական միության մաքսային օրենսգրքով</w:t>
      </w:r>
      <w:r w:rsidR="00DC6AF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(այսուհետ` Օրենսգիրք)</w:t>
      </w:r>
      <w:r w:rsidR="0033255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սահմանված մաքսային հսկողության ձևերից</w:t>
      </w:r>
      <w:r w:rsidR="00DC6AF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, իսկ մյուս կողմից` տվյալ ուսումնասիրության տեսակով սահմանված գործընթաց</w:t>
      </w:r>
      <w:r w:rsidR="0072449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</w:t>
      </w:r>
      <w:r w:rsidR="00DC6AF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իրականացվ</w:t>
      </w:r>
      <w:r w:rsidR="00415E6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ում</w:t>
      </w:r>
      <w:r w:rsidR="00DC6AF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415E6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է </w:t>
      </w:r>
      <w:r w:rsidR="00DC6AF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հենց Օրենսգրքի 324-րդ հոդվածով սահմանված </w:t>
      </w:r>
      <w:r w:rsidR="00415E6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մաքսային հսկողության ձևով, ուստի Օրենսգրքից չբխող առանձին հսկողության տեսակի սահմանումը նպատակահարմար չէր:</w:t>
      </w:r>
    </w:p>
    <w:p w:rsidR="00415E67" w:rsidRDefault="00415E67" w:rsidP="006B303A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DD57BB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lastRenderedPageBreak/>
        <w:t>3)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FB427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</w:t>
      </w:r>
      <w:r w:rsidR="006B303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ահմանված չէ մաքսային ստուգման ժամկետի կասեցման վերացման պահը և բացի այդ սահմանված չեն կասեցման հիմքեր այն դեպքերի համար, երբ  </w:t>
      </w:r>
      <w:r w:rsidR="00596A4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իրավապահ մարմիններին հարցումների դեպքերի, հանցագործության հատկանիշների, ստուգմանը առնչվող նյութերը առգրավված լինելու դեպքերի մասով:</w:t>
      </w:r>
    </w:p>
    <w:p w:rsidR="00FB427E" w:rsidRDefault="00DD57BB" w:rsidP="006B303A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DD57BB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4) </w:t>
      </w:r>
      <w:r w:rsidR="00FB427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</w:t>
      </w:r>
      <w:r w:rsidR="006D7BE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ահմանված չէ ստուգվող անձի կողմից մաքսային ստուգման ակտի վերաբերյալ առարկությունների ներկայացման ժամկետը</w:t>
      </w:r>
      <w:r w:rsidR="00FB427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:</w:t>
      </w:r>
    </w:p>
    <w:p w:rsidR="00596A4F" w:rsidRDefault="00FB427E" w:rsidP="006B303A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FB427E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5) </w:t>
      </w:r>
      <w:r w:rsidR="006D7BE4" w:rsidRPr="00FB427E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B427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Սահմանված չէ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ստուգման արդյունքների ամփոփման հիման վրա</w:t>
      </w:r>
      <w:r w:rsidR="00877F3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` մաքսային մարմնի կողմից կայացվող որոշումների տեսակները:</w:t>
      </w:r>
    </w:p>
    <w:p w:rsidR="004B7A17" w:rsidRDefault="00877F3B" w:rsidP="006B303A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6) </w:t>
      </w:r>
      <w:r w:rsidR="009610EC" w:rsidRPr="009610E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Առանձին դեպքերում</w:t>
      </w:r>
      <w:r w:rsidR="009610EC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E0D9F" w:rsidRPr="00BE0D9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Օրենսգրքի համապատասխան հոդվածները նույնությամբ արտացոլված են, այնինչ`</w:t>
      </w:r>
      <w:r w:rsidR="00BE0D9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4B7A17" w:rsidRPr="004B7A1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«Մաքսային կարգավորման մասին» ՀՀ </w:t>
      </w:r>
      <w:r w:rsidR="004B7A1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օրենքում ըստ էության կարող էին սահմանվել դրույթներ, որոնք ոչ թե կրկնում են Օրենսգրքի դրույթները, այլ սահմանում են առանձնահատկություններ, եթե Օրենսգրքով այդպիսի լիազորություն ազգային օրենսդրության վերապահված է:</w:t>
      </w:r>
    </w:p>
    <w:p w:rsidR="009610EC" w:rsidRDefault="009610EC" w:rsidP="006B303A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9610EC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7) </w:t>
      </w:r>
      <w:r w:rsidRPr="009E314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Սահմանված են </w:t>
      </w:r>
      <w:r w:rsidR="009E3147" w:rsidRPr="009E314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մաքսային ստուգման ակտի ծանուցման եղանակը, սակայն մաքսային ստուգմանը առնչվող այլ փաստաթղթերի ծանուցման </w:t>
      </w:r>
      <w:r w:rsidR="00C03A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եղանակը</w:t>
      </w:r>
      <w:r w:rsidR="009E3147" w:rsidRPr="009E314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հստակեցված չէ:</w:t>
      </w:r>
    </w:p>
    <w:p w:rsidR="00FA5B70" w:rsidRDefault="00FA5B70" w:rsidP="006B303A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FA5B70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8) </w:t>
      </w:r>
      <w:r w:rsidRPr="00FA5B7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Մաքսային գործի բնագավառում գործունեություն իրականացնող առանձին անձանց համար սահմանված </w:t>
      </w:r>
      <w:r w:rsidR="006B25F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է, որ պետք է պարտադիր ապահովեն </w:t>
      </w:r>
      <w:r w:rsidR="006B25F3" w:rsidRPr="006B25F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շինությունների պահպանության պահնորդաազդանշանային </w:t>
      </w:r>
      <w:r w:rsidR="006B25F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անվտանգության պահանջները, սակայն միևնույն ժամանակ որպես պարտադիր պահանջ սահմանված է նաև </w:t>
      </w:r>
      <w:r w:rsidR="006B25F3" w:rsidRPr="006B25F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ապահովել անվտանգության ծառայության (սեփական կամ վարձված) առկայությունը</w:t>
      </w:r>
      <w:r w:rsidR="00D2556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: Ըստ էության այս երկու կարգավորումների միաժամանակյա առկայությունը առաջացնում է իրավական անորոշություն, քանի որ ըստ էության նույն պահանջն է:</w:t>
      </w:r>
    </w:p>
    <w:p w:rsidR="00D25568" w:rsidRDefault="00D25568" w:rsidP="00F52BBB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D25568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9) </w:t>
      </w:r>
      <w:r w:rsidR="00884560" w:rsidRPr="0088456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Սահմանված չէ</w:t>
      </w:r>
      <w:r w:rsidR="0088456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տուգանք այն </w:t>
      </w:r>
      <w:r w:rsidR="00F52BB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իրավաբանական անձանց կամ անհատ ձեռնարկատերերի նկատմամբ</w:t>
      </w:r>
      <w:r w:rsidR="0088456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, </w:t>
      </w:r>
      <w:r w:rsidR="00F52BB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ում մոտ</w:t>
      </w:r>
      <w:r w:rsidR="0088456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մաքսային ստուգման արդյունքում հայտնաբերվում է </w:t>
      </w:r>
      <w:r w:rsidR="00F52BBB" w:rsidRPr="00F52BB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մաքսային մարմինների կողմից գանձվող մաքսային վճարների, այլ հարկերի, տուրքերի և վճարների</w:t>
      </w:r>
      <w:r w:rsidR="00F52BB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չհաշվարկման կամ պակաս հաշվարկման դեպք</w:t>
      </w:r>
      <w:r w:rsidR="009A4C8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: </w:t>
      </w:r>
      <w:r w:rsidR="009A4C8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lastRenderedPageBreak/>
        <w:t xml:space="preserve">Արդյունքում ստացվում է, որ գործող կարգավորումները չեն կրում </w:t>
      </w:r>
      <w:r w:rsidR="00CF7D3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մաքսային խախտումները կանխարգելող բնույթ: Պայմանական օրինակ` մաքսային ստուգման արդյունքում</w:t>
      </w:r>
      <w:r w:rsidR="004934F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կազմակերպության մոտ</w:t>
      </w:r>
      <w:r w:rsidR="00CF7D3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հայտնաբերվում է պակաս հաշվարկ</w:t>
      </w:r>
      <w:r w:rsidR="004934F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ված</w:t>
      </w:r>
      <w:r w:rsidR="00CF7D3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ԱԱՀ` </w:t>
      </w:r>
      <w:r w:rsidR="00F50B0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20</w:t>
      </w:r>
      <w:r w:rsidR="00CF7D3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մլն. դրամ</w:t>
      </w:r>
      <w:r w:rsidR="004934F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, ապա տվյալ դեպքում` </w:t>
      </w:r>
      <w:r w:rsidR="00F50B0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կազմակերպություն մաքսային մարմնին վճարում է նշված 20 մլն. դրամը, որը հաշվանցում է հարկային օրենսդրությամբ սահմանված կարգով և </w:t>
      </w:r>
      <w:r w:rsidR="00952D2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հետ է ստանում հարկային մարմնից: Ստացվում է, որ ընկերությունը ըստ էության որևէ </w:t>
      </w:r>
      <w:r w:rsidR="00AE7B1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ֆինանսական </w:t>
      </w:r>
      <w:r w:rsidR="00952D2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պատասխանատվության չենթարկվեց</w:t>
      </w:r>
      <w:r w:rsidR="00AE7B1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:</w:t>
      </w:r>
    </w:p>
    <w:p w:rsidR="00AE7B1B" w:rsidRPr="00F52BBB" w:rsidRDefault="00AE7B1B" w:rsidP="00F52BBB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Միջազգային փորձի ուսումնասիրությունը ցույց է տալիս, որ հետբացողումային փուլում պակաս հաշվարկված պարտավորությունների նկատմամբ սահմանված է տուգանք: Օրինակ` Լիտվայում մաքսային ստուգման արդյունքում պակաս հաշվարկված մաքսային վճարներ և հարկեր հայտնաբերվելու դեպքում` նշված գումարի նկատմամբ կիրառվում է տուգանք 40</w:t>
      </w:r>
      <w:r w:rsidRPr="00AE7B1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%-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ի չափով: </w:t>
      </w:r>
    </w:p>
    <w:p w:rsidR="000B64D0" w:rsidRDefault="004B7A17" w:rsidP="008B3F27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</w:p>
    <w:p w:rsidR="0081402D" w:rsidRDefault="006D7252" w:rsidP="008B3F27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3</w:t>
      </w:r>
      <w:r w:rsidRPr="004B2C7A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Առկա խնդիրների առաջարկվող լուծումները. </w:t>
      </w:r>
    </w:p>
    <w:p w:rsidR="006D7252" w:rsidRPr="0081402D" w:rsidRDefault="006D7252" w:rsidP="008B3F27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81402D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Նախագծով առաջարկվում է. </w:t>
      </w:r>
    </w:p>
    <w:p w:rsidR="00300A62" w:rsidRDefault="00300A62" w:rsidP="00300A62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CC2319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1)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81402D" w:rsidRPr="00300A6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Սահմանել կամերալ մաքսային ստուգման </w:t>
      </w:r>
      <w:r w:rsidR="00E8085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առավելագույն </w:t>
      </w:r>
      <w:r w:rsidR="0081402D" w:rsidRPr="00300A6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ժամկետ, ինչպես նաև կամերալ մաքսային ստուգման</w:t>
      </w:r>
      <w:r w:rsidR="00596A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ս</w:t>
      </w:r>
      <w:r w:rsidR="00107A1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</w:t>
      </w:r>
      <w:r w:rsidR="00596A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զբի վերաբերյալ</w:t>
      </w:r>
      <w:r w:rsidR="0081402D" w:rsidRPr="00300A6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ծանուցման </w:t>
      </w:r>
      <w:r w:rsidR="00596A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դրույթներ</w:t>
      </w:r>
      <w:r w:rsidR="0081402D" w:rsidRPr="00300A6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։</w:t>
      </w:r>
      <w:r w:rsidR="00596A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Մասնավորապես` նախատեսվել է, որ կամերալ ստուգման ժամկետը չի կարող գերազանցել </w:t>
      </w:r>
      <w:r w:rsidR="0081402D" w:rsidRPr="00300A6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596A8F" w:rsidRPr="00596A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60 օրացուցային օրը</w:t>
      </w:r>
      <w:r w:rsidR="00596A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, ինչպես նաև կամերալ ստուգման սկ</w:t>
      </w:r>
      <w:r w:rsidR="00107A1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սելու մասին</w:t>
      </w:r>
      <w:r w:rsidR="0039187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ստուգման ենթակա անձը պետք է ծանուցվի:</w:t>
      </w:r>
    </w:p>
    <w:p w:rsidR="00391873" w:rsidRDefault="00391873" w:rsidP="00300A62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CC2319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2)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276A1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Հանել կամերալ մաքսային ուսումնասիրության տեսակը, որը չի բխում Օրենսգրքով սահմանված մաքսային հսկողության ձևերից:</w:t>
      </w:r>
    </w:p>
    <w:p w:rsidR="003C0919" w:rsidRDefault="00276A15" w:rsidP="003C0919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E8085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3)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3C091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Սահմանել  ստուգման ժամկետի ժամկետի կասեցման վերացման դեպքերը, ինչպես նաև </w:t>
      </w:r>
      <w:r w:rsidR="00CC231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գործնականում հանդիպած և ՀՀ հարկային օրենսգրքով սահմանված կասեցման հիմքերի համանման</w:t>
      </w:r>
      <w:r w:rsidR="00E8085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ությամբ</w:t>
      </w:r>
      <w:r w:rsidR="00CC231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սահմանել նաև մաքսային ստուգման ժամկետի կասեցման հիմքերը հետևյալ դեպքերի համար.</w:t>
      </w:r>
    </w:p>
    <w:p w:rsidR="00CC2319" w:rsidRPr="00CC2319" w:rsidRDefault="00617E26" w:rsidP="00CC2319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lastRenderedPageBreak/>
        <w:t>ա</w:t>
      </w:r>
      <w:r w:rsidR="00CC2319" w:rsidRPr="00CC2319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) </w:t>
      </w:r>
      <w:r w:rsidR="00CC2319" w:rsidRPr="00CC231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ստուգմանն առնչվող փաստաթղթերը հետաքննության, նախաքննության մարմնի որոշման կամ դատարանի վճռի հիման վրա առգրավված լինելու դեպքում,</w:t>
      </w:r>
    </w:p>
    <w:p w:rsidR="00CC2319" w:rsidRPr="00CC2319" w:rsidRDefault="00617E26" w:rsidP="00CC2319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բ</w:t>
      </w:r>
      <w:r w:rsidR="00CC2319" w:rsidRPr="00CC2319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)</w:t>
      </w:r>
      <w:r w:rsidR="00CC2319" w:rsidRPr="00CC231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մաքսային ստուգում անցկացնելու ընթացքում հանցագործության հատկանիշների հայտնաբերման և համապատասխան հաղորդման ներկայացման դեպքում:</w:t>
      </w:r>
    </w:p>
    <w:p w:rsidR="005B0DC1" w:rsidRDefault="00E8085A" w:rsidP="005B0DC1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0913E4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4) </w:t>
      </w:r>
      <w:r w:rsidR="000B736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</w:t>
      </w:r>
      <w:r w:rsidR="000913E4" w:rsidRPr="000913E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ահմանել մաքսային ստուգման ակտի վերաբերյալ ստուգվող անձի կողմից առարկություններ ներկայացնելու ժամկետ: Մասնավորապես նախատեսվել է, որ</w:t>
      </w:r>
      <w:r w:rsidR="000913E4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5B0DC1" w:rsidRPr="005B0DC1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ստուգվող անձը ակտը ստացված համարվելու օրվան հաջորդող երեք աշխատանքային օրվա ընթացքում կարող է ներկայացնել առարկություններ ակտի վերաբերյալ կամ տեղեկացնել առարկությունների բացակայության մասին:</w:t>
      </w:r>
      <w:r w:rsidR="005B0DC1" w:rsidRPr="005B0DC1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:rsidR="005B0DC1" w:rsidRDefault="005B0DC1" w:rsidP="005B0DC1">
      <w:pPr>
        <w:spacing w:after="0" w:line="360" w:lineRule="auto"/>
        <w:ind w:firstLine="567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5) </w:t>
      </w:r>
      <w:r w:rsidR="000B736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</w:t>
      </w:r>
      <w:r w:rsidRPr="005B0DC1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ահմանել ստուգման արդյունքների ամփոփման հիման վրա` մաքսային մարմնի կողմից կայացվող որոշումների տեսակները</w:t>
      </w: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:</w:t>
      </w:r>
    </w:p>
    <w:p w:rsidR="00C03ACB" w:rsidRDefault="005B0DC1" w:rsidP="005B0DC1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5B0DC1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6) </w:t>
      </w:r>
      <w:r w:rsidR="0094353D" w:rsidRPr="004B7A1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«Մաքսային կարգավորման մասին» ՀՀ </w:t>
      </w:r>
      <w:r w:rsidR="0094353D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օրենքից հանել մաքսային ստուգմանը վերաբերող այն դրույթները, որոնք ըստ էության նույնությամբ կրկնում են Օրենսգրքով ամրագրված դրույթները: Մասնավորապես` </w:t>
      </w:r>
      <w:r w:rsidR="004B0C6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օրինակ գործող օրենքի 198-րդ հոդվածի 11-րդ մաս, </w:t>
      </w:r>
      <w:r w:rsidR="009D65A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12-րդ մաս, </w:t>
      </w:r>
      <w:r w:rsidR="0052173D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202-րդ հոդված, 203-րդ հոդված</w:t>
      </w:r>
      <w:r w:rsidR="00C03A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:</w:t>
      </w:r>
    </w:p>
    <w:p w:rsidR="005B0DC1" w:rsidRDefault="00C03ACB" w:rsidP="002C4590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C03ACB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7) </w:t>
      </w:r>
      <w:r w:rsidR="0052173D" w:rsidRPr="00C03ACB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0B736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</w:t>
      </w:r>
      <w:r w:rsidRPr="00A54E7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ահմանել </w:t>
      </w:r>
      <w:r w:rsidR="00A54E7B" w:rsidRPr="00A54E7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և հստակեցնել </w:t>
      </w:r>
      <w:r w:rsidRPr="00A54E7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մաքսային ստուգմանը առնչվող փաստաթղթերի ծանուցման եղանակները</w:t>
      </w:r>
      <w:r w:rsidR="00A54E7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: Մասնավորապես` </w:t>
      </w:r>
      <w:r w:rsidR="002C459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որպես ծանուցման եղանակներ սահմանվել են` </w:t>
      </w:r>
      <w:r w:rsidR="002C4590" w:rsidRPr="002C459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5017C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</w:t>
      </w:r>
      <w:r w:rsidR="002C4590" w:rsidRPr="002C459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ռձեռն</w:t>
      </w:r>
      <w:r w:rsidR="002C459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եղանակը, </w:t>
      </w:r>
      <w:r w:rsidR="005017C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է</w:t>
      </w:r>
      <w:r w:rsidR="002C4590" w:rsidRPr="002C459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լեկտրոնային փոստ</w:t>
      </w:r>
      <w:r w:rsidR="002C459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</w:t>
      </w:r>
      <w:r w:rsidR="00CE7BB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,</w:t>
      </w:r>
      <w:r w:rsidR="002C459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փոստային կապը և հ</w:t>
      </w:r>
      <w:r w:rsidR="002C4590" w:rsidRPr="002C459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աշվետվությունների ներկայացման էլեկտրոնային կառավարման համակարգ</w:t>
      </w:r>
      <w:r w:rsidR="00CE7BB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</w:t>
      </w:r>
      <w:r w:rsidR="002C4590" w:rsidRPr="002C459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։</w:t>
      </w:r>
      <w:r w:rsidR="005017C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Ընդ որում, հատկանշական է, որ ներկայումս հարկային մարմնի կողմից իրականացվող ստուգումներին և ուսումնասիրություններին վերաբերող բոլոր փաստաթղթերը հարկ վճարողների հետ փոխանակվում են բացառապես </w:t>
      </w:r>
      <w:r w:rsidR="00CE7BB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էլեկտրոնային եղանակով`</w:t>
      </w:r>
      <w:r w:rsidR="005017CC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հ</w:t>
      </w:r>
      <w:r w:rsidR="005017CC" w:rsidRPr="002C459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աշվետվությունների ներկայացման էլեկտրոնային կառավարման համակարգ</w:t>
      </w:r>
      <w:r w:rsidR="006A511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ի անձնական գրասենյակի միջոցով, ուստի մաքսային ստուգումների մասով նույնպես </w:t>
      </w:r>
      <w:r w:rsidR="00CE7BB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հենց </w:t>
      </w:r>
      <w:r w:rsidR="006A511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այս ծանուցման եղանակը</w:t>
      </w:r>
      <w:r w:rsidR="00CE7BB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սահմանվել է, որպեսզի դրանց վերաբերող փաստաթղթերը նույնպես փոխանակվեն այս եղանակով</w:t>
      </w:r>
      <w:r w:rsidR="006A511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:</w:t>
      </w:r>
    </w:p>
    <w:p w:rsidR="00BF3256" w:rsidRDefault="006A5113" w:rsidP="00BF3256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6A5113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lastRenderedPageBreak/>
        <w:t xml:space="preserve">8) </w:t>
      </w:r>
      <w:r w:rsidR="00BF3256" w:rsidRPr="00BF32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Բացառել մաքսային գործի բնագավառում գործունեություն իրականացնող անձանց համար </w:t>
      </w:r>
      <w:r w:rsidR="003F542D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մի</w:t>
      </w:r>
      <w:r w:rsidR="000B736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անման </w:t>
      </w:r>
      <w:r w:rsidR="00BF3256" w:rsidRPr="00BF32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պահանջների </w:t>
      </w:r>
      <w:r w:rsidR="003F542D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գծով կրկնակի դրույթների </w:t>
      </w:r>
      <w:r w:rsidR="00BF3256" w:rsidRPr="00BF32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առկայությունը:</w:t>
      </w:r>
      <w:r w:rsidR="00BF3256" w:rsidRPr="00BF3256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BF3256" w:rsidRPr="008958CB" w:rsidRDefault="003F542D" w:rsidP="008958CB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9) </w:t>
      </w:r>
      <w:r w:rsidR="00203F1F" w:rsidRPr="00203F1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Սահմանել </w:t>
      </w:r>
      <w:r w:rsidR="00203F1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իրավաբանական կամ անհատ ձեռնարկատերերի նկատմամբ պատասխանատվություն` </w:t>
      </w:r>
      <w:r w:rsidR="008958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մաքսային ստուգման արդյունքում պակաս հաշվարկված կամ չհաշվարկված </w:t>
      </w:r>
      <w:r w:rsidR="008958CB" w:rsidRPr="008958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մաքսային վճարներ</w:t>
      </w:r>
      <w:r w:rsidR="008958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</w:t>
      </w:r>
      <w:r w:rsidR="008958CB" w:rsidRPr="008958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, մաքսային մարմինների կողմից գանձվող այլ հարկեր</w:t>
      </w:r>
      <w:r w:rsidR="008958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</w:t>
      </w:r>
      <w:r w:rsidR="008958CB" w:rsidRPr="008958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, տուրքեր</w:t>
      </w:r>
      <w:r w:rsidR="008958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</w:t>
      </w:r>
      <w:r w:rsidR="008958CB" w:rsidRPr="008958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և վճարներ</w:t>
      </w:r>
      <w:r w:rsidR="008958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 նկատմամբ` 20</w:t>
      </w:r>
      <w:r w:rsidR="008958CB" w:rsidRPr="008958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%-</w:t>
      </w:r>
      <w:r w:rsidR="008958C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 չափով:</w:t>
      </w:r>
    </w:p>
    <w:p w:rsidR="000B736A" w:rsidRDefault="000B736A" w:rsidP="004B2C7A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:rsidR="006F122F" w:rsidRPr="004B2C7A" w:rsidRDefault="006D7252" w:rsidP="006F122F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4. Կարգավորման առարկան.</w:t>
      </w:r>
      <w:r w:rsidR="006F122F" w:rsidRPr="006F122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6F122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Նախագծի կարգավորման առարկան է մաքսային ստուգումների գործընթացի հստակեցումը, մաքսային ստուգման գործընթացում չկարգավորված հարցերի որոշակիացումը, ինչպես նաև իրավախախտումների կանխարգելման ուղղված կարգավորումների սահմանումը</w:t>
      </w:r>
      <w:r w:rsidR="006F122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:   </w:t>
      </w:r>
    </w:p>
    <w:p w:rsidR="000B736A" w:rsidRPr="004B2C7A" w:rsidRDefault="000B736A" w:rsidP="004B2C7A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:rsidR="006D7252" w:rsidRDefault="006D7252" w:rsidP="008B3F27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5.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035346" w:rsidRPr="005163CF" w:rsidRDefault="00035346" w:rsidP="00A60793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5163CF">
        <w:rPr>
          <w:rFonts w:ascii="GHEA Grapalat" w:hAnsi="GHEA Grapalat"/>
          <w:sz w:val="24"/>
          <w:szCs w:val="24"/>
          <w:lang w:val="hy-AM" w:eastAsia="hy-AM"/>
        </w:rPr>
        <w:t>Նախագիծն առնչվում է ՀՀ կառավարության 12</w:t>
      </w:r>
      <w:r w:rsidRPr="005163CF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Pr="005163CF">
        <w:rPr>
          <w:rFonts w:ascii="GHEA Grapalat" w:hAnsi="GHEA Grapalat"/>
          <w:sz w:val="24"/>
          <w:szCs w:val="24"/>
          <w:lang w:val="hy-AM" w:eastAsia="hy-AM"/>
        </w:rPr>
        <w:t>12</w:t>
      </w:r>
      <w:r w:rsidRPr="005163CF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Pr="005163CF">
        <w:rPr>
          <w:rFonts w:ascii="GHEA Grapalat" w:hAnsi="GHEA Grapalat"/>
          <w:sz w:val="24"/>
          <w:szCs w:val="24"/>
          <w:lang w:val="hy-AM" w:eastAsia="hy-AM"/>
        </w:rPr>
        <w:t>2019թ</w:t>
      </w:r>
      <w:r w:rsidRPr="005163CF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Pr="005163CF">
        <w:rPr>
          <w:rFonts w:ascii="GHEA Grapalat" w:hAnsi="GHEA Grapalat"/>
          <w:sz w:val="24"/>
          <w:szCs w:val="24"/>
          <w:lang w:val="hy-AM" w:eastAsia="hy-AM"/>
        </w:rPr>
        <w:t xml:space="preserve"> N1830-Լ որոշմամբ նախատեսված՝ «</w:t>
      </w:r>
      <w:r w:rsidRPr="005163CF">
        <w:rPr>
          <w:rFonts w:ascii="GHEA Grapalat" w:hAnsi="GHEA Grapalat"/>
          <w:bCs/>
          <w:sz w:val="24"/>
          <w:szCs w:val="24"/>
          <w:lang w:val="hy-AM" w:eastAsia="hy-AM"/>
        </w:rPr>
        <w:t xml:space="preserve">2.1.4. Մաքսային հսկողության արդյունավետության բարձրացում» միջոցառմանը, բխում է </w:t>
      </w:r>
      <w:r w:rsidRPr="005163CF">
        <w:rPr>
          <w:rFonts w:ascii="GHEA Grapalat" w:hAnsi="GHEA Grapalat"/>
          <w:sz w:val="24"/>
          <w:szCs w:val="24"/>
          <w:lang w:val="hy-AM" w:eastAsia="hy-AM"/>
        </w:rPr>
        <w:t>2017 թվականի մարտի 22-ին Հայաստանի Հանրապետության կողմից վավ</w:t>
      </w:r>
      <w:r w:rsidR="003E0E9B">
        <w:rPr>
          <w:rFonts w:ascii="GHEA Grapalat" w:hAnsi="GHEA Grapalat"/>
          <w:sz w:val="24"/>
          <w:szCs w:val="24"/>
          <w:lang w:val="hy-AM" w:eastAsia="hy-AM"/>
        </w:rPr>
        <w:t>ե</w:t>
      </w:r>
      <w:r w:rsidRPr="005163CF">
        <w:rPr>
          <w:rFonts w:ascii="GHEA Grapalat" w:hAnsi="GHEA Grapalat"/>
          <w:sz w:val="24"/>
          <w:szCs w:val="24"/>
          <w:lang w:val="hy-AM" w:eastAsia="hy-AM"/>
        </w:rPr>
        <w:t>ր</w:t>
      </w:r>
      <w:r w:rsidR="003E0E9B">
        <w:rPr>
          <w:rFonts w:ascii="GHEA Grapalat" w:hAnsi="GHEA Grapalat"/>
          <w:sz w:val="24"/>
          <w:szCs w:val="24"/>
          <w:lang w:val="hy-AM" w:eastAsia="hy-AM"/>
        </w:rPr>
        <w:t>ա</w:t>
      </w:r>
      <w:r w:rsidRPr="005163CF">
        <w:rPr>
          <w:rFonts w:ascii="GHEA Grapalat" w:hAnsi="GHEA Grapalat"/>
          <w:sz w:val="24"/>
          <w:szCs w:val="24"/>
          <w:lang w:val="hy-AM" w:eastAsia="hy-AM"/>
        </w:rPr>
        <w:t xml:space="preserve">ցված «Առևտրի դյուրացման մասին» համաձայնագրի նպատակներից՝ գործարարության համար խոչընդոտ հանդիսացող կարգավորումների վերացում, մաքսային քաղաքականության պարզեցում, արտաքին առևտրի համար բարենպաստ միջավայրի հաստատում, մաքսային ծառայության կողմից իրականացվող գործառնությունների մակարդակի բարձրացում և բոլոր տնտեսավարողների համար ստանդարտացված գործելակերպի կիրառում: </w:t>
      </w:r>
    </w:p>
    <w:p w:rsidR="00A60793" w:rsidRDefault="00A60793" w:rsidP="008B3F27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:rsidR="006D7252" w:rsidRDefault="006D7252" w:rsidP="008B3F27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6</w:t>
      </w:r>
      <w:r w:rsidRPr="004B2C7A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8B3F27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Նախագծի</w:t>
      </w: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8B3F27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մշակման</w:t>
      </w: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8B3F27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գործընթացում</w:t>
      </w: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8B3F27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ներգրավված</w:t>
      </w: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8B3F27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ինստիտուտները</w:t>
      </w: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8B3F27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և</w:t>
      </w: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8B3F27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անձինք</w:t>
      </w: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. </w:t>
      </w:r>
    </w:p>
    <w:p w:rsidR="00976F6D" w:rsidRPr="005163CF" w:rsidRDefault="00976F6D" w:rsidP="00976F6D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fr-FR" w:eastAsia="hy-AM"/>
        </w:rPr>
      </w:pPr>
      <w:r w:rsidRPr="00976F6D">
        <w:rPr>
          <w:rFonts w:ascii="GHEA Grapalat" w:hAnsi="GHEA Grapalat"/>
          <w:sz w:val="24"/>
          <w:szCs w:val="24"/>
          <w:lang w:val="hy-AM" w:eastAsia="hy-AM"/>
        </w:rPr>
        <w:lastRenderedPageBreak/>
        <w:t>Նախագ</w:t>
      </w:r>
      <w:r w:rsidRPr="005163CF">
        <w:rPr>
          <w:rFonts w:ascii="GHEA Grapalat" w:hAnsi="GHEA Grapalat"/>
          <w:sz w:val="24"/>
          <w:szCs w:val="24"/>
          <w:lang w:val="hy-AM" w:eastAsia="hy-AM"/>
        </w:rPr>
        <w:t>ի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ծը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մշակվել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5163CF">
        <w:rPr>
          <w:rFonts w:ascii="GHEA Grapalat" w:hAnsi="GHEA Grapalat"/>
          <w:sz w:val="24"/>
          <w:szCs w:val="24"/>
          <w:lang w:val="hy-AM" w:eastAsia="hy-AM"/>
        </w:rPr>
        <w:t>է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Հայաստանի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Հանրապետության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պետական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եկամուտների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կոմիտեի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կողմից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>:</w:t>
      </w:r>
    </w:p>
    <w:p w:rsidR="00976F6D" w:rsidRDefault="00976F6D" w:rsidP="004B2C7A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:rsidR="006D7252" w:rsidRDefault="006D7252" w:rsidP="004B2C7A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7. 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976F6D" w:rsidRPr="00976F6D" w:rsidRDefault="00976F6D" w:rsidP="00A60793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976F6D">
        <w:rPr>
          <w:rFonts w:ascii="GHEA Grapalat" w:hAnsi="GHEA Grapalat"/>
          <w:sz w:val="24"/>
          <w:szCs w:val="24"/>
          <w:lang w:val="hy-AM" w:eastAsia="hy-AM"/>
        </w:rPr>
        <w:t>Նախագծի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ընդունմամբ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լրացուցիչ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ֆինանսական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միջոցների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ներգրավման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անհրաժեշտություն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առկա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չէ</w:t>
      </w:r>
      <w:r w:rsidRPr="005163CF">
        <w:rPr>
          <w:rFonts w:ascii="GHEA Grapalat" w:hAnsi="GHEA Grapalat"/>
          <w:sz w:val="24"/>
          <w:szCs w:val="24"/>
          <w:lang w:val="fr-FR" w:eastAsia="hy-AM"/>
        </w:rPr>
        <w:t>: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Նախագծի</w:t>
      </w:r>
      <w:r w:rsidRPr="00976F6D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bCs/>
          <w:sz w:val="24"/>
          <w:szCs w:val="24"/>
          <w:lang w:val="hy-AM" w:eastAsia="hy-AM"/>
        </w:rPr>
        <w:t>ընդունմամբ</w:t>
      </w:r>
      <w:r w:rsidRPr="00976F6D">
        <w:rPr>
          <w:rFonts w:ascii="GHEA Grapalat" w:hAnsi="GHEA Grapalat"/>
          <w:bCs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Հայաստանի</w:t>
      </w:r>
      <w:r w:rsidRPr="00976F6D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sz w:val="24"/>
          <w:szCs w:val="24"/>
          <w:lang w:val="hy-AM" w:eastAsia="hy-AM"/>
        </w:rPr>
        <w:t>Հանրապետության</w:t>
      </w:r>
      <w:r w:rsidRPr="00976F6D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bCs/>
          <w:sz w:val="24"/>
          <w:szCs w:val="24"/>
          <w:lang w:val="hy-AM" w:eastAsia="hy-AM"/>
        </w:rPr>
        <w:t>պետական</w:t>
      </w:r>
      <w:r w:rsidRPr="00976F6D">
        <w:rPr>
          <w:rFonts w:ascii="GHEA Grapalat" w:hAnsi="GHEA Grapalat"/>
          <w:bCs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bCs/>
          <w:sz w:val="24"/>
          <w:szCs w:val="24"/>
          <w:lang w:val="hy-AM" w:eastAsia="hy-AM"/>
        </w:rPr>
        <w:t>բյուջեում</w:t>
      </w:r>
      <w:r w:rsidRPr="00976F6D">
        <w:rPr>
          <w:rFonts w:ascii="GHEA Grapalat" w:hAnsi="GHEA Grapalat"/>
          <w:bCs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bCs/>
          <w:sz w:val="24"/>
          <w:szCs w:val="24"/>
          <w:lang w:val="hy-AM" w:eastAsia="hy-AM"/>
        </w:rPr>
        <w:t>եկամուտների</w:t>
      </w:r>
      <w:r w:rsidR="00035346">
        <w:rPr>
          <w:rFonts w:ascii="GHEA Grapalat" w:hAnsi="GHEA Grapalat"/>
          <w:bCs/>
          <w:sz w:val="24"/>
          <w:szCs w:val="24"/>
          <w:lang w:val="hy-AM" w:eastAsia="hy-AM"/>
        </w:rPr>
        <w:t xml:space="preserve"> և ծախսերի</w:t>
      </w:r>
      <w:r w:rsidRPr="00976F6D">
        <w:rPr>
          <w:rFonts w:ascii="GHEA Grapalat" w:hAnsi="GHEA Grapalat"/>
          <w:bCs/>
          <w:sz w:val="24"/>
          <w:szCs w:val="24"/>
          <w:lang w:val="fr-FR" w:eastAsia="hy-AM"/>
        </w:rPr>
        <w:t xml:space="preserve"> </w:t>
      </w:r>
      <w:r w:rsidRPr="00976F6D">
        <w:rPr>
          <w:rFonts w:ascii="GHEA Grapalat" w:hAnsi="GHEA Grapalat"/>
          <w:bCs/>
          <w:sz w:val="24"/>
          <w:szCs w:val="24"/>
          <w:lang w:val="hy-AM" w:eastAsia="hy-AM"/>
        </w:rPr>
        <w:t>ավելացում</w:t>
      </w:r>
      <w:r w:rsidR="00035346">
        <w:rPr>
          <w:rFonts w:ascii="GHEA Grapalat" w:hAnsi="GHEA Grapalat"/>
          <w:bCs/>
          <w:sz w:val="24"/>
          <w:szCs w:val="24"/>
          <w:lang w:val="hy-AM" w:eastAsia="hy-AM"/>
        </w:rPr>
        <w:t xml:space="preserve"> չի նախատեսվում</w:t>
      </w:r>
      <w:r w:rsidRPr="00976F6D">
        <w:rPr>
          <w:rFonts w:ascii="GHEA Grapalat" w:hAnsi="GHEA Grapalat"/>
          <w:bCs/>
          <w:sz w:val="24"/>
          <w:szCs w:val="24"/>
          <w:lang w:val="hy-AM" w:eastAsia="hy-AM"/>
        </w:rPr>
        <w:t xml:space="preserve">։ </w:t>
      </w:r>
    </w:p>
    <w:p w:rsidR="00976F6D" w:rsidRPr="00976F6D" w:rsidRDefault="00976F6D" w:rsidP="00976F6D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:rsidR="006D7252" w:rsidRPr="004B2C7A" w:rsidRDefault="006D7252" w:rsidP="004B2C7A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8</w:t>
      </w:r>
      <w:r w:rsidRPr="004B2C7A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B2C7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Իրավական ակտի ընդունման արդյունքում ակնկալվող արդյունքը.</w:t>
      </w:r>
    </w:p>
    <w:p w:rsidR="00035346" w:rsidRPr="00035346" w:rsidRDefault="00035346" w:rsidP="00035346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03534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Նախագծի ընդունման արդյունքում ակնկալվում է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մաքսային</w:t>
      </w:r>
      <w:r w:rsidRPr="0003534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վարչարարական գործընթացների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հստակեցում</w:t>
      </w:r>
      <w:r w:rsidRPr="0003534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, մաքսային մարմինների կողմից իրականացվող հսկողության արդյունավետության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բարձրացում:</w:t>
      </w:r>
    </w:p>
    <w:sectPr w:rsidR="00035346" w:rsidRPr="00035346" w:rsidSect="006B0D66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1A11"/>
    <w:multiLevelType w:val="hybridMultilevel"/>
    <w:tmpl w:val="8206932C"/>
    <w:lvl w:ilvl="0" w:tplc="EEE69C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74ACB"/>
    <w:multiLevelType w:val="hybridMultilevel"/>
    <w:tmpl w:val="14DEEF78"/>
    <w:lvl w:ilvl="0" w:tplc="D9A2A608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714" w:hanging="360"/>
      </w:pPr>
    </w:lvl>
    <w:lvl w:ilvl="2" w:tplc="0409001B">
      <w:start w:val="1"/>
      <w:numFmt w:val="lowerRoman"/>
      <w:lvlText w:val="%3."/>
      <w:lvlJc w:val="right"/>
      <w:pPr>
        <w:ind w:left="2434" w:hanging="180"/>
      </w:pPr>
    </w:lvl>
    <w:lvl w:ilvl="3" w:tplc="0409000F">
      <w:start w:val="1"/>
      <w:numFmt w:val="decimal"/>
      <w:lvlText w:val="%4."/>
      <w:lvlJc w:val="left"/>
      <w:pPr>
        <w:ind w:left="3154" w:hanging="360"/>
      </w:pPr>
    </w:lvl>
    <w:lvl w:ilvl="4" w:tplc="04090019">
      <w:start w:val="1"/>
      <w:numFmt w:val="lowerLetter"/>
      <w:lvlText w:val="%5."/>
      <w:lvlJc w:val="left"/>
      <w:pPr>
        <w:ind w:left="3874" w:hanging="360"/>
      </w:pPr>
    </w:lvl>
    <w:lvl w:ilvl="5" w:tplc="0409001B">
      <w:start w:val="1"/>
      <w:numFmt w:val="lowerRoman"/>
      <w:lvlText w:val="%6."/>
      <w:lvlJc w:val="right"/>
      <w:pPr>
        <w:ind w:left="4594" w:hanging="180"/>
      </w:pPr>
    </w:lvl>
    <w:lvl w:ilvl="6" w:tplc="0409000F">
      <w:start w:val="1"/>
      <w:numFmt w:val="decimal"/>
      <w:lvlText w:val="%7."/>
      <w:lvlJc w:val="left"/>
      <w:pPr>
        <w:ind w:left="5314" w:hanging="360"/>
      </w:pPr>
    </w:lvl>
    <w:lvl w:ilvl="7" w:tplc="04090019">
      <w:start w:val="1"/>
      <w:numFmt w:val="lowerLetter"/>
      <w:lvlText w:val="%8."/>
      <w:lvlJc w:val="left"/>
      <w:pPr>
        <w:ind w:left="6034" w:hanging="360"/>
      </w:pPr>
    </w:lvl>
    <w:lvl w:ilvl="8" w:tplc="0409001B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E3"/>
    <w:rsid w:val="00035346"/>
    <w:rsid w:val="00061A65"/>
    <w:rsid w:val="000913E4"/>
    <w:rsid w:val="000B64D0"/>
    <w:rsid w:val="000B736A"/>
    <w:rsid w:val="00107A17"/>
    <w:rsid w:val="00134217"/>
    <w:rsid w:val="00180BE8"/>
    <w:rsid w:val="001975D4"/>
    <w:rsid w:val="001E4507"/>
    <w:rsid w:val="00203F1F"/>
    <w:rsid w:val="00213EE3"/>
    <w:rsid w:val="00223A35"/>
    <w:rsid w:val="00252892"/>
    <w:rsid w:val="00276A15"/>
    <w:rsid w:val="002919B1"/>
    <w:rsid w:val="002C4590"/>
    <w:rsid w:val="002F3871"/>
    <w:rsid w:val="00300A62"/>
    <w:rsid w:val="00332553"/>
    <w:rsid w:val="003809CB"/>
    <w:rsid w:val="00391873"/>
    <w:rsid w:val="003A3EFC"/>
    <w:rsid w:val="003C0919"/>
    <w:rsid w:val="003E0E9B"/>
    <w:rsid w:val="003E5C29"/>
    <w:rsid w:val="003F542D"/>
    <w:rsid w:val="00415E67"/>
    <w:rsid w:val="004312B9"/>
    <w:rsid w:val="0046219B"/>
    <w:rsid w:val="004934FC"/>
    <w:rsid w:val="004B0C65"/>
    <w:rsid w:val="004B2C7A"/>
    <w:rsid w:val="004B7A17"/>
    <w:rsid w:val="005017CC"/>
    <w:rsid w:val="005163CF"/>
    <w:rsid w:val="0052173D"/>
    <w:rsid w:val="00596A4F"/>
    <w:rsid w:val="00596A8F"/>
    <w:rsid w:val="005B0DC1"/>
    <w:rsid w:val="005E127E"/>
    <w:rsid w:val="005E185E"/>
    <w:rsid w:val="005E77F4"/>
    <w:rsid w:val="00617E26"/>
    <w:rsid w:val="00635D50"/>
    <w:rsid w:val="00641C5F"/>
    <w:rsid w:val="00665E32"/>
    <w:rsid w:val="006A5113"/>
    <w:rsid w:val="006B0D66"/>
    <w:rsid w:val="006B25F3"/>
    <w:rsid w:val="006B303A"/>
    <w:rsid w:val="006D7252"/>
    <w:rsid w:val="006D7BE4"/>
    <w:rsid w:val="006F122F"/>
    <w:rsid w:val="00724496"/>
    <w:rsid w:val="00724FDB"/>
    <w:rsid w:val="0073358B"/>
    <w:rsid w:val="00755FA5"/>
    <w:rsid w:val="007834BC"/>
    <w:rsid w:val="007B599D"/>
    <w:rsid w:val="007F0044"/>
    <w:rsid w:val="007F54D7"/>
    <w:rsid w:val="0081402D"/>
    <w:rsid w:val="00877F3B"/>
    <w:rsid w:val="00884560"/>
    <w:rsid w:val="008958CB"/>
    <w:rsid w:val="008B3F27"/>
    <w:rsid w:val="0092616B"/>
    <w:rsid w:val="0094353D"/>
    <w:rsid w:val="00952D29"/>
    <w:rsid w:val="00954190"/>
    <w:rsid w:val="009610EC"/>
    <w:rsid w:val="00975E12"/>
    <w:rsid w:val="00976F6D"/>
    <w:rsid w:val="009A4C84"/>
    <w:rsid w:val="009D65A3"/>
    <w:rsid w:val="009E3147"/>
    <w:rsid w:val="00A27286"/>
    <w:rsid w:val="00A54E7B"/>
    <w:rsid w:val="00A60793"/>
    <w:rsid w:val="00AE7B1B"/>
    <w:rsid w:val="00B46FF4"/>
    <w:rsid w:val="00BB431A"/>
    <w:rsid w:val="00BE0D9F"/>
    <w:rsid w:val="00BF1A72"/>
    <w:rsid w:val="00BF3256"/>
    <w:rsid w:val="00C03ACB"/>
    <w:rsid w:val="00C326A7"/>
    <w:rsid w:val="00C81D7B"/>
    <w:rsid w:val="00CB0644"/>
    <w:rsid w:val="00CC2319"/>
    <w:rsid w:val="00CE7BB1"/>
    <w:rsid w:val="00CF7D35"/>
    <w:rsid w:val="00D03A19"/>
    <w:rsid w:val="00D172ED"/>
    <w:rsid w:val="00D25568"/>
    <w:rsid w:val="00D27E6B"/>
    <w:rsid w:val="00D87024"/>
    <w:rsid w:val="00D923D6"/>
    <w:rsid w:val="00DC6AFC"/>
    <w:rsid w:val="00DD57BB"/>
    <w:rsid w:val="00E2034A"/>
    <w:rsid w:val="00E471B1"/>
    <w:rsid w:val="00E73E97"/>
    <w:rsid w:val="00E8085A"/>
    <w:rsid w:val="00F50B02"/>
    <w:rsid w:val="00F52BBB"/>
    <w:rsid w:val="00FA5B70"/>
    <w:rsid w:val="00FB427E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43560-DBA9-408D-AC58-958D257D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D1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72ED"/>
    <w:rPr>
      <w:b/>
      <w:bCs/>
    </w:rPr>
  </w:style>
  <w:style w:type="character" w:styleId="Emphasis">
    <w:name w:val="Emphasis"/>
    <w:basedOn w:val="DefaultParagraphFont"/>
    <w:uiPriority w:val="20"/>
    <w:qFormat/>
    <w:rsid w:val="00D172ED"/>
    <w:rPr>
      <w:i/>
      <w:iCs/>
    </w:rPr>
  </w:style>
  <w:style w:type="paragraph" w:styleId="ListParagraph">
    <w:name w:val="List Paragraph"/>
    <w:basedOn w:val="Normal"/>
    <w:uiPriority w:val="34"/>
    <w:qFormat/>
    <w:rsid w:val="00FE1992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6D72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E8D3-7A4A-4FD9-B316-46E3E554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Sahakyan Z.</dc:creator>
  <cp:keywords/>
  <dc:description/>
  <cp:lastModifiedBy>Senik Nersisyan V.</cp:lastModifiedBy>
  <cp:revision>2</cp:revision>
  <dcterms:created xsi:type="dcterms:W3CDTF">2024-10-25T13:39:00Z</dcterms:created>
  <dcterms:modified xsi:type="dcterms:W3CDTF">2024-10-25T13:39:00Z</dcterms:modified>
</cp:coreProperties>
</file>