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8CDA" w14:textId="77777777" w:rsidR="00FA12FE" w:rsidRPr="00FA12FE" w:rsidRDefault="00FA12FE" w:rsidP="00BF351F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ՀԻՄՆԱՎՈՐՈՒՄ</w:t>
      </w:r>
    </w:p>
    <w:p w14:paraId="282555F2" w14:textId="7D209A56" w:rsidR="00FA12FE" w:rsidRPr="00D62E5B" w:rsidRDefault="007278D3" w:rsidP="00BF351F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«Հայաստանի Հանրապետության հանրային ծառայությունները կարգավորող հանձնաժողովի 2023 թվականի նոյեմբերի 8-ի №379-Ն որոշման մեջ փոփոխություններ և լրացումներ կատարելու մասին» </w:t>
      </w:r>
      <w:r w:rsidR="00971C6B" w:rsidRPr="00971C6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ՀՀ</w:t>
      </w:r>
      <w:r w:rsidR="00971C6B" w:rsidRPr="00FA12FE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 xml:space="preserve"> հանրային ծառայությունները կարգավորող հանձնաժողովի որոշման նախագծի վերաբերյալ</w:t>
      </w:r>
    </w:p>
    <w:p w14:paraId="065EE2AB" w14:textId="77777777" w:rsidR="005816DD" w:rsidRDefault="005816DD" w:rsidP="005816DD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</w:p>
    <w:p w14:paraId="45D32A1F" w14:textId="61C03212" w:rsidR="00FA12FE" w:rsidRPr="005816DD" w:rsidRDefault="005816DD" w:rsidP="005816DD">
      <w:pPr>
        <w:pStyle w:val="ListParagraph"/>
        <w:numPr>
          <w:ilvl w:val="0"/>
          <w:numId w:val="7"/>
        </w:numPr>
        <w:shd w:val="clear" w:color="auto" w:fill="FFFFFF"/>
        <w:tabs>
          <w:tab w:val="left" w:pos="4111"/>
        </w:tabs>
        <w:spacing w:after="0" w:line="360" w:lineRule="auto"/>
        <w:ind w:left="0" w:hanging="284"/>
        <w:jc w:val="both"/>
        <w:textAlignment w:val="baseline"/>
        <w:rPr>
          <w:rFonts w:ascii="GHEA Grapalat" w:hAnsi="GHEA Grapalat" w:cs="Sylfaen"/>
          <w:b/>
          <w:spacing w:val="-4"/>
          <w:sz w:val="24"/>
          <w:szCs w:val="24"/>
          <w:lang w:val="hy-AM"/>
        </w:rPr>
      </w:pPr>
      <w:r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Ընթացիկ</w:t>
      </w:r>
      <w:r w:rsidRPr="005816DD">
        <w:rPr>
          <w:rFonts w:ascii="Calibri" w:hAnsi="Calibri" w:cs="Calibri"/>
          <w:b/>
          <w:spacing w:val="-4"/>
          <w:sz w:val="24"/>
          <w:szCs w:val="24"/>
          <w:lang w:val="hy-AM"/>
        </w:rPr>
        <w:t> </w:t>
      </w:r>
      <w:r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իրավիճակը,</w:t>
      </w:r>
      <w:r w:rsidRPr="005816DD">
        <w:rPr>
          <w:rFonts w:ascii="Calibri" w:hAnsi="Calibri" w:cs="Calibri"/>
          <w:b/>
          <w:spacing w:val="-4"/>
          <w:sz w:val="24"/>
          <w:szCs w:val="24"/>
          <w:lang w:val="hy-AM"/>
        </w:rPr>
        <w:t> </w:t>
      </w:r>
      <w:r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խնդիրները և ի</w:t>
      </w:r>
      <w:r w:rsidR="00FA12FE" w:rsidRPr="005816DD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րավական ակտի ընդունման անհրաժեշտությունը</w:t>
      </w:r>
    </w:p>
    <w:p w14:paraId="6981FAE3" w14:textId="5CDECD5A" w:rsidR="009606E2" w:rsidRDefault="005723E0" w:rsidP="007278D3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 xml:space="preserve">ՀՀ հանրային ծառայությունները կարգավորող </w:t>
      </w:r>
      <w:r>
        <w:rPr>
          <w:rFonts w:ascii="GHEA Grapalat" w:hAnsi="GHEA Grapalat" w:cs="Sylfaen"/>
          <w:bCs/>
          <w:lang w:val="hy-AM"/>
        </w:rPr>
        <w:t xml:space="preserve">հանձնաժողովի 2019 թվականի դեկտեմբերի 25-ի </w:t>
      </w:r>
      <w:r>
        <w:rPr>
          <w:rFonts w:ascii="GHEA Grapalat" w:hAnsi="GHEA Grapalat"/>
          <w:spacing w:val="-2"/>
          <w:lang w:val="hy-AM"/>
        </w:rPr>
        <w:t xml:space="preserve">№516Ն որոշմամբ սահմանվել են ՀՀ </w:t>
      </w:r>
      <w:r>
        <w:rPr>
          <w:rFonts w:ascii="GHEA Grapalat" w:hAnsi="GHEA Grapalat"/>
          <w:lang w:val="hy-AM"/>
        </w:rPr>
        <w:t>էլեկտրաէներգետիկական մեծածախ շուկայի առևտրային կանոնները, որոնք ուժի մեջ են մտել 2022 թվականի փետրվարի 1-ից։ Համաձայն վերոնշյալ շուկայի առևտրային կանոնների՝ էլեկտրաէներգետիկական շուկայում ներդրվել են գործունեության մրցակցային պայմաններ, իսկ շուկայի մասնակիցները գործունեություն են ծավալում մեծածախ շուկայի տարբեր հատվածներում</w:t>
      </w:r>
      <w:r w:rsidR="005816DD" w:rsidRPr="007278D3">
        <w:rPr>
          <w:rFonts w:ascii="GHEA Grapalat" w:hAnsi="GHEA Grapalat"/>
          <w:lang w:val="hy-AM"/>
        </w:rPr>
        <w:t xml:space="preserve"> </w:t>
      </w:r>
      <w:r w:rsidR="005816DD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բաղադրիչ</w:t>
      </w:r>
      <w:r w:rsidR="005816DD">
        <w:rPr>
          <w:rFonts w:ascii="GHEA Grapalat" w:hAnsi="GHEA Grapalat"/>
          <w:lang w:val="hy-AM"/>
        </w:rPr>
        <w:t>ներում։</w:t>
      </w:r>
      <w:r>
        <w:rPr>
          <w:rFonts w:ascii="GHEA Grapalat" w:hAnsi="GHEA Grapalat"/>
          <w:lang w:val="hy-AM"/>
        </w:rPr>
        <w:t xml:space="preserve"> </w:t>
      </w:r>
      <w:r w:rsidR="00281118">
        <w:rPr>
          <w:rFonts w:ascii="GHEA Grapalat" w:hAnsi="GHEA Grapalat"/>
          <w:lang w:val="hy-AM"/>
        </w:rPr>
        <w:t xml:space="preserve">Բացի այդ, </w:t>
      </w:r>
      <w:r w:rsidR="00F51DCA">
        <w:rPr>
          <w:rFonts w:ascii="GHEA Grapalat" w:hAnsi="GHEA Grapalat"/>
          <w:lang w:val="hy-AM"/>
        </w:rPr>
        <w:t xml:space="preserve">պետական մասնակցությամբ ընկերությունների ֆինանսական հոսքերի </w:t>
      </w:r>
      <w:r w:rsidR="00281118">
        <w:rPr>
          <w:rFonts w:ascii="GHEA Grapalat" w:hAnsi="GHEA Grapalat"/>
          <w:lang w:val="hy-AM"/>
        </w:rPr>
        <w:t>հաշվարկներ</w:t>
      </w:r>
      <w:r w:rsidR="00F51DCA">
        <w:rPr>
          <w:rFonts w:ascii="GHEA Grapalat" w:hAnsi="GHEA Grapalat"/>
          <w:lang w:val="hy-AM"/>
        </w:rPr>
        <w:t xml:space="preserve">ի իրականացման նպատակով անհրաժեշտություն է </w:t>
      </w:r>
      <w:r w:rsidR="0059715C">
        <w:rPr>
          <w:rFonts w:ascii="GHEA Grapalat" w:hAnsi="GHEA Grapalat"/>
          <w:lang w:val="hy-AM"/>
        </w:rPr>
        <w:t>ա</w:t>
      </w:r>
      <w:r w:rsidR="00F51DCA">
        <w:rPr>
          <w:rFonts w:ascii="GHEA Grapalat" w:hAnsi="GHEA Grapalat"/>
          <w:lang w:val="hy-AM"/>
        </w:rPr>
        <w:t>ռաջանում ստանալ տեղեկատվություն</w:t>
      </w:r>
      <w:r w:rsidR="00281118">
        <w:rPr>
          <w:rFonts w:ascii="GHEA Grapalat" w:hAnsi="GHEA Grapalat"/>
          <w:lang w:val="hy-AM"/>
        </w:rPr>
        <w:t xml:space="preserve"> </w:t>
      </w:r>
      <w:r w:rsidR="00F51DCA">
        <w:rPr>
          <w:rFonts w:ascii="GHEA Grapalat" w:hAnsi="GHEA Grapalat"/>
          <w:lang w:val="hy-AM"/>
        </w:rPr>
        <w:t>պետական մասնակցությամբ ընկերություննե</w:t>
      </w:r>
      <w:r w:rsidR="00F51DCA">
        <w:rPr>
          <w:rFonts w:ascii="GHEA Grapalat" w:hAnsi="GHEA Grapalat"/>
          <w:lang w:val="hy-AM"/>
        </w:rPr>
        <w:t>րի</w:t>
      </w:r>
      <w:r w:rsidR="00281118">
        <w:rPr>
          <w:rFonts w:ascii="GHEA Grapalat" w:hAnsi="GHEA Grapalat"/>
          <w:lang w:val="hy-AM"/>
        </w:rPr>
        <w:t xml:space="preserve"> կողմից </w:t>
      </w:r>
      <w:r w:rsidR="00281118" w:rsidRPr="00281118">
        <w:rPr>
          <w:rFonts w:ascii="GHEA Grapalat" w:hAnsi="GHEA Grapalat"/>
          <w:lang w:val="hy-AM"/>
        </w:rPr>
        <w:t>ֆինանսական կազմակերպություններում ավանդադրված գումարների, տրամադրած փոխառությունների դիմաց ստացված տոկոսագումարներ</w:t>
      </w:r>
      <w:r w:rsidR="00F51DCA">
        <w:rPr>
          <w:rFonts w:ascii="GHEA Grapalat" w:hAnsi="GHEA Grapalat"/>
          <w:lang w:val="hy-AM"/>
        </w:rPr>
        <w:t xml:space="preserve">ի </w:t>
      </w:r>
      <w:r w:rsidR="00281118">
        <w:rPr>
          <w:rFonts w:ascii="GHEA Grapalat" w:hAnsi="GHEA Grapalat"/>
          <w:lang w:val="hy-AM"/>
        </w:rPr>
        <w:t>վերաբերյալ</w:t>
      </w:r>
      <w:r w:rsidR="009606E2">
        <w:rPr>
          <w:rFonts w:ascii="GHEA Grapalat" w:hAnsi="GHEA Grapalat"/>
          <w:lang w:val="hy-AM"/>
        </w:rPr>
        <w:t>։ Հ</w:t>
      </w:r>
      <w:r w:rsidR="009606E2">
        <w:rPr>
          <w:rFonts w:ascii="GHEA Grapalat" w:hAnsi="GHEA Grapalat"/>
          <w:lang w:val="hy-AM"/>
        </w:rPr>
        <w:t>անձնաժողովի գործառույթների իրացման նպատակով</w:t>
      </w:r>
      <w:r w:rsidR="009606E2">
        <w:rPr>
          <w:rFonts w:ascii="GHEA Grapalat" w:hAnsi="GHEA Grapalat"/>
          <w:lang w:val="hy-AM"/>
        </w:rPr>
        <w:t xml:space="preserve"> հիշյալ տեղեկատվությունը </w:t>
      </w:r>
      <w:r w:rsidR="009606E2">
        <w:rPr>
          <w:rFonts w:ascii="GHEA Grapalat" w:hAnsi="GHEA Grapalat"/>
          <w:lang w:val="hy-AM"/>
        </w:rPr>
        <w:t>աշխատանքային կարգով ստանալը</w:t>
      </w:r>
      <w:r w:rsidR="00281118">
        <w:rPr>
          <w:rFonts w:ascii="GHEA Grapalat" w:hAnsi="GHEA Grapalat"/>
          <w:lang w:val="hy-AM"/>
        </w:rPr>
        <w:t xml:space="preserve"> պահանջում էր լրացուցիչ ժամանակ։ </w:t>
      </w:r>
      <w:r w:rsidR="001E1BD0">
        <w:rPr>
          <w:rFonts w:ascii="GHEA Grapalat" w:hAnsi="GHEA Grapalat"/>
          <w:lang w:val="hy-AM"/>
        </w:rPr>
        <w:t xml:space="preserve">Աշխատանքային կարգով տեղեկատվություն ստացվում էր նաև </w:t>
      </w:r>
      <w:r w:rsidR="001E1BD0" w:rsidRPr="001E1BD0">
        <w:rPr>
          <w:rFonts w:ascii="GHEA Grapalat" w:hAnsi="GHEA Grapalat"/>
          <w:lang w:val="hy-AM"/>
        </w:rPr>
        <w:t>ջերմային էլեկտրակայանի կողմից, որից առաքվող էլեկտրական էներգիայի (հզորության) սակագինը ենթակա է ճշգրտման կայանի բեռնվածության մակարդակից ելնելով</w:t>
      </w:r>
      <w:r w:rsidR="001E1BD0">
        <w:rPr>
          <w:rFonts w:ascii="GHEA Grapalat" w:hAnsi="GHEA Grapalat"/>
          <w:lang w:val="hy-AM"/>
        </w:rPr>
        <w:t xml:space="preserve">։ </w:t>
      </w:r>
    </w:p>
    <w:p w14:paraId="0827C693" w14:textId="430CFF33" w:rsidR="009606E2" w:rsidRDefault="009606E2" w:rsidP="009606E2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Միաժամանակ, կարգավորվող ընկերությունների կողմից ներկայացվող տեղեկատվությունների ձևերում ընկերությունների կողմից ստացված և վճարված գումարների հանրագումարում ներառվում է ինչպես ավելացված արժեքի հարկով, այնպես էլ առանց դրա վճարված կամ ստացված գումարները, ուստի անհրաժեշտություն էր առաջւացել նշված ցուցանիշներ</w:t>
      </w:r>
      <w:r w:rsidR="006F6B77">
        <w:rPr>
          <w:rFonts w:ascii="GHEA Grapalat" w:hAnsi="GHEA Grapalat"/>
          <w:lang w:val="hy-AM"/>
        </w:rPr>
        <w:t>ով ստացվող տեղեկատվությունը ստանալ առանձնացված տողերով։</w:t>
      </w:r>
    </w:p>
    <w:p w14:paraId="274CF975" w14:textId="32B34F63" w:rsidR="00971C6B" w:rsidRDefault="007B25D1" w:rsidP="007278D3">
      <w:pPr>
        <w:pStyle w:val="ydp9dbd110bmsolistparagraph"/>
        <w:spacing w:before="0" w:beforeAutospacing="0" w:after="0" w:afterAutospacing="0" w:line="336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Ելնելով վերոգրյալից՝ հ</w:t>
      </w:r>
      <w:r w:rsidR="001E1BD0">
        <w:rPr>
          <w:rFonts w:ascii="GHEA Grapalat" w:hAnsi="GHEA Grapalat"/>
          <w:lang w:val="hy-AM"/>
        </w:rPr>
        <w:t xml:space="preserve">իշյալ </w:t>
      </w:r>
      <w:r w:rsidR="007278D3">
        <w:rPr>
          <w:rFonts w:ascii="GHEA Grapalat" w:hAnsi="GHEA Grapalat"/>
          <w:lang w:val="hy-AM"/>
        </w:rPr>
        <w:t xml:space="preserve">տեղեկատվությունների </w:t>
      </w:r>
      <w:r w:rsidR="001E1BD0">
        <w:rPr>
          <w:rFonts w:ascii="GHEA Grapalat" w:hAnsi="GHEA Grapalat"/>
          <w:lang w:val="hy-AM"/>
        </w:rPr>
        <w:t xml:space="preserve">համալիր և հստակ ժամկետներում </w:t>
      </w:r>
      <w:r w:rsidR="007278D3">
        <w:rPr>
          <w:rFonts w:ascii="GHEA Grapalat" w:hAnsi="GHEA Grapalat"/>
          <w:lang w:val="hy-AM"/>
        </w:rPr>
        <w:t>ներկայացման անհրաժեշտությամբ և</w:t>
      </w:r>
      <w:r w:rsidR="007278D3" w:rsidRPr="00472E40">
        <w:rPr>
          <w:rFonts w:ascii="GHEA Grapalat" w:hAnsi="GHEA Grapalat"/>
          <w:lang w:val="hy-AM"/>
        </w:rPr>
        <w:t xml:space="preserve"> </w:t>
      </w:r>
      <w:r w:rsidR="005723E0" w:rsidRPr="00472E40">
        <w:rPr>
          <w:rFonts w:ascii="GHEA Grapalat" w:hAnsi="GHEA Grapalat"/>
          <w:lang w:val="hy-AM"/>
        </w:rPr>
        <w:t xml:space="preserve">ՀՀ </w:t>
      </w:r>
      <w:r w:rsidR="005816DD">
        <w:rPr>
          <w:rFonts w:ascii="GHEA Grapalat" w:hAnsi="GHEA Grapalat"/>
          <w:lang w:val="hy-AM"/>
        </w:rPr>
        <w:t>է</w:t>
      </w:r>
      <w:r w:rsidR="005816DD" w:rsidRPr="005816DD">
        <w:rPr>
          <w:rFonts w:ascii="GHEA Grapalat" w:hAnsi="GHEA Grapalat"/>
          <w:lang w:val="hy-AM"/>
        </w:rPr>
        <w:t>լեկտրաէներգետիկական</w:t>
      </w:r>
      <w:r w:rsidR="005816DD" w:rsidRPr="00472E40">
        <w:rPr>
          <w:rFonts w:ascii="GHEA Grapalat" w:hAnsi="GHEA Grapalat"/>
          <w:lang w:val="hy-AM"/>
        </w:rPr>
        <w:t xml:space="preserve"> </w:t>
      </w:r>
      <w:r w:rsidR="005816DD">
        <w:rPr>
          <w:rFonts w:ascii="GHEA Grapalat" w:hAnsi="GHEA Grapalat"/>
          <w:lang w:val="hy-AM"/>
        </w:rPr>
        <w:t xml:space="preserve">շուկայում </w:t>
      </w:r>
      <w:r w:rsidR="005723E0" w:rsidRPr="00472E40">
        <w:rPr>
          <w:rFonts w:ascii="GHEA Grapalat" w:hAnsi="GHEA Grapalat"/>
          <w:lang w:val="hy-AM"/>
        </w:rPr>
        <w:t>տեղի ունեցող գործընթացների հաշվի առմամբ</w:t>
      </w:r>
      <w:r w:rsidR="007278D3">
        <w:rPr>
          <w:rFonts w:ascii="GHEA Grapalat" w:hAnsi="GHEA Grapalat"/>
          <w:lang w:val="hy-AM"/>
        </w:rPr>
        <w:t xml:space="preserve"> պայմանավորված անհրաժեշտություն է առաջացել </w:t>
      </w:r>
      <w:r w:rsidR="00137C22">
        <w:rPr>
          <w:rFonts w:ascii="GHEA Grapalat" w:hAnsi="GHEA Grapalat"/>
          <w:lang w:val="hy-AM"/>
        </w:rPr>
        <w:t xml:space="preserve">հանձնաժողովի կարիքներին համահունչ </w:t>
      </w:r>
      <w:r w:rsidR="007278D3">
        <w:rPr>
          <w:rFonts w:ascii="GHEA Grapalat" w:hAnsi="GHEA Grapalat"/>
          <w:lang w:val="hy-AM"/>
        </w:rPr>
        <w:t>մշակել է</w:t>
      </w:r>
      <w:r w:rsidR="007278D3" w:rsidRPr="005816DD">
        <w:rPr>
          <w:rFonts w:ascii="GHEA Grapalat" w:hAnsi="GHEA Grapalat"/>
          <w:lang w:val="hy-AM"/>
        </w:rPr>
        <w:t>լեկտրաէներգետիկական</w:t>
      </w:r>
      <w:r w:rsidR="007278D3" w:rsidRPr="00472E40">
        <w:rPr>
          <w:rFonts w:ascii="GHEA Grapalat" w:hAnsi="GHEA Grapalat"/>
          <w:lang w:val="hy-AM"/>
        </w:rPr>
        <w:t xml:space="preserve"> </w:t>
      </w:r>
      <w:r w:rsidR="007278D3">
        <w:rPr>
          <w:rFonts w:ascii="GHEA Grapalat" w:hAnsi="GHEA Grapalat"/>
          <w:lang w:val="hy-AM"/>
        </w:rPr>
        <w:t>շուկայի առանձին մասնակիցների կողմից ներկայացվող</w:t>
      </w:r>
      <w:r w:rsidR="007278D3" w:rsidRPr="001577FB">
        <w:rPr>
          <w:rFonts w:ascii="GHEA Grapalat" w:hAnsi="GHEA Grapalat"/>
          <w:lang w:val="hy-AM"/>
        </w:rPr>
        <w:t xml:space="preserve"> </w:t>
      </w:r>
      <w:r w:rsidR="007278D3">
        <w:rPr>
          <w:rFonts w:ascii="GHEA Grapalat" w:hAnsi="GHEA Grapalat"/>
          <w:lang w:val="hy-AM"/>
        </w:rPr>
        <w:t>տեխնիկատնտեսական տեղեկատվության 2 նոր ձևեր և կատարել խմբագրական բնույթի փոփոխություններ</w:t>
      </w:r>
      <w:r w:rsidR="00137C22">
        <w:rPr>
          <w:rFonts w:ascii="GHEA Grapalat" w:hAnsi="GHEA Grapalat"/>
          <w:lang w:val="hy-AM"/>
        </w:rPr>
        <w:t>։</w:t>
      </w:r>
      <w:r w:rsidR="00472E40">
        <w:rPr>
          <w:rFonts w:ascii="GHEA Grapalat" w:hAnsi="GHEA Grapalat"/>
          <w:lang w:val="hy-AM"/>
        </w:rPr>
        <w:t xml:space="preserve"> </w:t>
      </w:r>
    </w:p>
    <w:p w14:paraId="7A39C7E6" w14:textId="77777777" w:rsidR="00825C40" w:rsidRPr="00281118" w:rsidRDefault="00825C40" w:rsidP="00825C40">
      <w:pPr>
        <w:pStyle w:val="ListParagraph"/>
        <w:shd w:val="clear" w:color="auto" w:fill="FFFFFF"/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</w:p>
    <w:p w14:paraId="74D88901" w14:textId="435A4C9C" w:rsidR="00FA12FE" w:rsidRPr="005816DD" w:rsidRDefault="00FA12FE" w:rsidP="005816DD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hanging="284"/>
        <w:jc w:val="both"/>
        <w:textAlignment w:val="baseline"/>
        <w:rPr>
          <w:rFonts w:ascii="GHEA Grapalat" w:eastAsia="Times New Roman" w:hAnsi="GHEA Grapalat" w:cs="Arian AMU"/>
          <w:sz w:val="24"/>
          <w:szCs w:val="24"/>
        </w:rPr>
      </w:pPr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Կարգավորման</w:t>
      </w:r>
      <w:r w:rsidRPr="005816DD">
        <w:rPr>
          <w:rFonts w:ascii="Calibri" w:eastAsia="Times New Roman" w:hAnsi="Calibri" w:cs="Calibri"/>
          <w:sz w:val="24"/>
          <w:szCs w:val="24"/>
        </w:rPr>
        <w:t> </w:t>
      </w:r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նպատակը</w:t>
      </w:r>
      <w:r w:rsidRPr="005816DD">
        <w:rPr>
          <w:rFonts w:ascii="Calibri" w:eastAsia="Times New Roman" w:hAnsi="Calibri" w:cs="Calibri"/>
          <w:sz w:val="24"/>
          <w:szCs w:val="24"/>
        </w:rPr>
        <w:t> </w:t>
      </w:r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և</w:t>
      </w:r>
      <w:r w:rsidRPr="005816DD">
        <w:rPr>
          <w:rFonts w:ascii="Calibri" w:eastAsia="Times New Roman" w:hAnsi="Calibri" w:cs="Calibri"/>
          <w:sz w:val="24"/>
          <w:szCs w:val="24"/>
        </w:rPr>
        <w:t> </w:t>
      </w:r>
      <w:r w:rsidRPr="005816DD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բնույթը</w:t>
      </w:r>
    </w:p>
    <w:p w14:paraId="320CD7B6" w14:textId="26BEC552" w:rsidR="004E45BB" w:rsidRDefault="00875B8C" w:rsidP="00BF351F">
      <w:pPr>
        <w:spacing w:line="360" w:lineRule="auto"/>
        <w:ind w:firstLine="426"/>
        <w:jc w:val="both"/>
        <w:rPr>
          <w:rFonts w:ascii="GHEA Grapalat" w:eastAsia="Times New Roman" w:hAnsi="GHEA Grapalat" w:cs="Arian AMU"/>
          <w:sz w:val="24"/>
          <w:szCs w:val="24"/>
          <w:lang w:val="hy-AM"/>
        </w:rPr>
      </w:pPr>
      <w:r w:rsidRPr="00BF351F">
        <w:rPr>
          <w:rFonts w:ascii="GHEA Grapalat" w:hAnsi="GHEA Grapalat"/>
          <w:sz w:val="24"/>
          <w:szCs w:val="24"/>
          <w:lang w:val="hy-AM"/>
        </w:rPr>
        <w:t xml:space="preserve">ՀՀ հանրային ծառայություները կարգավորող հանձնաժողով տեղեկատվությունների ներկայացման </w:t>
      </w:r>
      <w:r w:rsidR="00BF351F" w:rsidRPr="00BF351F">
        <w:rPr>
          <w:rFonts w:ascii="GHEA Grapalat" w:hAnsi="GHEA Grapalat"/>
          <w:sz w:val="24"/>
          <w:szCs w:val="24"/>
          <w:lang w:val="hy-AM"/>
        </w:rPr>
        <w:t xml:space="preserve">բարելավված </w:t>
      </w:r>
      <w:r w:rsidRPr="00BF351F">
        <w:rPr>
          <w:rFonts w:ascii="GHEA Grapalat" w:hAnsi="GHEA Grapalat"/>
          <w:sz w:val="24"/>
          <w:szCs w:val="24"/>
          <w:lang w:val="hy-AM"/>
        </w:rPr>
        <w:t>ձևերի</w:t>
      </w:r>
      <w:r w:rsidR="00BF351F" w:rsidRPr="00BF35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F351F">
        <w:rPr>
          <w:rFonts w:ascii="GHEA Grapalat" w:hAnsi="GHEA Grapalat"/>
          <w:sz w:val="24"/>
          <w:szCs w:val="24"/>
          <w:lang w:val="hy-AM"/>
        </w:rPr>
        <w:t>նպատակը</w:t>
      </w:r>
      <w:r w:rsidR="00137C2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06E2">
        <w:rPr>
          <w:rFonts w:ascii="GHEA Grapalat" w:hAnsi="GHEA Grapalat"/>
          <w:sz w:val="24"/>
          <w:szCs w:val="24"/>
          <w:lang w:val="hy-AM"/>
        </w:rPr>
        <w:t>կարգավորվող ընկերությունների ֆինանսատնտեսական ցուցանիշների</w:t>
      </w:r>
      <w:r w:rsidRPr="00BF351F">
        <w:rPr>
          <w:rFonts w:ascii="GHEA Grapalat" w:hAnsi="GHEA Grapalat"/>
          <w:sz w:val="24"/>
          <w:szCs w:val="24"/>
          <w:lang w:val="hy-AM"/>
        </w:rPr>
        <w:t xml:space="preserve"> վերլուծությունների և ուսումնասիրությունների ն</w:t>
      </w:r>
      <w:r w:rsidR="00E34D2A" w:rsidRPr="00BF351F">
        <w:rPr>
          <w:rFonts w:ascii="GHEA Grapalat" w:hAnsi="GHEA Grapalat"/>
          <w:sz w:val="24"/>
          <w:szCs w:val="24"/>
          <w:lang w:val="hy-AM"/>
        </w:rPr>
        <w:t>պ</w:t>
      </w:r>
      <w:r w:rsidRPr="00BF351F">
        <w:rPr>
          <w:rFonts w:ascii="GHEA Grapalat" w:hAnsi="GHEA Grapalat"/>
          <w:sz w:val="24"/>
          <w:szCs w:val="24"/>
          <w:lang w:val="hy-AM"/>
        </w:rPr>
        <w:t>ատակով առավել ամբողջական և ընդգրկու</w:t>
      </w:r>
      <w:r w:rsidR="00E34D2A" w:rsidRPr="00BF351F">
        <w:rPr>
          <w:rFonts w:ascii="GHEA Grapalat" w:hAnsi="GHEA Grapalat"/>
          <w:sz w:val="24"/>
          <w:szCs w:val="24"/>
          <w:lang w:val="hy-AM"/>
        </w:rPr>
        <w:t>ն</w:t>
      </w:r>
      <w:r w:rsidRPr="00BF351F">
        <w:rPr>
          <w:rFonts w:ascii="GHEA Grapalat" w:hAnsi="GHEA Grapalat"/>
          <w:sz w:val="24"/>
          <w:szCs w:val="24"/>
          <w:lang w:val="hy-AM"/>
        </w:rPr>
        <w:t xml:space="preserve">  տեղեկատվության հավաքագրումն է</w:t>
      </w:r>
      <w:r w:rsidR="004E45BB" w:rsidRPr="00BF351F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BF351F">
        <w:rPr>
          <w:rFonts w:ascii="GHEA Grapalat" w:hAnsi="GHEA Grapalat"/>
          <w:sz w:val="24"/>
          <w:szCs w:val="24"/>
          <w:lang w:val="hy-AM"/>
        </w:rPr>
        <w:t>տեղեկատվության ներկայացման պահանջների հստակեցումը</w:t>
      </w:r>
      <w:r w:rsidR="00825C40">
        <w:rPr>
          <w:rFonts w:ascii="GHEA Grapalat" w:hAnsi="GHEA Grapalat"/>
          <w:sz w:val="24"/>
          <w:szCs w:val="24"/>
          <w:lang w:val="hy-AM"/>
        </w:rPr>
        <w:t xml:space="preserve"> և տեխնիկատնտեսական ձևերի շարունակական բարելավումը</w:t>
      </w:r>
      <w:r w:rsidR="00FA12FE" w:rsidRPr="00BF351F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</w:p>
    <w:p w14:paraId="44BAA542" w14:textId="77777777" w:rsidR="00362DF5" w:rsidRDefault="00362DF5" w:rsidP="00362DF5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</w:p>
    <w:p w14:paraId="31BC2DC5" w14:textId="4DBF7364" w:rsidR="00FA12FE" w:rsidRPr="007278D3" w:rsidRDefault="00FA12FE" w:rsidP="00BF351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</w:pP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Նախագծի</w:t>
      </w:r>
      <w:r w:rsidRPr="007278D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մշակման</w:t>
      </w:r>
      <w:r w:rsidRPr="007278D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գործընթացում</w:t>
      </w:r>
      <w:r w:rsidRPr="007278D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ներգրավված</w:t>
      </w:r>
      <w:r w:rsidRPr="007278D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ինստիտուտները</w:t>
      </w:r>
      <w:r w:rsidRPr="007278D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Pr="007278D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>ան</w:t>
      </w:r>
      <w:r w:rsidRPr="007278D3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softHyphen/>
        <w:t>ձինք</w:t>
      </w:r>
    </w:p>
    <w:p w14:paraId="1B34B171" w14:textId="0B27AFEC" w:rsidR="00FA12FE" w:rsidRDefault="00FA12FE" w:rsidP="00BF351F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F351F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հանրային ծառայությունները կարգավորող հանձնաժողովի կողմից:</w:t>
      </w:r>
    </w:p>
    <w:p w14:paraId="2C61A6B3" w14:textId="4748572C" w:rsidR="004E45BB" w:rsidRDefault="00FA12FE" w:rsidP="00BF351F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</w:pPr>
      <w:r w:rsidRPr="007278D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Ակնկալվող</w:t>
      </w:r>
      <w:r w:rsidRPr="00FA12FE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D62E5B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</w:rPr>
        <w:t>արդյունքը</w:t>
      </w:r>
    </w:p>
    <w:p w14:paraId="3944F2C6" w14:textId="4B8AC2B3" w:rsidR="008E5D6E" w:rsidRPr="00BF351F" w:rsidRDefault="008E5D6E" w:rsidP="00BF351F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BF351F">
        <w:rPr>
          <w:rFonts w:ascii="GHEA Grapalat" w:hAnsi="GHEA Grapalat"/>
          <w:sz w:val="24"/>
          <w:szCs w:val="24"/>
          <w:lang w:val="hy-AM"/>
        </w:rPr>
        <w:t xml:space="preserve">ՀՀ հանրային ծառայություները կարգավորող հանձնաժողով տեղեկատվությունների ներկայացման կարգի և ձևերի </w:t>
      </w:r>
      <w:r w:rsidR="004E45BB" w:rsidRPr="00BF351F">
        <w:rPr>
          <w:rFonts w:ascii="GHEA Grapalat" w:hAnsi="GHEA Grapalat"/>
          <w:sz w:val="24"/>
          <w:szCs w:val="24"/>
          <w:lang w:val="hy-AM"/>
        </w:rPr>
        <w:t>կատարելագործման</w:t>
      </w:r>
      <w:r w:rsidRPr="00BF351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62E5B" w:rsidRPr="00BF351F">
        <w:rPr>
          <w:rFonts w:ascii="GHEA Grapalat" w:hAnsi="GHEA Grapalat"/>
          <w:sz w:val="24"/>
          <w:szCs w:val="24"/>
          <w:lang w:val="hy-AM"/>
        </w:rPr>
        <w:t>հստակեցման արդյունքում կընդլայնվի ու կհստակեցվի  կարգավորման գործընթացների համար անհրաժեշտ տեղեկատվությունը, ինչպես նաև հաշվի կառնվեն էներգետիկայի բնագ</w:t>
      </w:r>
      <w:r w:rsidR="00BF351F">
        <w:rPr>
          <w:rFonts w:ascii="GHEA Grapalat" w:hAnsi="GHEA Grapalat"/>
          <w:sz w:val="24"/>
          <w:szCs w:val="24"/>
          <w:lang w:val="hy-AM"/>
        </w:rPr>
        <w:t>ա</w:t>
      </w:r>
      <w:r w:rsidR="00D62E5B" w:rsidRPr="00BF351F">
        <w:rPr>
          <w:rFonts w:ascii="GHEA Grapalat" w:hAnsi="GHEA Grapalat"/>
          <w:sz w:val="24"/>
          <w:szCs w:val="24"/>
          <w:lang w:val="hy-AM"/>
        </w:rPr>
        <w:t xml:space="preserve">վառում </w:t>
      </w:r>
      <w:r w:rsidR="00BF351F">
        <w:rPr>
          <w:rFonts w:ascii="GHEA Grapalat" w:hAnsi="GHEA Grapalat"/>
          <w:sz w:val="24"/>
          <w:szCs w:val="24"/>
          <w:lang w:val="hy-AM"/>
        </w:rPr>
        <w:t>սակագնային քաղաքականության և շուկայի ազատականացման</w:t>
      </w:r>
      <w:r w:rsidR="00D62E5B" w:rsidRPr="00BF351F">
        <w:rPr>
          <w:rFonts w:ascii="GHEA Grapalat" w:hAnsi="GHEA Grapalat"/>
          <w:sz w:val="24"/>
          <w:szCs w:val="24"/>
          <w:lang w:val="hy-AM"/>
        </w:rPr>
        <w:t xml:space="preserve"> գործընթացների բարելավմամբ պայմանավորված վերջին տարիներին տեղի ունեցած փոփոխությունները։</w:t>
      </w:r>
    </w:p>
    <w:sectPr w:rsidR="008E5D6E" w:rsidRPr="00BF351F" w:rsidSect="00BF351F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CC"/>
    <w:family w:val="auto"/>
    <w:pitch w:val="variable"/>
    <w:sig w:usb0="A1002EAF" w:usb1="4000000A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048E"/>
    <w:multiLevelType w:val="multilevel"/>
    <w:tmpl w:val="F704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33BC0"/>
    <w:multiLevelType w:val="multilevel"/>
    <w:tmpl w:val="F18E6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D3550"/>
    <w:multiLevelType w:val="hybridMultilevel"/>
    <w:tmpl w:val="F6047FBC"/>
    <w:lvl w:ilvl="0" w:tplc="B2CA79A8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01E16"/>
    <w:multiLevelType w:val="hybridMultilevel"/>
    <w:tmpl w:val="D2963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7B36"/>
    <w:multiLevelType w:val="multilevel"/>
    <w:tmpl w:val="317CE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1058E"/>
    <w:multiLevelType w:val="multilevel"/>
    <w:tmpl w:val="848C8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A44C4"/>
    <w:multiLevelType w:val="multilevel"/>
    <w:tmpl w:val="CF8CE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FE"/>
    <w:rsid w:val="00134E8F"/>
    <w:rsid w:val="00137C22"/>
    <w:rsid w:val="001E1BD0"/>
    <w:rsid w:val="0021785E"/>
    <w:rsid w:val="00226ADA"/>
    <w:rsid w:val="00281118"/>
    <w:rsid w:val="00334490"/>
    <w:rsid w:val="00362DF5"/>
    <w:rsid w:val="00472E40"/>
    <w:rsid w:val="004D7D50"/>
    <w:rsid w:val="004E45BB"/>
    <w:rsid w:val="00542F1E"/>
    <w:rsid w:val="005723E0"/>
    <w:rsid w:val="005816DD"/>
    <w:rsid w:val="0059715C"/>
    <w:rsid w:val="00652975"/>
    <w:rsid w:val="006F6B77"/>
    <w:rsid w:val="007278D3"/>
    <w:rsid w:val="007A11D3"/>
    <w:rsid w:val="007A488E"/>
    <w:rsid w:val="007B25D1"/>
    <w:rsid w:val="00825C40"/>
    <w:rsid w:val="00875B8C"/>
    <w:rsid w:val="008E5D6E"/>
    <w:rsid w:val="008F6698"/>
    <w:rsid w:val="0091094E"/>
    <w:rsid w:val="009606E2"/>
    <w:rsid w:val="00971C6B"/>
    <w:rsid w:val="00AB717A"/>
    <w:rsid w:val="00B13BBB"/>
    <w:rsid w:val="00BF351F"/>
    <w:rsid w:val="00C11C8E"/>
    <w:rsid w:val="00C76305"/>
    <w:rsid w:val="00D62E5B"/>
    <w:rsid w:val="00DD2CAA"/>
    <w:rsid w:val="00E34D2A"/>
    <w:rsid w:val="00ED5861"/>
    <w:rsid w:val="00F51DCA"/>
    <w:rsid w:val="00F76F95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BEFD"/>
  <w15:chartTrackingRefBased/>
  <w15:docId w15:val="{4DAD745A-A7F7-4E77-A75D-D496879C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12FE"/>
    <w:rPr>
      <w:b/>
      <w:bCs/>
    </w:rPr>
  </w:style>
  <w:style w:type="paragraph" w:styleId="ListParagraph">
    <w:name w:val="List Paragraph"/>
    <w:basedOn w:val="Normal"/>
    <w:uiPriority w:val="34"/>
    <w:qFormat/>
    <w:rsid w:val="00875B8C"/>
    <w:pPr>
      <w:ind w:left="720"/>
      <w:contextualSpacing/>
    </w:pPr>
  </w:style>
  <w:style w:type="paragraph" w:customStyle="1" w:styleId="ydp9dbd110bmsolistparagraph">
    <w:name w:val="ydp9dbd110bmsolistparagraph"/>
    <w:basedOn w:val="Normal"/>
    <w:rsid w:val="007278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Momjyan</dc:creator>
  <cp:keywords/>
  <dc:description/>
  <cp:lastModifiedBy>Mariam Momjyan</cp:lastModifiedBy>
  <cp:revision>14</cp:revision>
  <dcterms:created xsi:type="dcterms:W3CDTF">2024-08-13T12:17:00Z</dcterms:created>
  <dcterms:modified xsi:type="dcterms:W3CDTF">2024-09-04T08:22:00Z</dcterms:modified>
</cp:coreProperties>
</file>