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E215" w14:textId="57980978" w:rsidR="00FE7826" w:rsidRPr="00766B9B" w:rsidRDefault="00FE7826" w:rsidP="00A36F51">
      <w:pPr>
        <w:spacing w:after="0" w:line="276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766B9B">
        <w:rPr>
          <w:rFonts w:ascii="GHEA Grapalat" w:hAnsi="GHEA Grapalat" w:cs="Sylfaen"/>
          <w:sz w:val="20"/>
          <w:szCs w:val="20"/>
          <w:lang w:val="hy-AM"/>
        </w:rPr>
        <w:t>Հավելված 1</w:t>
      </w:r>
      <w:r w:rsidRPr="00766B9B">
        <w:rPr>
          <w:rFonts w:ascii="GHEA Grapalat" w:hAnsi="GHEA Grapalat" w:cs="Sylfaen"/>
          <w:sz w:val="20"/>
          <w:szCs w:val="20"/>
          <w:lang w:val="hy-AM"/>
        </w:rPr>
        <w:br/>
        <w:t>ՀՀ կառավարության 2024 թվականի</w:t>
      </w:r>
      <w:r w:rsidRPr="00766B9B">
        <w:rPr>
          <w:rFonts w:ascii="GHEA Grapalat" w:hAnsi="GHEA Grapalat" w:cs="Sylfaen"/>
          <w:sz w:val="20"/>
          <w:szCs w:val="20"/>
          <w:lang w:val="hy-AM"/>
        </w:rPr>
        <w:br/>
      </w:r>
      <w:r w:rsidRPr="00766B9B">
        <w:rPr>
          <w:rFonts w:ascii="GHEA Grapalat" w:hAnsi="GHEA Grapalat" w:cs="Sylfaen"/>
          <w:sz w:val="20"/>
          <w:szCs w:val="20"/>
          <w:lang w:val="en-US"/>
        </w:rPr>
        <w:t>________</w:t>
      </w:r>
      <w:r w:rsidR="00766B9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66B9B">
        <w:rPr>
          <w:rFonts w:ascii="GHEA Grapalat" w:hAnsi="GHEA Grapalat" w:cs="Sylfaen"/>
          <w:sz w:val="20"/>
          <w:szCs w:val="20"/>
          <w:lang w:val="en-US"/>
        </w:rPr>
        <w:t>__</w:t>
      </w:r>
      <w:r w:rsidR="00766B9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766B9B">
        <w:rPr>
          <w:rFonts w:ascii="GHEA Grapalat" w:hAnsi="GHEA Grapalat" w:cs="Sylfaen"/>
          <w:sz w:val="20"/>
          <w:szCs w:val="20"/>
          <w:lang w:val="hy-AM"/>
        </w:rPr>
        <w:t>N -Լ որոշման</w:t>
      </w:r>
    </w:p>
    <w:p w14:paraId="2200F667" w14:textId="77777777" w:rsidR="00FE7826" w:rsidRPr="00A06ABD" w:rsidRDefault="00FE7826" w:rsidP="00A36F51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19F99ECB" w14:textId="77777777" w:rsidR="00FE7826" w:rsidRPr="00A06ABD" w:rsidRDefault="00FE7826" w:rsidP="00A36F5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6ABD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Pr="00A06A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>ԱՌՈՂՋԱՊԱՀՈՒԹՅԱՆ</w:t>
      </w:r>
      <w:r w:rsidRPr="00A06A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>ԱՆՎՏԱՆԳՈՒԹՅԱՆ</w:t>
      </w:r>
      <w:r w:rsidRPr="00A06A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>ԱԶԳԱՅԻՆ</w:t>
      </w:r>
      <w:r w:rsidRPr="00A06A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>ԳՈՐԾՈՂՈՒԹՅՈՒՆՆԵՐԻ</w:t>
      </w:r>
      <w:r w:rsidRPr="00A06A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14:paraId="184D8F44" w14:textId="77777777" w:rsidR="00FE7826" w:rsidRPr="00A06ABD" w:rsidRDefault="00FE7826" w:rsidP="00A36F5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1.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 xml:space="preserve"> ՆԵՐԱԾՈՒԹՅՈՒՆ</w:t>
      </w:r>
    </w:p>
    <w:p w14:paraId="727DDC0C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Վերջին տասնամյակներում աշխարհում հանրային առողջության սպառնալիքներին և մարտահրավերներին դիմակայելու նպատակով, 2005 թվականին ընդունվել և 2007 թվականից ուժի մեջ են մտել Միջազգային առողջապահական (բժշկասանիտարական) կանոնները (այսուհետ` ՄԱԿ):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</w:p>
    <w:p w14:paraId="616FA8FA" w14:textId="2B5F9E1F" w:rsidR="00FE7826" w:rsidRPr="00155451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5451">
        <w:rPr>
          <w:rFonts w:ascii="GHEA Grapalat" w:hAnsi="GHEA Grapalat" w:cs="Sylfaen"/>
          <w:sz w:val="24"/>
          <w:szCs w:val="24"/>
          <w:lang w:val="hy-AM"/>
        </w:rPr>
        <w:t>ՄԱԿ-ն իրեն</w:t>
      </w:r>
      <w:r w:rsidR="00294233" w:rsidRPr="00155451">
        <w:rPr>
          <w:rFonts w:ascii="GHEA Grapalat" w:hAnsi="GHEA Grapalat" w:cs="Sylfaen"/>
          <w:sz w:val="24"/>
          <w:szCs w:val="24"/>
          <w:lang w:val="hy-AM"/>
        </w:rPr>
        <w:t>ց</w:t>
      </w:r>
      <w:r w:rsidRPr="00155451">
        <w:rPr>
          <w:rFonts w:ascii="GHEA Grapalat" w:hAnsi="GHEA Grapalat" w:cs="Sylfaen"/>
          <w:sz w:val="24"/>
          <w:szCs w:val="24"/>
          <w:lang w:val="hy-AM"/>
        </w:rPr>
        <w:t>ից ներկայացնում են պահանջներ՝ հանրային առողջապահության ոլորտում միջազգային նշանակության արտակարգ իրավիճակ ներկայացնող դեպքերի, իրադարձությունների վաղ հայտնաբերման և արագ արձագանքման համար: Աշխարհի 196 երկիր պարտավորվել են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55451">
        <w:rPr>
          <w:rFonts w:ascii="GHEA Grapalat" w:hAnsi="GHEA Grapalat" w:cs="Sylfaen"/>
          <w:sz w:val="24"/>
          <w:szCs w:val="24"/>
          <w:lang w:val="hy-AM"/>
        </w:rPr>
        <w:t>ներդնել սույն կանոնները, այդ թվում՝ Հայաստանի Հանրապետությունը (այսուհետ` նաև ՀՀ):</w:t>
      </w:r>
      <w:r w:rsidR="00766B9B">
        <w:rPr>
          <w:rFonts w:ascii="Calibri" w:hAnsi="Calibri" w:cs="Calibri"/>
          <w:sz w:val="24"/>
          <w:szCs w:val="24"/>
          <w:lang w:val="hy-AM"/>
        </w:rPr>
        <w:t xml:space="preserve"> </w:t>
      </w:r>
    </w:p>
    <w:p w14:paraId="13B258F6" w14:textId="1143E504" w:rsidR="00FE7826" w:rsidRPr="00155451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ՄԱԿ-ի հարցերով ազգային համակարգող </w:t>
      </w:r>
      <w:r w:rsidR="00294233" w:rsidRPr="00155451">
        <w:rPr>
          <w:rFonts w:ascii="GHEA Grapalat" w:hAnsi="GHEA Grapalat" w:cs="Sylfaen"/>
          <w:sz w:val="24"/>
          <w:szCs w:val="24"/>
          <w:lang w:val="hy-AM"/>
        </w:rPr>
        <w:t xml:space="preserve">մարմին է </w:t>
      </w:r>
      <w:r w:rsidRPr="00155451">
        <w:rPr>
          <w:rFonts w:ascii="GHEA Grapalat" w:hAnsi="GHEA Grapalat" w:cs="Sylfaen"/>
          <w:sz w:val="24"/>
          <w:szCs w:val="24"/>
          <w:lang w:val="hy-AM"/>
        </w:rPr>
        <w:t>ճանաչվել Առողջապահության նախարարությունը</w:t>
      </w:r>
      <w:r w:rsidR="00BD2074" w:rsidRPr="00155451">
        <w:rPr>
          <w:rFonts w:ascii="GHEA Grapalat" w:hAnsi="GHEA Grapalat" w:cs="Sylfaen"/>
          <w:sz w:val="24"/>
          <w:szCs w:val="24"/>
          <w:lang w:val="hy-AM"/>
        </w:rPr>
        <w:t>:</w:t>
      </w: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 ՄԱԿ-ի ներդրման համատեքստում ընդունվել և գործադրվել է շուրջ 17 ռազմավարական, նպատակային ծրագիր, շուրջ 400 իրավական ակտ, որոնց հիման վրա</w:t>
      </w:r>
      <w:r w:rsidR="00294233" w:rsidRPr="00155451">
        <w:rPr>
          <w:rFonts w:ascii="GHEA Grapalat" w:hAnsi="GHEA Grapalat" w:cs="Sylfaen"/>
          <w:sz w:val="24"/>
          <w:szCs w:val="24"/>
          <w:lang w:val="hy-AM"/>
        </w:rPr>
        <w:t xml:space="preserve"> երկրում</w:t>
      </w:r>
      <w:r w:rsidR="00BD2074" w:rsidRPr="001554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4233" w:rsidRPr="001554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 առողջապահական (բժշկասանիտարական) կանոնների կիրառման հարցերով,</w:t>
      </w: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 ձևավորվել են համապատասխան կարողություններ: ՀՀ վարչապետի 2013 թվականի հունվարի 17-ի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N 22-Ա որոշմամբ ստեղծվել է </w:t>
      </w:r>
      <w:r w:rsidR="00294233" w:rsidRPr="00155451">
        <w:rPr>
          <w:rFonts w:ascii="GHEA Grapalat" w:hAnsi="GHEA Grapalat" w:cs="Sylfaen"/>
          <w:sz w:val="24"/>
          <w:szCs w:val="24"/>
          <w:lang w:val="hy-AM"/>
        </w:rPr>
        <w:t xml:space="preserve">Միջազգային առողջապահական (բժշկասանիտարական) կանոնների կիրառման հարցերով </w:t>
      </w:r>
      <w:r w:rsidRPr="00155451">
        <w:rPr>
          <w:rFonts w:ascii="GHEA Grapalat" w:hAnsi="GHEA Grapalat" w:cs="Sylfaen"/>
          <w:sz w:val="24"/>
          <w:szCs w:val="24"/>
          <w:lang w:val="hy-AM"/>
        </w:rPr>
        <w:t>միջգերատեսչական հանձնաժողով</w:t>
      </w:r>
      <w:r w:rsidR="00BD2074" w:rsidRPr="00155451">
        <w:rPr>
          <w:rFonts w:ascii="GHEA Grapalat" w:hAnsi="GHEA Grapalat" w:cs="Sylfaen"/>
          <w:sz w:val="24"/>
          <w:szCs w:val="24"/>
          <w:lang w:val="hy-AM"/>
        </w:rPr>
        <w:t>:</w:t>
      </w: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C0B9C8D" w14:textId="740889F9" w:rsidR="00FE7826" w:rsidRPr="00A06ABD" w:rsidRDefault="00BD2074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5451">
        <w:rPr>
          <w:rFonts w:ascii="GHEA Grapalat" w:hAnsi="GHEA Grapalat" w:cs="Sylfaen"/>
          <w:sz w:val="24"/>
          <w:szCs w:val="24"/>
          <w:lang w:val="hy-AM"/>
        </w:rPr>
        <w:t xml:space="preserve">ՄԱԿ-ի ներդրման շրջանակներում զարգացվել </w:t>
      </w:r>
      <w:r w:rsidR="00FE7826" w:rsidRPr="00155451">
        <w:rPr>
          <w:rFonts w:ascii="GHEA Grapalat" w:hAnsi="GHEA Grapalat" w:cs="Sylfaen"/>
          <w:sz w:val="24"/>
          <w:szCs w:val="24"/>
          <w:lang w:val="hy-AM"/>
        </w:rPr>
        <w:t>են վարակիչ հիվանդությունների, քիմիական թունավորումների և ճառագայթային ախտահարումների համաճարակաբանական դիտարկման համակարգերը,</w:t>
      </w:r>
      <w:r w:rsidR="00766B9B">
        <w:rPr>
          <w:rFonts w:ascii="GHEA Grapalat" w:hAnsi="GHEA Grapalat" w:cs="Arial"/>
          <w:color w:val="666666"/>
          <w:sz w:val="24"/>
          <w:szCs w:val="24"/>
          <w:shd w:val="clear" w:color="auto" w:fill="F8F8F8"/>
        </w:rPr>
        <w:t xml:space="preserve"> </w:t>
      </w:r>
      <w:r w:rsidR="00FE7826" w:rsidRPr="00155451">
        <w:rPr>
          <w:rFonts w:ascii="GHEA Grapalat" w:hAnsi="GHEA Grapalat" w:cs="Sylfaen"/>
          <w:sz w:val="24"/>
          <w:szCs w:val="24"/>
          <w:lang w:val="hy-AM"/>
        </w:rPr>
        <w:t>իրականացվել են ՄԱԿ-ի վերաբերյալ իրազեկման աշխատանքներ` առանձին կառույցների և բնակչության առանձին խմբերի շրջանում: Զգալի աշխատանք է իրականացվել մարդկային ռեսուրս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ների զարգացման ուղղությամբ, նշանակվել են ՄԱԿ-ով պահանջվող կարողություններ ապահովող սահմանային անցման կետեր:</w:t>
      </w:r>
    </w:p>
    <w:p w14:paraId="24819621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lastRenderedPageBreak/>
        <w:t>Շարունակականորեն ներդրվել է «Մեկ առողջություն» մոտեցումը՝ զոոնոզ հիվանդությունների կանխարգելման ուղղությամբ: Ամբողջությամբ միջազգային մոտեցումներին համահունչ զարգացվել են լաբորատոր կարողությունները:</w:t>
      </w:r>
    </w:p>
    <w:p w14:paraId="52BE0D25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ՄԱԿ-ի ներդրման և զարգացման գործընթացը շարունակական գործընթաց է: Հատկապես ՄԱԿ-ի վերանայման համար լուրջ խթան հանդիսացավ կորոնավիրուսային հիվանդության (COVID-19) համավարակը, որն ի ցույց դրեց բազմաթիվ բացթողումներ հանրային առողջապահության և ՄԱԿ-ի կիրառման բնագավառում:</w:t>
      </w:r>
    </w:p>
    <w:p w14:paraId="600B3116" w14:textId="0FDE6BE8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 Որպես ՄԱԿ-ի ներդրման հաջորդ փուլ մշակվել է հանրային առողջապահության անվտանգության ազգային գործողությունների ծրագիրը (այսուհետ` Ծրագիր):</w:t>
      </w:r>
      <w:r w:rsidR="00766B9B">
        <w:rPr>
          <w:rFonts w:ascii="Calibri" w:hAnsi="Calibri" w:cs="Calibri"/>
          <w:sz w:val="24"/>
          <w:szCs w:val="24"/>
          <w:lang w:val="hy-AM"/>
        </w:rPr>
        <w:t xml:space="preserve"> </w:t>
      </w:r>
    </w:p>
    <w:p w14:paraId="58727B48" w14:textId="09C99E96" w:rsidR="000F45D6" w:rsidRPr="00A06ABD" w:rsidRDefault="000F45D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2016 թվականին անկախ միջազգային փորձագետների կողմից իրականացվել է համատեղ արտաքին գնահատում՝ ՄԱԿ-ի ներդրման գործընթացը և կարողությունները գնահատելու համար և արձանագրվել է, որ հանրային առողջությանը սպառնացող դեպքերի, իրադարձությունների վաղ հայտնաբերման և արագ արձագանքման համար </w:t>
      </w:r>
      <w:r w:rsidR="00294233" w:rsidRPr="00A06AB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Հանրապետությունն </w:t>
      </w:r>
      <w:r w:rsidRPr="00A06ABD">
        <w:rPr>
          <w:rFonts w:ascii="GHEA Grapalat" w:hAnsi="GHEA Grapalat" w:cs="Sylfaen"/>
          <w:sz w:val="24"/>
          <w:szCs w:val="24"/>
          <w:lang w:val="hy-AM"/>
        </w:rPr>
        <w:t>ունեցել է պատրաստվածության բարձր մակարդակ: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 xml:space="preserve"> 2023 թվականի դեկտեմբեր ամսին ՀՀ-ում իրականացվել է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երկրորդ համատեղ արտաքին գնահատումը, որի արդյունքները հիմք են հանդիսացել նախանշելու ՄԱԿ-ի հետագա զարգացման ուղղություններն ու կատարվելիք գործողությունները:</w:t>
      </w:r>
    </w:p>
    <w:p w14:paraId="12AC4DF7" w14:textId="77777777" w:rsidR="00FE7826" w:rsidRPr="00A06ABD" w:rsidRDefault="00FE7826" w:rsidP="00A36F51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737B5E6" w14:textId="77777777" w:rsidR="00FE7826" w:rsidRPr="00A06ABD" w:rsidRDefault="00FE7826" w:rsidP="00A36F5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2.</w:t>
      </w:r>
      <w:r w:rsidRPr="00A06ABD">
        <w:rPr>
          <w:rFonts w:ascii="GHEA Grapalat" w:hAnsi="GHEA Grapalat" w:cs="Sylfaen"/>
          <w:b/>
          <w:sz w:val="24"/>
          <w:szCs w:val="24"/>
          <w:lang w:val="hy-AM"/>
        </w:rPr>
        <w:t xml:space="preserve"> ԸՆԴՀԱՆՈՒՐ ԴՐՈՒՅԹՆԵՐ</w:t>
      </w:r>
    </w:p>
    <w:p w14:paraId="2F4A2919" w14:textId="1D2CA52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sz w:val="24"/>
          <w:szCs w:val="24"/>
          <w:lang w:val="hy-AM"/>
        </w:rPr>
        <w:t>հանրային առողջապահության բնագավառում սահմանված գործողությունների (միջոցառումների) համալիր է, որով ապահովվում են հանրային առողջապահության ոլորտում ՀՀ առկա ռիսկերի գնահատումը, կանխարգելումը, նվազեցմանն ու վերացմանն ուղղված միջոցառումները, արտակարգ իրավիճակներին նախապատրաստությունը և արձագանքման մակարդակի բարձրացումը:</w:t>
      </w:r>
    </w:p>
    <w:p w14:paraId="4B177754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Ծրագրում օգտագործվող հասկացություններն են`</w:t>
      </w:r>
    </w:p>
    <w:p w14:paraId="5E49A3C9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lastRenderedPageBreak/>
        <w:t>1)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արտակարգ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իրավիճակ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- որոշակի տարածքում կամ օբյեկտում խոշոր վթարի, վտանգավոր բնական երևույթի, տեխնածին, տարերային կամ էկոլոգիական (բնապահպանական) աղետի, համաճարակի, անասնահամաճարակի (էպիզոոտիա), բույսերի և գյուղատնտեսական մշակաբույսերի լայնորեն տարածված վարակիչ հիվանդության (էպիֆիտոտիա), զենքի տեսակների կիրառման հետևանքով ստեղծված իրավիճակ, որը հանգեցնում է կամ կարող է հանգեցնել մարդկային զոհերի, մարդկանց առողջությանն ու շրջակա միջավայրին` զգալի վնասի, խոշոր նյութական կորուստների և մարդկանց կենսագործունեության բնականոն պայմանների խախտման.</w:t>
      </w:r>
    </w:p>
    <w:p w14:paraId="4A1D40CB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t>2)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աղետ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-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համայնքի կամ հասարակության բնականոն գործունեությունը խաթարող երևույթի հետևանքով առաջացած իրադրություն, որը հանգեցրել է մարդկային զոհերի, նրանց առողջության վատթարացման, նյութական, տնտեսական ու բնապահպանական կորուստների և այնպիսի հետևանքների, որոնց վերացումը գերազանցում է սեփական ուժերով հաղթահարելու կարողությունը.</w:t>
      </w:r>
    </w:p>
    <w:p w14:paraId="5F4B7F5D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t>3)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արտակարգ իրավիճակներում առողջապահության բնագավառի գործունեություն -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արտակարգ իրավիճակներում առողջապահության բնագավառի պետական կառավարման լիազոր մարմնի կողմից իր իրավասության շրջանակներում օրենքներին, այլ իրավական ակտերին համապատասխան աշխատանքների իրականացում.</w:t>
      </w:r>
    </w:p>
    <w:p w14:paraId="6E6207E5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t>4)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ռիսկ -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վնասի, վտանգի, կորստի կամ որևէ այլ բացասական իրադարձության հավանականություն կամ սպառնալիք, որը պայմանավորված է արտաքին կամ ներքին խոցելի ազդակներով, և որից կարելի է խուսափել կանխարգելիչ գործողությունների միջոցով (ռիսկ = վտանգ x խոցելիություն/պատրաստականության աստիճան).</w:t>
      </w:r>
    </w:p>
    <w:p w14:paraId="41D5D8B9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t>5)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Sylfaen"/>
          <w:lang w:val="hy-AM" w:eastAsia="en-US"/>
        </w:rPr>
        <w:t>պատրաստություն - գիտելիքների, հմտությունների, կարողությունների, մտավոր և ֆիզիկական այլ ռեսուրսների ներդրման միջոցով պարբերական իրականացվող աշխատանքների և միջոցառումների ամբողջություն:</w:t>
      </w:r>
    </w:p>
    <w:p w14:paraId="43E806DA" w14:textId="27C9EB2D" w:rsidR="00FE7826" w:rsidRPr="00A06ABD" w:rsidRDefault="00FE7826" w:rsidP="00A36F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="Sylfaen"/>
          <w:lang w:val="hy-AM" w:eastAsia="en-US"/>
        </w:rPr>
      </w:pPr>
      <w:r w:rsidRPr="00A06ABD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A06ABD">
        <w:rPr>
          <w:rFonts w:ascii="GHEA Grapalat" w:hAnsi="GHEA Grapalat" w:cs="Sylfaen"/>
          <w:lang w:val="hy-AM"/>
        </w:rPr>
        <w:t>Ծրագրի շրջանակներում գործողություններն</w:t>
      </w:r>
      <w:r w:rsidR="00766B9B">
        <w:rPr>
          <w:rFonts w:ascii="GHEA Grapalat" w:hAnsi="GHEA Grapalat" w:cs="Sylfaen"/>
          <w:lang w:val="hy-AM"/>
        </w:rPr>
        <w:t xml:space="preserve"> </w:t>
      </w:r>
      <w:r w:rsidRPr="00A06ABD">
        <w:rPr>
          <w:rFonts w:ascii="GHEA Grapalat" w:eastAsiaTheme="minorHAnsi" w:hAnsi="GHEA Grapalat" w:cs="Sylfaen"/>
          <w:lang w:val="hy-AM" w:eastAsia="en-US"/>
        </w:rPr>
        <w:t>իրականացվում են Առողջապահության նախարարության կառուցվածքային և առանձնացված ստորաբաժանումների, գործակալությունների, ենթակայությա</w:t>
      </w:r>
      <w:r w:rsidR="00294233" w:rsidRPr="00A06ABD">
        <w:rPr>
          <w:rFonts w:ascii="GHEA Grapalat" w:eastAsiaTheme="minorHAnsi" w:hAnsi="GHEA Grapalat" w:cs="Sylfaen"/>
          <w:lang w:val="hy-AM" w:eastAsia="en-US"/>
        </w:rPr>
        <w:t>մբ գործող</w:t>
      </w:r>
      <w:r w:rsidR="00766B9B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A06ABD">
        <w:rPr>
          <w:rFonts w:ascii="GHEA Grapalat" w:eastAsiaTheme="minorHAnsi" w:hAnsi="GHEA Grapalat" w:cs="Sylfaen"/>
          <w:lang w:val="hy-AM" w:eastAsia="en-US"/>
        </w:rPr>
        <w:t xml:space="preserve">կազմակերպությունների և ՀՀ տարածքում գործող լիցենզավորված </w:t>
      </w:r>
      <w:r w:rsidRPr="00A06ABD">
        <w:rPr>
          <w:rFonts w:ascii="GHEA Grapalat" w:eastAsiaTheme="minorHAnsi" w:hAnsi="GHEA Grapalat" w:cs="Sylfaen"/>
          <w:lang w:val="hy-AM" w:eastAsia="en-US"/>
        </w:rPr>
        <w:lastRenderedPageBreak/>
        <w:t>հիվանդանոցային պայմաններում բժշկական օգնություն և սպասարկում իրականացնող կազմակերպությունների (անկախ սեփականության ձևից) (այսուհետ` բժշկական կազմակերպություն) միջոցով ու փոխհամագործակցությամբ` Ծրագրով նախանշված շահագրգիռ պետական կառավարման համակարգի մարմինների հետ համատեղ:</w:t>
      </w:r>
    </w:p>
    <w:p w14:paraId="51B9EB6B" w14:textId="77777777" w:rsidR="00FE7826" w:rsidRPr="00A06ABD" w:rsidRDefault="00FE7826" w:rsidP="00A36F51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3. ԸՆԹԱՑԻԿ ԻՐԱՎԻՃԱԿԻ ՆԿԱՐԱԳՐՈՒԹՅՈՒՆ</w:t>
      </w:r>
    </w:p>
    <w:p w14:paraId="01880AD6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ՀՀ տարածքի 75-95% բնական օջախային է մի շարք հատուկ վտանգավոր վարակների, մասնավորապես՝ ժանտախտի, տուլարեմիայի, լեպտոսպիրոզի նկատմամբ: Այսինքն՝ նշված հիվանդությունների հարուցիչները մշտապես, անկախ մարդու կամքից, շրջանառում են բնության մեջ (կրծողների և դրանց էկտոմակաբույծների շրջանում)` առաջացնելով բռնկումներ կենդանիների շրջանում, ինչն էլ փոխանցվում է մարդկանց՝ առաջացնելով սպորադիկ դեպքեր կամ բռնկումներ նաև մարդկանց շրջանում: </w:t>
      </w:r>
    </w:p>
    <w:p w14:paraId="5B145C5A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ՀՀ տարածքի բնական օջախների մի մասը տարածվում է հարևան երկրների տարածքում, ինչը մեծացնում է նշված հիվանդությունների ներկրման ռիսկը հարևան երկրներից: </w:t>
      </w:r>
    </w:p>
    <w:p w14:paraId="3727D3C5" w14:textId="7B248823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Ներկայում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աշխարհում դիտվում է կլիմայի գլոբալ փոփոխություն, փոխվում է վարակիչ հիվանդությունների փոխանցողների «վարքագիծը», դրանց աշխարհագրական տարածվածությունը, միգրացիոն ուղղությունները, հարուցիչների ախտածնության աստիճանը: ՀՀ տարածքում պարբերաբար hիվանդություններ են արձանագրվում այն վայրերում որտեղ երբևէ չեն արձանագրվել: </w:t>
      </w:r>
    </w:p>
    <w:p w14:paraId="12317C4A" w14:textId="77777777" w:rsidR="00452007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Հայաստանում ներկայում առկա է վարակիչ հիվանդությունների բռնկումների, համաճարակների առաջացման չափավոր միտում: Վերջին տարիներին ՀՀ-ում գրանցված վարակիչ հիվանդությունների բռնկումների էթիոլոգիայում գերակշռում են աղիքային վարակները՝ ջրային և սննդային ծագման: 2022 թվականի ընթացքում արձանագրվել է աղիքային վարակներով պայմանավորված 8 բռնկում – 104 դեպքով, իսկ 2021 թվականին՝ 18 բռնկում – 403 դեպքով:</w:t>
      </w:r>
    </w:p>
    <w:p w14:paraId="1B7F6830" w14:textId="610B8671" w:rsidR="00FE7826" w:rsidRPr="00A06ABD" w:rsidRDefault="00452007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Հ</w:t>
      </w:r>
      <w:r w:rsidR="00FE7826" w:rsidRPr="00A06ABD">
        <w:rPr>
          <w:rFonts w:ascii="GHEA Grapalat" w:hAnsi="GHEA Grapalat" w:cs="Calibri"/>
          <w:sz w:val="24"/>
          <w:szCs w:val="24"/>
          <w:lang w:val="hy-AM"/>
        </w:rPr>
        <w:t xml:space="preserve">աշվի առնելով այն հանգամանքը, որ աշխարհում վերջին տարիներին բազմաթիվ նոր վարակիչ հիվանդություններ են արձանագրվում՝ հանրապետությունում համաճարակաբանության ոլորտի աշխատանքը զգալիորեն </w:t>
      </w:r>
      <w:r w:rsidR="00FE7826"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>լարված ընթացք է ստանում այս հիվանդությունների դիմակայման ուղղությամբ գործադրվող կանխարգելիչ միջոցառումների կազմակերպման և իրականացման համար:</w:t>
      </w:r>
    </w:p>
    <w:p w14:paraId="01CCAD71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Կորոնավիրուսային հիվանդության (COVID-19) համավարակը 21-րդ դարի ամենախոշոր մարտահրավերներից էր։ Այն 2024 թվականի մարտի 11-ի դրությամբ արդեն իսկ ախտահարել է 704 մլն մարդու և դարձել ավելի քան 7 մլն մարդու մահվան պատճառ։ Համավարակից ի վեր ՀՀ-ում արձանագրվել է կորոնավիրուսային հիվանդության 5 ալիք:</w:t>
      </w:r>
    </w:p>
    <w:p w14:paraId="677FAD3E" w14:textId="4588BDA3" w:rsidR="00534EDF" w:rsidRPr="00A06ABD" w:rsidRDefault="00534EDF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Հանրապետությունում 2022 թվականի ընթացքում հատուկ վտանգավոր վարակների՝ կատաղության, տուլարեմիայի դեպքեր չեն արձանագրվել։ 2023թ. ընթացքում սիբիրյան խոցի դեպքեր չեն արձանագրվել։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>2023թ. արձանագրվել է արևադարձային մալարիայի 2 բերովի դեպք՝ Աֆրիկայից։ Արձանագրվել են լեպտոսպիրոզի 6, տուլարեմիայի 14 դեպք։</w:t>
      </w:r>
    </w:p>
    <w:p w14:paraId="55F11963" w14:textId="11B81BDA" w:rsidR="00534EDF" w:rsidRPr="00A06ABD" w:rsidRDefault="00534EDF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2023թ. գրանցվել է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Լայմի հիվանդության 32 և լեյշմանիոզի 29 դեպք: Տզերով փոխանցվող այլ հիվանդությունների, այդ թվում՝ Ղրիմ–Կոնգոյի հեմոռագիկ տենդի, անապլազմոզի, ռիկետցիոզների տարածման վտանգը բարձր է՝ կապված տզերի բնական օջախների ընդլայնման և սահմանամերձ տարածքներից վարակի ներբերման վտանգի հետ։</w:t>
      </w:r>
    </w:p>
    <w:p w14:paraId="2FDC312F" w14:textId="77777777" w:rsidR="00534EDF" w:rsidRPr="00A06ABD" w:rsidRDefault="00534EDF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2022 թվականի ընթացքում 100.000 բնակչի հաշվով արձանագրվել է բրուցելոզի 9.4 դեպք, որից 16.9%-ը կազմում են 0-18 տարեկան երեխաները: Աղիքային նախակենդանիներով պայմանավորված հիվանդություններից 2022 թվականին արձանագրվել է տոքսոպլազմոզի 2 դեպք։ Գրանցվել են հատուկենտ դեպքեր ամեոբիազի, ժիարդիազի և կրիպտոսպորիդիոզի։ 2023թ. ընթացքում արձանագրվել է բրուցելոզի 324 դեպք, որից 41-ը՝ 0-18 տարիքային խմբում: Աղիքային նախակենդանիներով պայմանավորված՝ արձանագրվել է ժիարդիազի 60 դեպք:</w:t>
      </w:r>
    </w:p>
    <w:p w14:paraId="2617FBC5" w14:textId="7CD78092" w:rsidR="00FE7826" w:rsidRPr="00A06ABD" w:rsidRDefault="00534EDF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Աղիքային վարակիչ հիվանդություններին բնորոշ է սեզոնայնությունը, և հիվանդության դեպքերը, ինչպես նաև բռնկումները ավելի հաճախ արձանագրվում են տարվա տաք շրջանում՝ հիմնականում գարնան և ամռան ամիսներին, երբ առկա են նպաստավոր պայմաններ աղիքային վարակների հարուցիչների աճի և բազմացման համար: 2023 թվականի ընթացքում ըստ 100.000 բնակչի հաշվով արձանագրվել է 343.3 դեպք, որից 0-18 տարեկան երեխաների մասնաբաժինը 71,2%:</w:t>
      </w:r>
    </w:p>
    <w:p w14:paraId="01227229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>Ընդհանուր խումբ աղիքային վարակներից 7%-ը բաժին է հասնում այլ սալմոնելոզային վարակներին, 1.3%-ը՝ շիգելոզներին, 32.3%-ը՝ այլ մանրէային աղիքային վարակներին, 49%-ը այլ չճշտված և ենթադրյալ աղիքային վարակներին:</w:t>
      </w:r>
    </w:p>
    <w:p w14:paraId="1EFF33C1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2023 թվականին գրանցվել է նաև Լայմի հիվանդության 32 և լեյշմանիոզի 29 դեպք: Փոխանցողով պայմանավորված այլ հիվանդությունների, այդ թվում՝ Ղրիմ–Կոնգոյի հեմոռագիկ տենդի, անապլազմոզի, ռիկետցիոզների տարածման վտանգը բարձր է՝ կապված փոխանցողների բնական օջախների ընդլայնման և սահմանամերձ տարածքներից վարակի ներբերման վտանգի հետ։</w:t>
      </w:r>
    </w:p>
    <w:p w14:paraId="74B27BA3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ՀՀ-ում կառավարելի վարակիչ հիվանդությունների առումով համաճարակային իրավիճակը բարենպաստ է, մասնավորապես՝ 2022 թվականի ընթացքում չեն գրանցվել պոլիոմիելիտի, դիֆթերիայի, փայտացման, կարմրուկի, կարմրախտի, համաճարակային պարոտիտի դեպքեր: Գրանցվել է մենինգակոկային մենինգիտի սպորադիկ 4 դեպք՝ չպատվաստված անձանց շրջանում, տուբերկուլոզային մենինգիտի 1 դեպք:</w:t>
      </w:r>
    </w:p>
    <w:p w14:paraId="7E3E21BC" w14:textId="3D08810C" w:rsidR="00FE7826" w:rsidRPr="00A06ABD" w:rsidRDefault="00766B9B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Calibri"/>
          <w:sz w:val="24"/>
          <w:szCs w:val="24"/>
          <w:lang w:val="hy-AM"/>
        </w:rPr>
        <w:t>ՀՀ-ում 2007 թվականից սկսած կարմրուկի տեղական դեպքեր չեն արձանագրվել, սակայն 2023 թվականին գրանցվել է բռնկում՝ պայմանավորված բերովի դեպքով: 2023 թվականին գրանցվել է կարմրուկի լաբորատոր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Calibri"/>
          <w:sz w:val="24"/>
          <w:szCs w:val="24"/>
          <w:lang w:val="hy-AM"/>
        </w:rPr>
        <w:t>հաստատված 545 դեպք, իսկ 2024 թվականի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Calibri"/>
          <w:sz w:val="24"/>
          <w:szCs w:val="24"/>
          <w:lang w:val="hy-AM"/>
        </w:rPr>
        <w:t xml:space="preserve">հունիսի 3-ի դրությամբ՝ 442 դեպք: </w:t>
      </w:r>
    </w:p>
    <w:p w14:paraId="30A11D83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«Արտաընդերային վիրուսային հեպատիտների կանխարգելման և վերահսկման 2019-2023 թվականների ծրագրի» շրջանակներում վերջին հինգ տարում, ռիսկի խմբերում հիվանդության վաղ հայտնաբերման, ախտորոշման և բուժման միջոցառումների շնորհիվ, սուր հեպատիտ Բ-ի հիվանդացությունը նվազել է 6 անգամ, իսկ սուր հեպատիտ Ց-ինը՝ 3 անգամ: 2023 թվականին Հայաստանում գրանցվել է հեպատիտի (Բ, Ց) 99 առաջնակի դեպք: </w:t>
      </w:r>
    </w:p>
    <w:p w14:paraId="2FF5F9F1" w14:textId="329B2641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1999 թվականից ՀՀ-ում իրականացվում են հեպատիտ Բ-ի դեմ պատվաստումներ, որոնց շնորհիվ մինչև 14 տարեկան երեխաների շրջանում չեն գրանցվում սուր հեպատիտ Բ-ի դեպքեր: Հեպատիտ Ց-ի դեմ դեռևս պատվաստումներ չեն իրականացվում աշխարհում:</w:t>
      </w:r>
    </w:p>
    <w:p w14:paraId="0A8253BE" w14:textId="6E7448AB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Սուր շնչառական վարակները և գրիպը շնչառական համակարգի որևէ հատվածի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  <w:r w:rsidRPr="00A06ABD">
        <w:rPr>
          <w:rFonts w:ascii="GHEA Grapalat" w:hAnsi="GHEA Grapalat" w:cs="Calibri"/>
          <w:sz w:val="24"/>
          <w:szCs w:val="24"/>
          <w:lang w:val="hy-AM"/>
        </w:rPr>
        <w:t>սուր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  <w:r w:rsidRPr="00A06ABD">
        <w:rPr>
          <w:rFonts w:ascii="GHEA Grapalat" w:hAnsi="GHEA Grapalat" w:cs="Calibri"/>
          <w:sz w:val="24"/>
          <w:szCs w:val="24"/>
          <w:lang w:val="hy-AM"/>
        </w:rPr>
        <w:t>ընթացող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  <w:r w:rsidRPr="00A06ABD">
        <w:rPr>
          <w:rFonts w:ascii="GHEA Grapalat" w:hAnsi="GHEA Grapalat" w:cs="Calibri"/>
          <w:sz w:val="24"/>
          <w:szCs w:val="24"/>
          <w:lang w:val="hy-AM"/>
        </w:rPr>
        <w:t>վարակիչ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  <w:r w:rsidRPr="00A06ABD">
        <w:rPr>
          <w:rFonts w:ascii="GHEA Grapalat" w:hAnsi="GHEA Grapalat" w:cs="Calibri"/>
          <w:sz w:val="24"/>
          <w:szCs w:val="24"/>
          <w:lang w:val="hy-AM"/>
        </w:rPr>
        <w:t>հիվանդություններ են, որոնց ցուցանիշները ինչպես ամբողջ աշխարհում, այնպես էլ ՀՀ-ում գնահատվում են բարձր: Վերջիններս</w:t>
      </w:r>
      <w:r w:rsidR="00803495" w:rsidRPr="00A06AB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բնորոշվում </w:t>
      </w:r>
      <w:r w:rsidR="00BD10C0" w:rsidRPr="00A06ABD">
        <w:rPr>
          <w:rFonts w:ascii="GHEA Grapalat" w:hAnsi="GHEA Grapalat" w:cs="Calibri"/>
          <w:sz w:val="24"/>
          <w:szCs w:val="24"/>
          <w:lang w:val="hy-AM"/>
        </w:rPr>
        <w:t xml:space="preserve">են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սեզոնայնությ</w:t>
      </w:r>
      <w:r w:rsidR="00BD10C0" w:rsidRPr="00A06ABD">
        <w:rPr>
          <w:rFonts w:ascii="GHEA Grapalat" w:hAnsi="GHEA Grapalat" w:cs="Calibri"/>
          <w:sz w:val="24"/>
          <w:szCs w:val="24"/>
          <w:lang w:val="hy-AM"/>
        </w:rPr>
        <w:t>ամբ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/աշուն-ձմեռ/</w:t>
      </w:r>
      <w:r w:rsidR="00BD10C0" w:rsidRPr="00A06ABD">
        <w:rPr>
          <w:rFonts w:ascii="GHEA Grapalat" w:hAnsi="GHEA Grapalat" w:cs="Calibri"/>
          <w:sz w:val="24"/>
          <w:szCs w:val="24"/>
          <w:lang w:val="hy-AM"/>
        </w:rPr>
        <w:t>,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տարածվում են օդակաթիլային ճանապարհով, սակայն </w:t>
      </w:r>
      <w:r w:rsidR="00BD10C0" w:rsidRPr="00A06ABD">
        <w:rPr>
          <w:rFonts w:ascii="GHEA Grapalat" w:hAnsi="GHEA Grapalat" w:cs="Calibri"/>
          <w:sz w:val="24"/>
          <w:szCs w:val="24"/>
          <w:lang w:val="hy-AM"/>
        </w:rPr>
        <w:t xml:space="preserve">կախված շրջանառվող հարուցչի բնույթից 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վերը նշված վարակներով պայմանավորված դեպքեր կարող են գրանցվել նաև շուրջ տարի։ Նշված վարակներով պայմանավորված համաճարակային իրավիճակը կարող է վատթարանալ հիմնականում սեզոնի ընթացքում, կարող են արձանագրվել հիվանդացության բարձր ակտիվության մակարդակ, որի դեպքում օրական կտրվածքով իրականացված մոնիթորինգը հնարավորություն է ստեղծում գնատել համաճարակային իրավիճակը և ձեռնարկել համապատասխան կանխարգելիչ միջոցառումներ։ </w:t>
      </w:r>
    </w:p>
    <w:p w14:paraId="44D3548C" w14:textId="0D99115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Դետքային համաճարակաբանական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դիտարկման շրջանակներում իրականացվող լաբորատոր հետազոտությունները հնարավորություն են տալիս որոշելու տվյալ սեզոնի շրջանառվող շտամը։ 2023 թվականի սուր շնչառական վարակների հիվանդացությունը ըստ 100.000 բն. հաշվով կազմում է 7068,4 որից 83.3%-ը կազմում են 0-18 տարեկան երեխաները:</w:t>
      </w:r>
    </w:p>
    <w:p w14:paraId="7A5F655C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Ջրծաղիկի և քութեշի հիվանդացության ցուցանիշները գտնվում են բարձր մակարդակի վրա, քանի որ վերջիններս ոչ կառավարելի վարակներ են: Ինչպես բոլոր շնչառական վարակներին, այնպես էլ ջրծաղիկին և քութեշին բնորոշ է սեզոնայնությունը: Հիմնականում դեպքերը գրանցվում են մանկահասակ երեխաների շրջանում, մասնավորապես՝ նախադպրոցական տարիքի երեխաների մոտ: </w:t>
      </w:r>
    </w:p>
    <w:p w14:paraId="38C066D8" w14:textId="6C7F8236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Այս հիվանդությունների ժամանակ բնորոշ է տեղային բռնկումներ՝ հատկապես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հանրակրթական </w:t>
      </w:r>
      <w:r w:rsidRPr="00A06ABD">
        <w:rPr>
          <w:rFonts w:ascii="GHEA Grapalat" w:hAnsi="GHEA Grapalat" w:cs="Calibri"/>
          <w:sz w:val="24"/>
          <w:szCs w:val="24"/>
          <w:lang w:val="hy-AM"/>
        </w:rPr>
        <w:t>(այդ թվում նախադպրոցական) ուսումնական հաստատություններում: 2023 թվականին ևս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նշված հաստատություններում արձանագրվել են դեպքերի բարձր ցուցանիշներ: 2023 թվականի ջրծաղիկի հիվանդացությունը ըստ 100.000 բն. հաշվով կազմում է 488.3 դեպք, որից 91%-ը կազմում են 0-18 տարեկան երեխաները, իսկ քութեշի հիվանդացությունը ըստ 100.000 բն. հաշվով կազմում է 52.4 դեպք, որից 99%-ը կազմում են 0-18 տարեկան երեխաները:</w:t>
      </w:r>
    </w:p>
    <w:p w14:paraId="48364003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Տարերային աղետների նկատմամբ Հայաստանը խոցելի երկիր է: Հայաստանում դրսևորվում են թերևս բոլոր բնական աղետները, բացառությամբ ծովերի և օվկիանոսների հետ առնչվողների։ </w:t>
      </w:r>
    </w:p>
    <w:p w14:paraId="6442A13C" w14:textId="0243EBF2" w:rsidR="00FE7826" w:rsidRPr="00A06ABD" w:rsidRDefault="00FE7826" w:rsidP="00A36F51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>Աղետներից ամենավտանգավորը համարվում են երկրաշարժերը, որոնց պատճառած կորուստները կազմել են 94%, իսկ մյուս բոլոր աղետներինը՝ ընդամենը 6%։ 1988 թվականի դեկտեմբերի 7-ին Սպիտակում տեղի ունեցավ ավերիչ երկրաշարժ (6.9 ըստ Ռիխտերի սանդղակի)</w:t>
      </w:r>
      <w:r w:rsidR="00452007" w:rsidRPr="00A06ABD">
        <w:rPr>
          <w:rFonts w:ascii="GHEA Grapalat" w:hAnsi="GHEA Grapalat" w:cs="Calibri"/>
          <w:sz w:val="24"/>
          <w:szCs w:val="24"/>
          <w:lang w:val="hy-AM"/>
        </w:rPr>
        <w:t>, զոհվեց 25 հազարից ավելի մարդ, 500 հազարը մնաց անօթևան։</w:t>
      </w:r>
    </w:p>
    <w:p w14:paraId="383D021D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6ABD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թվականից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 ՀՀ-ում ներդրվել է բժշկական միջամտություններով պայմանավորված վարակների (այսուհետ՝ ԲՄՊՎ) պասիվ համաճարակաբանական դիտարկման համակարգ: Այնուամենայնիվ, հիվանդանոցային պայմաններում բժշկական օգնություն և սպասարկում իրականացնող կազմակերպությունների մեծամասնությունը (Երևանում՝ 80%-ը, ՀՀ մարզերում՝ 94%-ը) ներկայացնում են «զրոյական» հաշվետվություն:</w:t>
      </w:r>
    </w:p>
    <w:p w14:paraId="1786D333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6ABD">
        <w:rPr>
          <w:rFonts w:ascii="GHEA Grapalat" w:hAnsi="GHEA Grapalat"/>
          <w:sz w:val="24"/>
          <w:szCs w:val="24"/>
          <w:lang w:val="hy-AM"/>
        </w:rPr>
        <w:t>2019</w:t>
      </w:r>
      <w:r w:rsidRPr="00A06ABD">
        <w:rPr>
          <w:rFonts w:ascii="GHEA Grapalat" w:eastAsia="Calibri" w:hAnsi="GHEA Grapalat"/>
          <w:sz w:val="24"/>
          <w:szCs w:val="24"/>
          <w:lang w:val="hy-AM"/>
        </w:rPr>
        <w:t xml:space="preserve"> թվականից 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ի վեր յուրաքանչյուր տարի իրականացվել է ՀՀ բժշկական կազմակերպությունների վարակի կանխարգելման և հսկողության (այսուհետ՝ ՎԿՀ) ծրագրերի գնահատում ԱՀԿ-ի IPCAF գործիքով: Լրացված հարցաշարերի, ինչպես նաև իրականացված մշտադիտարկումների արդյունքում բացահայտվել են առկա բացերը, ցուցաբերվել է մեթոդագործնական աջակցություն, ինչի արդյունքում նշված գործիքով ՀՀ բոլոր բժշկական կազմակերպությունների համար հաշվարկված միջին գնահատականը 2019-2022 թվականների ժամանակահատվածում աճել է 430.0-ից մինչև 626.3: </w:t>
      </w:r>
    </w:p>
    <w:p w14:paraId="2A611C01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6ABD">
        <w:rPr>
          <w:rFonts w:ascii="GHEA Grapalat" w:hAnsi="GHEA Grapalat"/>
          <w:sz w:val="24"/>
          <w:szCs w:val="24"/>
          <w:lang w:val="hy-AM"/>
        </w:rPr>
        <w:t xml:space="preserve">ԲՄՊՎ-ների իրական տարածվածության ուսումնասիրության նպատակով 2022 թվականի փետրվար-մարտ ամիսներին ՀՀ երկու ընտրված բժշկական կազմակերպություններում իրականացվել է ժամանակի տվյալ պահին ԲՄՊՎ-ների և հակամանրէային դեղերի (այսուհետ՝ ՀՄԴ) կիրառման տարածվածության պիլոտային հետազոտություն: Արդյունքում պարզվել է, որ հետազոտված 257 բուժառուից 16-ի մոտ հայտնաբերվել է ԲՄՊՎ: ԲՄՊՎ-ների տարածվածությունը կազմել է 6.5%: Հայտնաբերվել է 22 ԲՄՊՎ՝ 5 (22.7%) թոքաբորբ, 5 (22.7%) միզուղիների վարակ, 4 (18.2%) հետվիրահատական վարակ, 3 (13.6%) կաթետեր ասոցացված վարակ, 2 (9.1%) արյան հունի վարակ, 1 (4.5%) կենտրոնական նյարդային համակարգի վարակ, 1 (4.5%) մաշկի և փափուկ հյուսվածքների վարակ և 1 (4.5%) ստորին շնչուղիների վարակ: Հետազոտության ընթացքում բացահայտվել է, որ 112 (76.7%) դեպքում ՀՄԴ-երը նշանակվել են կանխարգելիչ նպատակով, այդ </w:t>
      </w:r>
      <w:r w:rsidRPr="00A06ABD">
        <w:rPr>
          <w:rFonts w:ascii="GHEA Grapalat" w:hAnsi="GHEA Grapalat"/>
          <w:sz w:val="24"/>
          <w:szCs w:val="24"/>
          <w:lang w:val="hy-AM"/>
        </w:rPr>
        <w:lastRenderedPageBreak/>
        <w:t>թվում. 90 դեղ՝ հետվիրահատական, իսկ 22 դեղ՝ թերապևտիկ կանխարգելման նպատակով:</w:t>
      </w:r>
    </w:p>
    <w:p w14:paraId="6A7C08FC" w14:textId="589F6024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6ABD">
        <w:rPr>
          <w:rFonts w:ascii="GHEA Grapalat" w:hAnsi="GHEA Grapalat"/>
          <w:sz w:val="24"/>
          <w:szCs w:val="24"/>
          <w:lang w:val="hy-AM"/>
        </w:rPr>
        <w:t>Հակամ</w:t>
      </w:r>
      <w:r w:rsidR="00C36DFE" w:rsidRPr="00A06ABD">
        <w:rPr>
          <w:rFonts w:ascii="GHEA Grapalat" w:hAnsi="GHEA Grapalat"/>
          <w:sz w:val="24"/>
          <w:szCs w:val="24"/>
          <w:lang w:val="hy-AM"/>
        </w:rPr>
        <w:t>ա</w:t>
      </w:r>
      <w:r w:rsidRPr="00A06ABD">
        <w:rPr>
          <w:rFonts w:ascii="GHEA Grapalat" w:hAnsi="GHEA Grapalat"/>
          <w:sz w:val="24"/>
          <w:szCs w:val="24"/>
          <w:lang w:val="hy-AM"/>
        </w:rPr>
        <w:t>նրէային կայունության (այսուհետ՝ ՀՄԿ) հսկողության և կանխարգելման ռազմավարության շարունակականության ապահովման նպատակով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մշակվել է և ՀՀ առողջապահության նախարարի 2024 թվականի հունվարի 15–ի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N 161–Լ և ՀՀ էկոնոմիկայի նախարարի 2024 թվականի հունվարի 23–ի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N 106–Լ համատեղ հրամանով հաստատվել է «Հակամանրէային դեղերի նկատմամբ կայունության հսկողության և կանխարգելման ծրագիրը և 2024-2027 թվականների միջգերատեսչական միջոցառումների ցանկը»: </w:t>
      </w:r>
    </w:p>
    <w:p w14:paraId="33719559" w14:textId="02A396B6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A06ABD">
        <w:rPr>
          <w:rFonts w:ascii="GHEA Grapalat" w:hAnsi="GHEA Grapalat"/>
          <w:sz w:val="24"/>
          <w:szCs w:val="24"/>
          <w:lang w:val="hy-AM"/>
        </w:rPr>
        <w:t>2015 թվականից ստեղծվել են իրավական հիմքեր բժշկական, ինչպես նաև ոչ բժշկական կազմակերպություններում բժշկական արտադրատեսակների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մանրէազերծումը միջազգային մոտեցումներով իրականացնելու համար, հաստատվել են ԲՄՊՎ-ների ստանդարտ բնորոշումները և բժշկական կազմակերպությունների համար ԱՀԿ-ի կողմից առաջարկված 8 բաղադրիչների հիման վրա ՎԿՀ օրինակելի ծրագրերը, բժշկական կազմակերպություններում արդեն իսկ առկա են վարակի հսկողության պատասխանատուներ, գործում են ՎԿՀ ծրագիր և հանձնաժողով, սակայն ՎԿՀ ծրագրերը լիարժեք ներդրված չեն, ինչը պայմանավորված է բժշկական կազմակերպությունների կադրային ռեսուրսների սակավությամբ, նյութա-տեխնիկական և ֆինանսական կարողությունների բացակայությամբ: ՀՀ առողջապահության նախարարի 2023 թվականի հոկտեմբերի 3-ի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N 46–Ն հրամանով հաստատվել են «Բժշկական օգնություն և սպասարկում իրականացնող կազմակերպություններում ձեռքերի հիգիենային ներկայացվող պահանջներ» ՍԿ N 3.1.1-002-23 սանիտարական կանոնները և հիգիենիկ նորմատիվները:</w:t>
      </w:r>
    </w:p>
    <w:p w14:paraId="277B3D18" w14:textId="77777777" w:rsidR="00FE7826" w:rsidRPr="00A06ABD" w:rsidRDefault="00FE7826" w:rsidP="00A36F51">
      <w:pPr>
        <w:spacing w:after="0" w:line="360" w:lineRule="auto"/>
        <w:ind w:firstLine="708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</w:p>
    <w:p w14:paraId="3DE37951" w14:textId="288622A3" w:rsidR="00FE7826" w:rsidRPr="00A06ABD" w:rsidRDefault="00766B9B" w:rsidP="00A36F51">
      <w:pPr>
        <w:spacing w:after="0" w:line="360" w:lineRule="auto"/>
        <w:ind w:firstLine="708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4. ՆՊԱՏԱԿՆԵՐ </w:t>
      </w:r>
    </w:p>
    <w:p w14:paraId="5AB1E9B9" w14:textId="77777777" w:rsidR="00FE7826" w:rsidRPr="00A06ABD" w:rsidRDefault="00FE7826" w:rsidP="00A36F51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76603B1D" w14:textId="77777777" w:rsidR="00FE7826" w:rsidRPr="00A06ABD" w:rsidRDefault="00FE7826" w:rsidP="00A36F51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Ծրագրի նպատակներն են՝</w:t>
      </w:r>
    </w:p>
    <w:p w14:paraId="64C8D0BA" w14:textId="1110C5F6" w:rsidR="00FE7826" w:rsidRPr="00A06ABD" w:rsidRDefault="00232E4F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հ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իմնվելով ՄԱԿ-ի արտաքին համատեղ գնահատման (JEE) վրա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,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 համագործակցային բազմոլորտ գործընթացի 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միջոցով,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նախանշել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 և շարունակել իրականացնել 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 xml:space="preserve">հանրային առողջապահության անվտանգության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առաջնահերթ գործողություններ ազգային, մարզային և տեղական մակարդակներում, </w:t>
      </w:r>
    </w:p>
    <w:p w14:paraId="06FC5FE4" w14:textId="4B0C73C0" w:rsidR="00FE7826" w:rsidRPr="00A06ABD" w:rsidRDefault="00FE782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lastRenderedPageBreak/>
        <w:t>Ծրագրի մշակ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 xml:space="preserve">մամբ </w:t>
      </w:r>
      <w:r w:rsidRPr="00A06ABD">
        <w:rPr>
          <w:rFonts w:ascii="GHEA Grapalat" w:hAnsi="GHEA Grapalat" w:cs="Sylfaen"/>
          <w:sz w:val="24"/>
          <w:szCs w:val="24"/>
          <w:lang w:val="hy-AM"/>
        </w:rPr>
        <w:t>և հետագա իրականաց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մամբ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2E4F" w:rsidRPr="00A06ABD">
        <w:rPr>
          <w:rFonts w:ascii="GHEA Grapalat" w:hAnsi="GHEA Grapalat" w:cs="Sylfaen"/>
          <w:sz w:val="24"/>
          <w:szCs w:val="24"/>
          <w:lang w:val="hy-AM"/>
        </w:rPr>
        <w:t xml:space="preserve">ՀՀ-ում </w:t>
      </w:r>
      <w:r w:rsidR="00452007" w:rsidRPr="00A06ABD">
        <w:rPr>
          <w:rFonts w:ascii="GHEA Grapalat" w:hAnsi="GHEA Grapalat" w:cs="Sylfaen"/>
          <w:sz w:val="24"/>
          <w:szCs w:val="24"/>
          <w:lang w:val="hy-AM"/>
        </w:rPr>
        <w:t>կբարձրանա</w:t>
      </w:r>
      <w:r w:rsidR="00232E4F" w:rsidRPr="00A06ABD">
        <w:rPr>
          <w:rFonts w:ascii="GHEA Grapalat" w:hAnsi="GHEA Grapalat" w:cs="Sylfaen"/>
          <w:sz w:val="24"/>
          <w:szCs w:val="24"/>
          <w:lang w:val="hy-AM"/>
        </w:rPr>
        <w:t>ն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 արտակարգ իրավիճակների պատրաստվածության և արձագանքման կարողություններ</w:t>
      </w:r>
      <w:r w:rsidR="00232E4F" w:rsidRPr="00A06ABD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միջոլորտային համագործակցության միջոցով կապահովի </w:t>
      </w:r>
      <w:r w:rsidR="00232E4F" w:rsidRPr="00A06ABD">
        <w:rPr>
          <w:rFonts w:ascii="GHEA Grapalat" w:hAnsi="GHEA Grapalat" w:cs="Sylfaen"/>
          <w:sz w:val="24"/>
          <w:szCs w:val="24"/>
          <w:lang w:val="hy-AM"/>
        </w:rPr>
        <w:t>հանրային առողջապահության անվտանգության պատշաճ մակարդակ,</w:t>
      </w:r>
    </w:p>
    <w:p w14:paraId="1AF76C05" w14:textId="77777777" w:rsidR="00FE7826" w:rsidRPr="00A06ABD" w:rsidRDefault="00FE782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ապահովել ֆինանսավորում ինչպես Ծրագրի իրականացման, այնպես էլ բոլոր ոլորտներում ՄԱԿ-ի համար կարևոր ծրագրերի երկարաժամկետ կայունության համար, ներառյալ մարդկային ռեսուրսները, որոնք անհրաժեշտ են դրանց աջակցելու համար: Մշակել միջնաժամկետ պլան՝ ներկայումս արտաքին աջակցություն ստացող ծրագրերի (օրինակ՝ լաբորատոր ծառայությունների և Դաշտային համաճարակաբանության ուսուցման ծրագիր) ֆինանսավորումը փոխանցելու համար,</w:t>
      </w:r>
    </w:p>
    <w:p w14:paraId="20F7CC84" w14:textId="3A26ACCE" w:rsidR="00FE7826" w:rsidRPr="00A06ABD" w:rsidRDefault="00FE782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ՄԱԿ կարողություններին աջակցող ծրագրերի </w:t>
      </w:r>
      <w:r w:rsidRPr="00A06ABD">
        <w:rPr>
          <w:rFonts w:ascii="GHEA Grapalat" w:hAnsi="GHEA Grapalat" w:cs="Sylfaen"/>
          <w:sz w:val="24"/>
          <w:szCs w:val="24"/>
        </w:rPr>
        <w:t>իրականացման</w:t>
      </w:r>
      <w:r w:rsidRPr="00A06ABD">
        <w:rPr>
          <w:rStyle w:val="CommentReference"/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Sylfaen"/>
          <w:sz w:val="24"/>
          <w:szCs w:val="24"/>
          <w:lang w:val="hy-AM"/>
        </w:rPr>
        <w:t>պարբերական ծախսեր</w:t>
      </w:r>
      <w:r w:rsidR="00232E4F" w:rsidRPr="00A06ABD">
        <w:rPr>
          <w:rFonts w:ascii="GHEA Grapalat" w:hAnsi="GHEA Grapalat" w:cs="Sylfaen"/>
          <w:sz w:val="24"/>
          <w:szCs w:val="24"/>
          <w:lang w:val="hy-AM"/>
        </w:rPr>
        <w:t>ի հաշվարկում</w:t>
      </w:r>
      <w:r w:rsidRPr="00A06ABD">
        <w:rPr>
          <w:rFonts w:ascii="GHEA Grapalat" w:hAnsi="GHEA Grapalat" w:cs="Sylfaen"/>
          <w:sz w:val="24"/>
          <w:szCs w:val="24"/>
          <w:lang w:val="hy-AM"/>
        </w:rPr>
        <w:t>: Ո</w:t>
      </w:r>
      <w:r w:rsidR="0027445C" w:rsidRPr="00A06ABD">
        <w:rPr>
          <w:rFonts w:ascii="GHEA Grapalat" w:hAnsi="GHEA Grapalat" w:cs="Sylfaen"/>
          <w:sz w:val="24"/>
          <w:szCs w:val="24"/>
          <w:lang w:val="hy-AM"/>
        </w:rPr>
        <w:t>ւ</w:t>
      </w:r>
      <w:r w:rsidRPr="00A06ABD">
        <w:rPr>
          <w:rFonts w:ascii="GHEA Grapalat" w:hAnsi="GHEA Grapalat" w:cs="Sylfaen"/>
          <w:sz w:val="24"/>
          <w:szCs w:val="24"/>
          <w:lang w:val="hy-AM"/>
        </w:rPr>
        <w:t>շադրություն դարձնել մարդկային ռեսուրսների «կարիքների գնահատման» անցկացմանը և հայտնաբերված բացերը լուծելու քարոզչությանը,</w:t>
      </w:r>
    </w:p>
    <w:p w14:paraId="53F1DF1E" w14:textId="35973B83" w:rsidR="00FE7826" w:rsidRPr="00A06ABD" w:rsidRDefault="00FE782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ձևավորել </w:t>
      </w:r>
      <w:r w:rsidR="00BD10C0" w:rsidRPr="00A06ABD">
        <w:rPr>
          <w:rFonts w:ascii="GHEA Grapalat" w:hAnsi="GHEA Grapalat" w:cs="Sylfaen"/>
          <w:sz w:val="24"/>
          <w:szCs w:val="24"/>
          <w:lang w:val="hy-AM"/>
        </w:rPr>
        <w:t>համագործակցություն</w:t>
      </w:r>
      <w:r w:rsidRPr="00A06ABD">
        <w:rPr>
          <w:rFonts w:ascii="GHEA Grapalat" w:hAnsi="GHEA Grapalat" w:cs="Sylfaen"/>
          <w:sz w:val="24"/>
          <w:szCs w:val="24"/>
          <w:lang w:val="hy-AM"/>
        </w:rPr>
        <w:t>՝ կանոնավոր կերպով վերանայելու, ամրապնդելու և ներդաշնակեցնելու միջոցառումները՝ աջակցելու ՄԱԿ-ի իրականացմանը բոլոր ոլորտներում և ոլորտների միջև՝ ՀՀ ամբողջ տարածքում,</w:t>
      </w:r>
    </w:p>
    <w:p w14:paraId="01096F26" w14:textId="05D2D47B" w:rsidR="00FE7826" w:rsidRPr="00A06ABD" w:rsidRDefault="002869C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ազգային օրենսդրական դաշտի մշտական կատարելագործում և համապատասխանեցում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ՄԱԿ-ի 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պահանջներին, </w:t>
      </w:r>
    </w:p>
    <w:p w14:paraId="61F9B1D6" w14:textId="359A12C0" w:rsidR="00FE7826" w:rsidRPr="00A06ABD" w:rsidRDefault="002869C6" w:rsidP="00A36F51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կ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ենտրոնանալով «Մեկ առողջության» համատեքստի վրա՝ մշակել և դիտարկել տարբերակներ՝ ամրապնդելու բազմոլորտային և միջոլորտային համագործակցությունը, ՄԱԿ-ի իրականացման համար, որոնք կարող են ներառել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հետևյալը.</w:t>
      </w:r>
    </w:p>
    <w:p w14:paraId="43283EF4" w14:textId="77777777" w:rsidR="00FE7826" w:rsidRPr="00A06ABD" w:rsidRDefault="00FE7826" w:rsidP="00A36F51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ա. «Հիվանդությունների վերահսկման և կանխարգելման ազգային կենտրոն» պետական ոչ առևտրային կազմակերպության մանդատի և լիազորությունների ամրապնդումը ՝ աջակցելու ՄԱԿ-ի ազգային համակարգողի բոլոր գործառույթներին՝ ապահովելով բավարար ֆինանսական և մարդկային ռեսուրսներ՝ այդ գործառույթներն իրականացնելու համար,</w:t>
      </w:r>
    </w:p>
    <w:p w14:paraId="7A03DE45" w14:textId="7B95255C" w:rsidR="00FE7826" w:rsidRPr="00A06ABD" w:rsidRDefault="00FE7826" w:rsidP="00A36F51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բ. ՄԱԿ-ի ազգային միջգերատեսչական հանձնաժողովին ընձեռնել ավելի մեծ </w:t>
      </w:r>
      <w:r w:rsidR="00BD10C0" w:rsidRPr="00A06ABD">
        <w:rPr>
          <w:rFonts w:ascii="GHEA Grapalat" w:hAnsi="GHEA Grapalat" w:cs="Sylfaen"/>
          <w:sz w:val="24"/>
          <w:szCs w:val="24"/>
          <w:lang w:val="hy-AM"/>
        </w:rPr>
        <w:t>իրավասություններ՝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 ՄԱԿ-ի կարողությունների շարունակական հզորացման համար,</w:t>
      </w:r>
    </w:p>
    <w:p w14:paraId="0172EFC9" w14:textId="77777777" w:rsidR="00FE7826" w:rsidRPr="00A06ABD" w:rsidRDefault="00FE7826" w:rsidP="00A36F51">
      <w:pPr>
        <w:spacing w:before="120"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lastRenderedPageBreak/>
        <w:t>գ. տարբեր գործիքների միջոցով ռիսկերի գնահատման և արձագանքման միջոցառումների հետագա ամրապնդում ազգային, մարզային և տեղական մակարդակներում,</w:t>
      </w:r>
    </w:p>
    <w:p w14:paraId="3165A918" w14:textId="6ACDAFA3" w:rsidR="00FE7826" w:rsidRPr="00A06ABD" w:rsidRDefault="00196994" w:rsidP="00A36F51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8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 xml:space="preserve">տարբեր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ոլորտների և 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 xml:space="preserve">պետական կառավարման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համակարգի տարբեր մակարդակների միջև 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>փոխ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համագործակցության մեխանիզմներ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>ի հետագա կատարելագործում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 xml:space="preserve"> արտակարգ իրավիճակների</w:t>
      </w:r>
      <w:r w:rsidR="00766B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>արձագանքման կարևորագույն գործառույթների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5D76" w:rsidRPr="00A06ABD">
        <w:rPr>
          <w:rFonts w:ascii="GHEA Grapalat" w:hAnsi="GHEA Grapalat" w:cs="Sylfaen"/>
          <w:sz w:val="24"/>
          <w:szCs w:val="24"/>
          <w:lang w:val="hy-AM"/>
        </w:rPr>
        <w:t xml:space="preserve">լիարժեք </w:t>
      </w:r>
      <w:r w:rsidR="002869C6" w:rsidRPr="00A06ABD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FE7826" w:rsidRPr="00A06ABD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2414C49B" w14:textId="77777777" w:rsidR="00FE7826" w:rsidRPr="00A06ABD" w:rsidRDefault="00FE7826" w:rsidP="00A36F51">
      <w:pPr>
        <w:spacing w:after="0" w:line="360" w:lineRule="auto"/>
        <w:rPr>
          <w:rFonts w:ascii="GHEA Grapalat" w:hAnsi="GHEA Grapalat" w:cs="Calibri"/>
          <w:sz w:val="24"/>
          <w:szCs w:val="24"/>
          <w:lang w:val="hy-AM"/>
        </w:rPr>
      </w:pPr>
    </w:p>
    <w:p w14:paraId="4BC726D7" w14:textId="5A58E50E" w:rsidR="00FE7826" w:rsidRPr="00A06ABD" w:rsidRDefault="00766B9B" w:rsidP="00A36F5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Theme="minorHAnsi" w:hAnsi="GHEA Grapalat" w:cs="Calibri"/>
          <w:lang w:val="hy-AM" w:eastAsia="en-US"/>
        </w:rPr>
      </w:pPr>
      <w:r>
        <w:rPr>
          <w:rFonts w:ascii="GHEA Grapalat" w:eastAsiaTheme="minorHAnsi" w:hAnsi="GHEA Grapalat" w:cs="Calibri"/>
          <w:b/>
          <w:bCs/>
          <w:lang w:val="hy-AM" w:eastAsia="en-US"/>
        </w:rPr>
        <w:t xml:space="preserve"> </w:t>
      </w:r>
      <w:r w:rsidR="00FE7826" w:rsidRPr="00A06ABD">
        <w:rPr>
          <w:rFonts w:ascii="GHEA Grapalat" w:eastAsiaTheme="minorHAnsi" w:hAnsi="GHEA Grapalat" w:cs="Calibri"/>
          <w:b/>
          <w:bCs/>
          <w:lang w:val="hy-AM" w:eastAsia="en-US"/>
        </w:rPr>
        <w:t>5.</w:t>
      </w:r>
      <w:r>
        <w:rPr>
          <w:rFonts w:ascii="GHEA Grapalat" w:eastAsiaTheme="minorHAnsi" w:hAnsi="GHEA Grapalat" w:cs="Calibri"/>
          <w:b/>
          <w:bCs/>
          <w:lang w:val="hy-AM" w:eastAsia="en-US"/>
        </w:rPr>
        <w:t xml:space="preserve"> </w:t>
      </w:r>
      <w:r w:rsidR="00FE7826" w:rsidRPr="00A06ABD">
        <w:rPr>
          <w:rFonts w:ascii="GHEA Grapalat" w:eastAsiaTheme="minorHAnsi" w:hAnsi="GHEA Grapalat" w:cs="Calibri"/>
          <w:b/>
          <w:bCs/>
          <w:lang w:val="hy-AM" w:eastAsia="en-US"/>
        </w:rPr>
        <w:t>ԾՐԱԳՐԻ ՍԿԶԲՈՒՆՔՆԵՐԸ</w:t>
      </w:r>
    </w:p>
    <w:p w14:paraId="3229F4F7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Calibri" w:eastAsiaTheme="minorHAnsi" w:hAnsi="Calibri" w:cs="Calibri"/>
          <w:lang w:val="hy-AM" w:eastAsia="en-US"/>
        </w:rPr>
        <w:t> </w:t>
      </w:r>
    </w:p>
    <w:p w14:paraId="0EA76447" w14:textId="13448E53" w:rsidR="00FE7826" w:rsidRPr="00A06ABD" w:rsidRDefault="00FE7826" w:rsidP="00A36F5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Հայաստանում բոլոր քաղաքականությունների, ծրագրերի մշակման գործընթացներում և ՄԱԿ-ի ինտեգրման հիմքում դրվում են հետևյալ հիմնարար սկզբունքները: Ակնկալվում է, որ այդ սկզբունքները կլինեն քաղաքականության պլանավորման անբաժան բաղադրիչ՝ ապահովելով ՄԱԿ-ի պահանջների ինտեգրումը ոլորտային և տարածքային կառավարման գործընթացներում, ինչը կհանգեցնի տարբեր հանրային առողջապահական արտակարգ իրավիճակների</w:t>
      </w:r>
      <w:r w:rsidR="00766B9B">
        <w:rPr>
          <w:rFonts w:ascii="GHEA Grapalat" w:eastAsiaTheme="minorHAnsi" w:hAnsi="GHEA Grapalat" w:cs="Calibri"/>
          <w:lang w:val="hy-AM" w:eastAsia="en-US"/>
        </w:rPr>
        <w:t xml:space="preserve"> </w:t>
      </w:r>
      <w:r w:rsidRPr="00A06ABD">
        <w:rPr>
          <w:rFonts w:ascii="GHEA Grapalat" w:eastAsiaTheme="minorHAnsi" w:hAnsi="GHEA Grapalat" w:cs="Calibri"/>
          <w:lang w:val="hy-AM" w:eastAsia="en-US"/>
        </w:rPr>
        <w:t>ազդեցության նկատմամբ երկրի ընդհանուր խոցելիության նվազեցմանը՝</w:t>
      </w:r>
    </w:p>
    <w:p w14:paraId="46BEA247" w14:textId="5FBA54CB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1)</w:t>
      </w:r>
      <w:r w:rsidR="00766B9B">
        <w:rPr>
          <w:rFonts w:ascii="Calibri" w:eastAsiaTheme="minorHAnsi" w:hAnsi="Calibri" w:cs="Calibri"/>
          <w:lang w:val="hy-AM" w:eastAsia="en-US"/>
        </w:rPr>
        <w:t xml:space="preserve"> 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Հանրային առողջապահության անվտանգության խոցելիությունը և սոցիալական հավասարությունը փոխկապակցված են</w:t>
      </w:r>
      <w:r w:rsidRPr="00A06ABD">
        <w:rPr>
          <w:rFonts w:ascii="GHEA Grapalat" w:eastAsiaTheme="minorHAnsi" w:hAnsi="GHEA Grapalat" w:cs="Calibri"/>
          <w:lang w:val="hy-AM" w:eastAsia="en-US"/>
        </w:rPr>
        <w:t xml:space="preserve">: Բնակչության որոշ խմբեր կամ համայնքներ ենթարկվելու են անհամաչափ ազդեցության՝ հաշվի առնելով </w:t>
      </w:r>
      <w:r w:rsidR="00FD3489" w:rsidRPr="00A06ABD">
        <w:rPr>
          <w:rFonts w:ascii="GHEA Grapalat" w:eastAsiaTheme="minorHAnsi" w:hAnsi="GHEA Grapalat" w:cs="Calibri"/>
          <w:lang w:val="hy-AM" w:eastAsia="en-US"/>
        </w:rPr>
        <w:t>հանրային առողջապահության</w:t>
      </w:r>
      <w:r w:rsidRPr="00A06ABD">
        <w:rPr>
          <w:rFonts w:ascii="GHEA Grapalat" w:eastAsiaTheme="minorHAnsi" w:hAnsi="GHEA Grapalat" w:cs="Calibri"/>
          <w:lang w:val="hy-AM" w:eastAsia="en-US"/>
        </w:rPr>
        <w:t xml:space="preserve"> ռիսկերի նկատմամբ զգայունությունը, կամ առաջացած հետևանքների նկատմամբ հարմարվողականության անբավարար կարողությունները: Ըստ որի, հաշվի առնելով ռեսուրսների սահմանափակ բնույթը, առավել քան կարևոր է գործողությունների առաջնահերթություն սահմանել համայնքների առավել խոցելի և տուժած անդամների համար: Անհրաժեշտ է գործողությունների առաջնահերթություն սահմանել ՄԱԿ-ի տեսակետից խոցելի բնակչության խմբերի համար, ինչպես նաև որոշումների կայացման և իրականացման բոլոր մակարդակներում հաշվի առնել սոցիալական հավասարության սկզբունքը,</w:t>
      </w:r>
    </w:p>
    <w:p w14:paraId="1A645743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2)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ՄԱԿ-ի պահանջների գենդերային մոտեցումների խթանում</w:t>
      </w:r>
      <w:r w:rsidRPr="00A06ABD">
        <w:rPr>
          <w:rFonts w:ascii="GHEA Grapalat" w:eastAsiaTheme="minorHAnsi" w:hAnsi="GHEA Grapalat" w:cs="Calibri"/>
          <w:lang w:val="hy-AM" w:eastAsia="en-US"/>
        </w:rPr>
        <w:t xml:space="preserve">: Կանայք և տղամարդիկ տարբեր կերպ են կրում արտակարգ իրավիճակների ազդեցությունը և ունեն տարբեր կարիքներ, հնարավորություններ և կարողություններ: Առանձին դեպքերում կանայք առողջապահական լրացուցիչ խոչընդոտների են հանդիպում՝ </w:t>
      </w:r>
      <w:r w:rsidRPr="00A06ABD">
        <w:rPr>
          <w:rFonts w:ascii="GHEA Grapalat" w:eastAsiaTheme="minorHAnsi" w:hAnsi="GHEA Grapalat" w:cs="Calibri"/>
          <w:lang w:val="hy-AM" w:eastAsia="en-US"/>
        </w:rPr>
        <w:lastRenderedPageBreak/>
        <w:t>կապված սոցիալական նորմերի և գործելակերպերի հետ, որոնք սահմանափակում են կանանց համար տեղեկատվության, ռեսուրսների և հնարավորությունների հասանելիությունը: Այդ խնդիրները պետք է դիտարկվեն ՄԱԿ-ի պահանջների պլանավորման ընթացքում, որպեսզի չնպաստեն գենդերային անհավասարության խորացմանը։ Ընդունելով և արձագանքելով գենդերային տարբերություններին՝ ՄԱԿ-ի պահանջները կարող են օգնել հաղթահարել ավանդական գենդերային խոչընդոտները, մասնավորապես՝ որոշումների կայացման գործում կանանց մասնակցության առումով: Հավասար և արդյունավետ մասնակցության դեպքում ավելի մեծ է հավանականությունը, որ ՄԱԿ-ի ներդրումը կզարգանա՝ արձագանքելով գենդերային խնդիրներին, և որ այդ գործընթացներից բխող հնարավորություններն ու օգուտները կլինեն ավելի հավասար բաշխված, դրանով իսկ կնվազեն գենդերային խոցելիությունները և ռիսկերը,</w:t>
      </w:r>
    </w:p>
    <w:p w14:paraId="1674542C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3)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Բազմաբնույթ վտանգներին արձագանքելու մոտեցում</w:t>
      </w:r>
      <w:r w:rsidRPr="00A06ABD">
        <w:rPr>
          <w:rFonts w:ascii="GHEA Grapalat" w:eastAsiaTheme="minorHAnsi" w:hAnsi="GHEA Grapalat" w:cs="Calibri"/>
          <w:lang w:val="hy-AM" w:eastAsia="en-US"/>
        </w:rPr>
        <w:t>: Բազմաբնույթ վտանգների արձագանքման մոտեցումը թույլ է տալիս սահմանել և նպաստել այնպիսի լուծումների իրագործմանը, որոնք միաժամանակ անդրադառնում են ավելի քան մեկ վտանգի։ Այս մոտեցմամբ հնարավոր է ավելի արդյունավետ օգտագործել ռեսուրսները ՄԱԿ-ի տարաբնույթ վտանգներին արձագանքելու համար: Բազմաբնույթ վտանգներին արձագանքման մոտեցումը նաև ենթադրում է վտանգների և դրանց լուծումների ավելի ամբողջական փոխկապակցվածություն,</w:t>
      </w:r>
    </w:p>
    <w:p w14:paraId="07CDE39F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4)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Ռիսկերի նվազեցման և զարգացման հավասարակշռում: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lang w:val="hy-AM" w:eastAsia="en-US"/>
        </w:rPr>
        <w:t>ՄԱԿ-ի պահանջների պլանավորումը հաճախ կենտրոնանում է այն առաջնահերթ գործողությունների իրականացման վրա, որոնք ապահովում են ռիսկերի առավելագույն նվազեցում: Այնուամենայնիվ, ՄԱԿ-ով պայմանավորված ռիսկերը կարող են փոփոխվել: Հաջողված ՄԱԿ ներդրումը նշանակում է, որ բացասական ազդեցությունները տեղի կունենան ավելի ցածր ինտենսիվությամբ: Մինչդեռ սոցիալական, բնապահպանական և տնտեսական նկատառումների հստակ ներառման դեպքում կարող են հնարավոր դառնալ ՄԱԿ-ով պայմանավորված ռիսկերին արձագանքման այլընտրանքային լուծումներ,</w:t>
      </w:r>
    </w:p>
    <w:p w14:paraId="00A1F0C1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 xml:space="preserve"> 5)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Ներգրավվածություն և ներառականություն</w:t>
      </w:r>
      <w:r w:rsidRPr="00A06ABD">
        <w:rPr>
          <w:rFonts w:ascii="GHEA Grapalat" w:eastAsiaTheme="minorHAnsi" w:hAnsi="GHEA Grapalat" w:cs="Calibri"/>
          <w:lang w:val="hy-AM" w:eastAsia="en-US"/>
        </w:rPr>
        <w:t xml:space="preserve">։ ՄԱԿ-ը պահանջում է մշակել նոր մոտեցումներ և հարցի բազմակողմանի դիտարկման եղանակներ: Լայնածավալ, խորը և համագործակցային ներգրավվածությունը հիմնարար է ՄԱԿ-ի պատշաճ </w:t>
      </w:r>
      <w:r w:rsidRPr="00A06ABD">
        <w:rPr>
          <w:rFonts w:ascii="GHEA Grapalat" w:eastAsiaTheme="minorHAnsi" w:hAnsi="GHEA Grapalat" w:cs="Calibri"/>
          <w:lang w:val="hy-AM" w:eastAsia="en-US"/>
        </w:rPr>
        <w:lastRenderedPageBreak/>
        <w:t>արձագանքման տեսանկյունից: ՄԱԿ-ի որոշումների ազդակիրները ոչ միայն պետք է ուղղակիորեն ներգրավված լինեն այդ որոշումների մշակման մեջ, այլև պետք է անմիջականորեն, համագործակցային հիմունքով մասնակցեն լուծումների բացահայտմանը։ Ներառականությունն ապահովում է նախագծման, իրականացման և օգուտների հավասարաչափ բաշխման գործընթացի արդարացիությունը և հասանելիությունը:</w:t>
      </w:r>
    </w:p>
    <w:p w14:paraId="5F9DD31C" w14:textId="4FA22089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6)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b/>
          <w:bCs/>
          <w:lang w:val="hy-AM" w:eastAsia="en-US"/>
        </w:rPr>
        <w:t>Թափանցիկություն և գիտելիքների փոխանցում:</w:t>
      </w:r>
      <w:r w:rsidRPr="00A06ABD">
        <w:rPr>
          <w:rFonts w:ascii="Calibri" w:eastAsiaTheme="minorHAnsi" w:hAnsi="Calibri" w:cs="Calibri"/>
          <w:lang w:val="hy-AM" w:eastAsia="en-US"/>
        </w:rPr>
        <w:t> </w:t>
      </w:r>
      <w:r w:rsidRPr="00A06ABD">
        <w:rPr>
          <w:rFonts w:ascii="GHEA Grapalat" w:eastAsiaTheme="minorHAnsi" w:hAnsi="GHEA Grapalat" w:cs="Calibri"/>
          <w:lang w:val="hy-AM" w:eastAsia="en-US"/>
        </w:rPr>
        <w:t>ՄԱԿ-ի կիրառման լավագույն փորձի փոխանակումը, հանրային առողջապահության</w:t>
      </w:r>
      <w:r w:rsidR="00766B9B">
        <w:rPr>
          <w:rFonts w:ascii="GHEA Grapalat" w:eastAsiaTheme="minorHAnsi" w:hAnsi="GHEA Grapalat" w:cs="Calibri"/>
          <w:lang w:val="hy-AM" w:eastAsia="en-US"/>
        </w:rPr>
        <w:t xml:space="preserve"> </w:t>
      </w:r>
      <w:r w:rsidRPr="00A06ABD">
        <w:rPr>
          <w:rFonts w:ascii="GHEA Grapalat" w:eastAsiaTheme="minorHAnsi" w:hAnsi="GHEA Grapalat" w:cs="Calibri"/>
          <w:lang w:val="hy-AM" w:eastAsia="en-US"/>
        </w:rPr>
        <w:t>վերաբերյալ տեղեկատվության և տվյալների հավաքագրման բարելավումը, ինչպես նաև այդ տեղեկատվության և տվյալների տրամադրումը ՄԱԿ-ի գործընթացների էական բաղկացուցիչներ են: Համապատասխան տեղեկատվությունը պետք է ներկայացվի այնպես, որ լինի հասկանալի, ներկայացվի հետևողականորեն և համապատասխանի տվյալ թիրախային լսարանի պահանջներին:</w:t>
      </w:r>
    </w:p>
    <w:p w14:paraId="44B8BF73" w14:textId="5B28BC57" w:rsidR="00FE7826" w:rsidRPr="00A06ABD" w:rsidRDefault="00196994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7</w:t>
      </w:r>
      <w:r w:rsidR="00FE7826" w:rsidRPr="00A06ABD">
        <w:rPr>
          <w:rFonts w:ascii="GHEA Grapalat" w:eastAsiaTheme="minorHAnsi" w:hAnsi="GHEA Grapalat" w:cs="Calibri"/>
          <w:lang w:val="hy-AM" w:eastAsia="en-US"/>
        </w:rPr>
        <w:t>)</w:t>
      </w:r>
      <w:r w:rsidR="00FE7826" w:rsidRPr="00A06ABD">
        <w:rPr>
          <w:rFonts w:ascii="Calibri" w:eastAsiaTheme="minorHAnsi" w:hAnsi="Calibri" w:cs="Calibri"/>
          <w:lang w:val="hy-AM" w:eastAsia="en-US"/>
        </w:rPr>
        <w:t> </w:t>
      </w:r>
      <w:r w:rsidR="00FE7826" w:rsidRPr="00A06ABD">
        <w:rPr>
          <w:rFonts w:ascii="GHEA Grapalat" w:eastAsiaTheme="minorHAnsi" w:hAnsi="GHEA Grapalat" w:cs="Calibri"/>
          <w:b/>
          <w:bCs/>
          <w:lang w:val="hy-AM" w:eastAsia="en-US"/>
        </w:rPr>
        <w:t>ՄԱԿ-ի հետ կապված ֆինանսական որոշումների կայացում և կառավարում</w:t>
      </w:r>
      <w:r w:rsidR="00FE7826" w:rsidRPr="00A06ABD">
        <w:rPr>
          <w:rFonts w:ascii="GHEA Grapalat" w:eastAsiaTheme="minorHAnsi" w:hAnsi="GHEA Grapalat" w:cs="Calibri"/>
          <w:lang w:val="hy-AM" w:eastAsia="en-US"/>
        </w:rPr>
        <w:t xml:space="preserve">: ՄԱԿ-ը Հայաստանի վրա ֆինանսական ազդեցություն ունի և շարունակելու է ունենալ: Հանրային առողջապահական իրադարձությունները հետզհետե դառնում են ավելի ծայրահեղ և ավելի հաճախակի. հետևաբար բնակչությանը, կենսապայմաններին և ենթակառուցվածքներին պատճառված վնասը վերականգնելու և փոխհատուցելու համար պահանջվելու են հետզհետե ավելի մեծ ծախսեր, կրճատվելու է ակտիվների շահագործման տևողությունը, դա բացասաբար է ազդելու արտակարգ իրավիճակների հետևանքներին դիմագրավելու մարդկանց կարողությունների վրա: ՄԱԿ-ի համար պահանջվել և պահանջվելու են ներդրումներ, ինչն արդեն իսկ մարտահրավեր է: </w:t>
      </w:r>
    </w:p>
    <w:p w14:paraId="7E9581C1" w14:textId="443DFFA9" w:rsidR="00FE7826" w:rsidRPr="00A06ABD" w:rsidRDefault="00FE7826" w:rsidP="00A36F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 xml:space="preserve">Հեռատեսորեն կատարված յուրաքանչյուր ներդրում գործնականում կարող է թույլ տալ մի քանի անգամ խնայել վերականգման համար պահանջվող միջոցները: </w:t>
      </w:r>
    </w:p>
    <w:p w14:paraId="489FC74B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Calibri" w:eastAsiaTheme="minorHAnsi" w:hAnsi="Calibri" w:cs="Calibri"/>
          <w:lang w:val="hy-AM" w:eastAsia="en-US"/>
        </w:rPr>
        <w:t> </w:t>
      </w:r>
    </w:p>
    <w:p w14:paraId="34AD5D97" w14:textId="060527C6" w:rsidR="00FE7826" w:rsidRPr="00A06ABD" w:rsidRDefault="00766B9B" w:rsidP="00A36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Theme="minorHAnsi" w:hAnsi="GHEA Grapalat" w:cs="Calibri"/>
          <w:lang w:val="hy-AM" w:eastAsia="en-US"/>
        </w:rPr>
      </w:pPr>
      <w:r>
        <w:rPr>
          <w:rFonts w:ascii="GHEA Grapalat" w:eastAsiaTheme="minorHAnsi" w:hAnsi="GHEA Grapalat" w:cs="Calibri"/>
          <w:b/>
          <w:bCs/>
          <w:lang w:val="hy-AM" w:eastAsia="en-US"/>
        </w:rPr>
        <w:t xml:space="preserve"> </w:t>
      </w:r>
      <w:r w:rsidR="00FE7826" w:rsidRPr="00A06ABD">
        <w:rPr>
          <w:rFonts w:ascii="GHEA Grapalat" w:eastAsiaTheme="minorHAnsi" w:hAnsi="GHEA Grapalat" w:cs="Calibri"/>
          <w:b/>
          <w:bCs/>
          <w:lang w:val="hy-AM" w:eastAsia="en-US"/>
        </w:rPr>
        <w:t>6. ԾՐԱԳՐԻ ՊԼԱՆԱՎՈՐՄԱՆ ԳՈՐԾԸՆԹԱՑԻ ՀԱՄԱԿԱՐԳՄԱՆ ԵՎ ՎԵՐԱՀՍԿՈՂՈՒԹՅԱՆ ԻՆՍՏԻՏՈՒՑԻՈՆԱԼ ԿԱՐԳԱՎՈՐՈՒՄԸ</w:t>
      </w:r>
    </w:p>
    <w:p w14:paraId="79EC3F6C" w14:textId="77777777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Calibri" w:eastAsiaTheme="minorHAnsi" w:hAnsi="Calibri" w:cs="Calibri"/>
          <w:lang w:val="hy-AM" w:eastAsia="en-US"/>
        </w:rPr>
        <w:t> </w:t>
      </w:r>
    </w:p>
    <w:p w14:paraId="43234E93" w14:textId="77777777" w:rsidR="00D126B9" w:rsidRPr="00A06ABD" w:rsidRDefault="00FE7826" w:rsidP="00A36F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lastRenderedPageBreak/>
        <w:t>Ընդհանուր առմամբ, Ծրագրի գործընթացի նպատակն է աջակցել ՄԱԿ-ի գործողությունների համակարգմանը ազգային մակարդակում և խթանել ռազմավարական ներդրումները հանրային առողջապահության բնագավառում և դիմակայուն զարգացման գործում: Ծրագրի իրագործումն ու ՄԱԿ-ի իրագործումը պահանջում է համակարգված և հետևողական քաղաքականություն, որը հիմնված է բազմաթիվ աղբյուրներից ստացվող փորձագիտական օժանդակություն վրա: Հետևաբար, համապարփակ, երկրի մակարդակով համակարգման կառույցի ամրապնդումը ՄԱԿ-ի հիմնական պահանջներից է: Համակարգման նման մեխանիզմը կարող է օգնել՝ ապահովել սահմանափակ ռեսուրսների արդյունավետ օգտագործումը:</w:t>
      </w:r>
    </w:p>
    <w:p w14:paraId="1E667F80" w14:textId="77777777" w:rsidR="00D126B9" w:rsidRPr="00A06ABD" w:rsidRDefault="00FE7826" w:rsidP="00A36F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 xml:space="preserve"> Ներկայումս ՄԱԿ-ի պահանջների կատարման պատասխանատու կառույցը միջգերատեսչական հանձնաժողովն է: Այն ձևավորվել է ՀՀ վարչապետի 2013 թվականի մայիսի 23-ի 22-Ա որոշմամբ։ Հանձնաժողովի նախագահը Առողջապահության նախարարի առաջին տեղակալն է: Հանձնաժողովը նաև հանդիսանում է հարթակ, որի միջոցով ՀՀ կառավարությունը, մասնավոր հատվածի ընկերությունները և միջազգային զարգացման գործընկերները (վերջին երկուսը` որպես չքվեարկող անդամներ) համատեղ ուժերով հնարավորություն ունեն իրականացնել գործողությունների լայն շրջանակ` ՄԱԿ-ի ուղղությամբ ձեռնարկվող գործողություններին օժանդակելու և դրանք համակարգելու համար: </w:t>
      </w:r>
    </w:p>
    <w:p w14:paraId="3468A277" w14:textId="0A4910E3" w:rsidR="00FE7826" w:rsidRPr="00A06ABD" w:rsidRDefault="00FE7826" w:rsidP="00A36F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="Calibri"/>
          <w:lang w:val="hy-AM" w:eastAsia="en-US"/>
        </w:rPr>
      </w:pPr>
      <w:r w:rsidRPr="00A06ABD">
        <w:rPr>
          <w:rFonts w:ascii="GHEA Grapalat" w:eastAsiaTheme="minorHAnsi" w:hAnsi="GHEA Grapalat" w:cs="Calibri"/>
          <w:lang w:val="hy-AM" w:eastAsia="en-US"/>
        </w:rPr>
        <w:t>Ներկայումս հաստատված են հանձնաժողովի</w:t>
      </w:r>
      <w:r w:rsidR="00C320DB" w:rsidRPr="00A06ABD">
        <w:rPr>
          <w:rFonts w:ascii="GHEA Grapalat" w:eastAsiaTheme="minorHAnsi" w:hAnsi="GHEA Grapalat" w:cs="Calibri"/>
          <w:lang w:val="hy-AM" w:eastAsia="en-US"/>
        </w:rPr>
        <w:t xml:space="preserve"> լիազորությունները,</w:t>
      </w:r>
      <w:r w:rsidRPr="00A06ABD">
        <w:rPr>
          <w:rFonts w:ascii="GHEA Grapalat" w:eastAsiaTheme="minorHAnsi" w:hAnsi="GHEA Grapalat" w:cs="Calibri"/>
          <w:lang w:val="hy-AM" w:eastAsia="en-US"/>
        </w:rPr>
        <w:t xml:space="preserve"> կառուցվածքը՝ նպատակ ունենալով ապահովել ՄԱԿ-ի կառավարման և քաղաքականության գործընթացներում անկախ փորձագիտական խորհրդատվության ինտեգրումը, վերահսկողությունը և համակարգված մոտեցումը՝ կայուն զարգացման և տարբեր արտակարգ իրավիճակների հանդեպ դիմակայունության ուղղությամբ և քաղաքացիական հասարակության մասնակցության ընդլայնումը ոլորտային ու թեմատիկ հարթակներում կանոնավոր երկխոսություն ապահովելու միջոցով:</w:t>
      </w:r>
    </w:p>
    <w:p w14:paraId="469A0D17" w14:textId="3B046D5E" w:rsidR="00FE7826" w:rsidRPr="00A06ABD" w:rsidRDefault="00FE7826" w:rsidP="00A36F5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Calibri"/>
          <w:b/>
          <w:lang w:val="hy-AM"/>
        </w:rPr>
      </w:pPr>
      <w:r w:rsidRPr="00A06ABD">
        <w:rPr>
          <w:rFonts w:ascii="GHEA Grapalat" w:hAnsi="GHEA Grapalat" w:cs="Calibri"/>
          <w:b/>
          <w:lang w:val="hy-AM"/>
        </w:rPr>
        <w:t>7. ԾՐԱԳՐԻ ԻՐԱԿԱՆԱՑՈՒՄ</w:t>
      </w:r>
    </w:p>
    <w:p w14:paraId="1EF50D4A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Calibri" w:hAnsi="Calibri" w:cs="Calibri"/>
          <w:sz w:val="24"/>
          <w:szCs w:val="24"/>
          <w:lang w:val="hy-AM"/>
        </w:rPr>
        <w:t> </w:t>
      </w:r>
    </w:p>
    <w:p w14:paraId="3A0B92DF" w14:textId="77777777" w:rsidR="00FE7826" w:rsidRPr="00A06ABD" w:rsidRDefault="00FE7826" w:rsidP="00A36F51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Ծրագիրը բաղկացած է իրագործման ենթակա միջոցառումներից՝ մի քանի ուղղություններով:</w:t>
      </w:r>
    </w:p>
    <w:p w14:paraId="690E3752" w14:textId="77777777" w:rsidR="00FE7826" w:rsidRPr="00A06ABD" w:rsidRDefault="00FE7826" w:rsidP="00A36F51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>Ծրագրով նախատեսվող մի շարք գործողություններ (միջոցառումներ) արդեն ներառված են ՀՀ կառավարության տարբեր ռազմավարություններում ու ծրագրերում և այդ գործողությունները ներառված չեն սույն Ծրագրում, միաժամանակ դրանց իրականացումը նպաստում է հանրային առողջապահության անվտանգության մակարդակի բարձրացմանը՝</w:t>
      </w:r>
    </w:p>
    <w:p w14:paraId="368F865F" w14:textId="559295FB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Իմունականխարգելման միջոցառումները ներառված են Հայաստանի Հանրապետության կառավարության 2020 թվականի դեկտեմբերի 17-ի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««2021-2025</w:t>
      </w:r>
      <w:r w:rsidR="00766B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թվականների</w:t>
      </w:r>
      <w:r w:rsidR="00766B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իմունականխարգելման</w:t>
      </w:r>
      <w:r w:rsidR="00766B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ազգային</w:t>
      </w:r>
      <w:r w:rsidR="00766B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ծրագիրը և իմունականխարգելման ազգային ծրագրի գերակա միջոցառումների ցանկը» պետական ծրագիրը հաստատելու մասին»</w:t>
      </w:r>
      <w:r w:rsidRPr="00A06ABD">
        <w:rPr>
          <w:rFonts w:ascii="GHEA Grapalat" w:eastAsia="Times New Roman" w:hAnsi="GHEA Grapalat"/>
          <w:sz w:val="24"/>
          <w:szCs w:val="24"/>
          <w:lang w:val="af-ZA"/>
        </w:rPr>
        <w:t xml:space="preserve"> N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2129-Ն,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կառավարության 2023 թվականի փետրվարի 9-ի «Հայաստանի Հանրապետության առողջապահության համակարգի </w:t>
      </w:r>
      <w:r w:rsidRPr="00A06ABD">
        <w:rPr>
          <w:rFonts w:ascii="GHEA Grapalat" w:eastAsia="Times New Roman" w:hAnsi="GHEA Grapalat"/>
          <w:sz w:val="24"/>
          <w:szCs w:val="24"/>
          <w:lang w:val="af-ZA"/>
        </w:rPr>
        <w:t>2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023-2026 թվականների զարգացման ռազմավարությունը և դրանից բխող միջոցառումների ցանկը հաստատելու մասին»</w:t>
      </w:r>
      <w:r w:rsidRPr="00A06ABD">
        <w:rPr>
          <w:rFonts w:ascii="GHEA Grapalat" w:eastAsia="Times New Roman" w:hAnsi="GHEA Grapalat"/>
          <w:sz w:val="24"/>
          <w:szCs w:val="24"/>
          <w:lang w:val="af-ZA"/>
        </w:rPr>
        <w:t xml:space="preserve"> N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 xml:space="preserve"> 174-Լ, 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Հայաստանի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Հանրապետության կառավարության 2021 թվականի</w:t>
      </w:r>
      <w:r w:rsidR="00766B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eastAsia="Times New Roman" w:hAnsi="GHEA Grapalat"/>
          <w:sz w:val="24"/>
          <w:szCs w:val="24"/>
          <w:lang w:val="hy-AM"/>
        </w:rPr>
        <w:t>նոյեմբերի 18-ի «Հայաստանի Հանրապետության կառավարության 2021-2026 թվականների գործունեության միջոցառումների ծրագիրը հաստատելու մասին» N 1902–Լ որոշումներում,</w:t>
      </w:r>
    </w:p>
    <w:p w14:paraId="3B22B631" w14:textId="77777777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2023 թվականի հոկտեմբերի 5-ի «Աղետների ռիսկի կառավարման 2023-2030 թվականների ռազմավարությունը և 2023-2026 թվականների գործողությունների ծրագիրը հաստատելու մասին» N 1717-Լ որոշումը,</w:t>
      </w:r>
    </w:p>
    <w:p w14:paraId="3DB43ACF" w14:textId="479F0737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Է</w:t>
      </w:r>
      <w:r w:rsidRPr="00A06ABD">
        <w:rPr>
          <w:rFonts w:ascii="GHEA Grapalat" w:hAnsi="GHEA Grapalat"/>
          <w:sz w:val="24"/>
          <w:szCs w:val="24"/>
          <w:lang w:val="hy-AM"/>
        </w:rPr>
        <w:t>կոնոմիկայի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նախարարի 2023 թվականի մայիսի 30-ի «Հայաստանի Հանրապետությունում վարակիչ հիվանդությունների ներթափանցման ռիսկերի կառավարման գործընթացում արագ արձագանքման միջգերատեսչական աշխատանքային խումբ ստեղծելու դրա անհատական կազմը և աշխատակարգը հաստատելու մասին»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>N 927-Ա հրամանը: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40FC34" w14:textId="46FBDA27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2024 թվականի հունվարի 15–ի N 161–Լ և Հայաստանի Հանրապետության էկոնոմիկայի նախարարի 2024 թվականի հունվարի 23–ի</w:t>
      </w:r>
      <w:r w:rsidR="00766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/>
          <w:sz w:val="24"/>
          <w:szCs w:val="24"/>
          <w:lang w:val="hy-AM"/>
        </w:rPr>
        <w:t xml:space="preserve">N 106–Լ համատեղ հրամանով հաստատված միջոցառումների ուղղություն 4-ի 1-ին կետից է բխում «Բժշկական օգնության և սպասարկման ընթացքում ձեռք բերվող վարակների կանխարգելման </w:t>
      </w:r>
      <w:r w:rsidRPr="00A06ABD">
        <w:rPr>
          <w:rFonts w:ascii="GHEA Grapalat" w:hAnsi="GHEA Grapalat"/>
          <w:sz w:val="24"/>
          <w:szCs w:val="24"/>
          <w:lang w:val="hy-AM"/>
        </w:rPr>
        <w:lastRenderedPageBreak/>
        <w:t>2024-2028 թվականների ազգային ծրագրի» մշակումը, որը մշակվել է և գործադրման փուլում է,</w:t>
      </w:r>
    </w:p>
    <w:p w14:paraId="46182B09" w14:textId="77777777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Style w:val="rynqvb"/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Հաստատվել է Հայաստանի Հանրապետության կառավարության 2023 թվականի հուլիսի 20-ի «Առողջապահական ոլորտի լաբորատոր համակարգի զարգացման ռազմավարությունը և դրանից բխող 2023-2026 թթ. միջոցառումների ծրագիրը հաստատելու մասին» N 1237-Լ որոշումը (այսուհետ՝ Ռազմավարություն), որի մշակումը սահմանված էր Հայաստանի Հանրապետության կառավարության 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2021 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նոյեմբերի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18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«Հայաստանի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2021-2026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թվականների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գործունեության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միջոցառումների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ծրագիրը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հաստատելու</w:t>
      </w:r>
      <w:r w:rsidRPr="00A06ABD">
        <w:rPr>
          <w:rStyle w:val="Strong"/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Style w:val="Strong"/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>N 1902-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Լ</w:t>
      </w:r>
      <w:r w:rsidRPr="00A06ABD">
        <w:rPr>
          <w:rStyle w:val="rynqvb"/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ՀՀ կառավարության 2023 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փետրվարի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 xml:space="preserve"> 9–ի </w:t>
      </w:r>
      <w:r w:rsidRPr="00A06ABD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A06AB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համակարգի 2023-2026 թվականների զարգացման ռազմավարությունը և դրանից բխող միջոցառումների ցանկը հաստատելու մասին» </w:t>
      </w:r>
      <w:r w:rsidRPr="00A06ABD">
        <w:rPr>
          <w:rFonts w:ascii="GHEA Grapalat" w:eastAsia="Arial Unicode" w:hAnsi="GHEA Grapalat" w:cs="Arial Unicode"/>
          <w:color w:val="000000" w:themeColor="text1"/>
          <w:sz w:val="24"/>
          <w:szCs w:val="24"/>
          <w:shd w:val="clear" w:color="auto" w:fill="FFFFFF"/>
          <w:lang w:val="hy-AM"/>
        </w:rPr>
        <w:t>N 174-</w:t>
      </w:r>
      <w:r w:rsidRPr="00A06ABD">
        <w:rPr>
          <w:rFonts w:ascii="GHEA Grapalat" w:eastAsia="Arial Unicode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Լ</w:t>
      </w:r>
      <w:r w:rsidRPr="00A06ABD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որոշումներով</w:t>
      </w:r>
      <w:r w:rsidRPr="00A06ABD">
        <w:rPr>
          <w:rStyle w:val="rynqvb"/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Pr="00A06ABD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Ռազմավարության հիմնական նպատակն է </w:t>
      </w:r>
      <w:r w:rsidRPr="00A06ABD">
        <w:rPr>
          <w:rFonts w:ascii="GHEA Grapalat" w:hAnsi="GHEA Grapalat"/>
          <w:color w:val="000000" w:themeColor="text1"/>
          <w:sz w:val="24"/>
          <w:szCs w:val="24"/>
          <w:lang w:val="hy-AM"/>
        </w:rPr>
        <w:t>բարձրացնել լաբորատոր ծառայությունների նկատմամբ հանրային վստահությունը և լաբորատոր արդյունքների կշիռը՝ ի նպաստ հանրային առողջության պահպանման,</w:t>
      </w:r>
    </w:p>
    <w:p w14:paraId="2837D170" w14:textId="0B32D889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էկոնոմիկայի</w:t>
      </w:r>
      <w:r w:rsidRPr="00A06A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նախարարության կողմից մշակվել է </w:t>
      </w:r>
      <w:r w:rsidRPr="00A06AB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«</w:t>
      </w:r>
      <w:r w:rsidRPr="00A06ABD">
        <w:rPr>
          <w:rFonts w:ascii="GHEA Grapalat" w:hAnsi="GHEA Grapalat"/>
          <w:color w:val="000000" w:themeColor="text1"/>
          <w:sz w:val="24"/>
          <w:szCs w:val="24"/>
          <w:lang w:val="hy-AM"/>
        </w:rPr>
        <w:t>Լաբորատորիաների ցանցի ստեղծման մեխանիզմների մշակման ծրագիրը հաստատելու մասին</w:t>
      </w:r>
      <w:r w:rsidRPr="00A06AB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Pr="00A06A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որոշման նախագիծը, որի </w:t>
      </w:r>
      <w:r w:rsidRPr="00A06A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նպատակն է ստեղծել սննդամթերքի անվտանգության ոլորտի բարելավման և </w:t>
      </w:r>
      <w:r w:rsidRPr="00A06A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լաբորատորիաների կարողությունների գույքագրման տեսանկյունից խիստ կարևոր լաբորատորիաների ցանց, որը կմիավորի սննդամթերքի անվտանգության ոլորտին առնչվող լաբորատորիաները՝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նպաստելով լաբորատոր համակարգի կարողությունների շարունակական զարգացմանն ու անվտանգ գործելակարգի ամրապնդմանը, կենդանիների</w:t>
      </w:r>
      <w:r w:rsidR="00766B9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հիվանդությունների արդյունավետ վերահսկմանն ու կանխարգելմանը, սննդամթերքի անվտանգության ապահովմանը,</w:t>
      </w:r>
    </w:p>
    <w:p w14:paraId="006A6F03" w14:textId="095CC826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«Կլինիկական ուղեցույցների, պացիենտի վարման գործելակարգերի և այլ փաստաթղթերի մշակում և ներդրում» միջոցառումը նախատեսված է և Հայաստանի Հանրապետության կառավարության 2021 թվականի նոյեմբերի 18-ի N 1902-Լ որոշմամբ հաստատված «2021-2026 թվականների գործունեության միջոցառումների ծրագրի 21.2-րդ կետով և Հայաստանի Հանրապետության կառավարության 2023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թվականի</w:t>
      </w:r>
      <w:r w:rsidR="00766B9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փետրվարի 9-ի N 174-Լ որոշմամբ հաստատված</w:t>
      </w:r>
      <w:r w:rsidR="00766B9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«Հայաստանի Հանրապետության առողջապահության համակարգի 2023-2026 թվականների զարգացման ռազմավարությունից բխող միջոցառումների ցանկի 2.2-րդ բաժնի 2-րդ կետով,</w:t>
      </w:r>
    </w:p>
    <w:p w14:paraId="0E3177D8" w14:textId="3A7898BC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«Էլեկտրոնային առողջապահության արդիականացում» միջոցառումը ընդգրկված է Հայաստանի Հանրապետության կառավարության 2021 թվականի նոյեմբերի 18-ի N 1902-Լ որոշմամբ հաստատված «2021-2026 թվականների գործունեության միջոցառումների ծրագրում (14.1 կետ), ինչպես նաև Հայաստանի Հանրապետության կառավարության 2023 թվականի</w:t>
      </w:r>
      <w:r w:rsidR="00766B9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փետրվարի 9-ի N 174-Լ որոշմամբ հաստատված</w:t>
      </w:r>
      <w:r w:rsidR="00766B9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«Հայաստանի Հանրապետության առողջապահության համակարգի 2023-2026 թվականների զարգացման ռազմավարությունից բխող միջոցառումների ցանկ»-ում (2.1.1. Էլեկտրոնային առողջապահություն բաժին),</w:t>
      </w:r>
    </w:p>
    <w:p w14:paraId="1ACF6453" w14:textId="77777777" w:rsidR="00FE7826" w:rsidRPr="00A06ABD" w:rsidRDefault="00FE7826" w:rsidP="00A36F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06AB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առողջապահության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նախարարի 2022 թվականի հուլիսի 7-ի N 2910 – Լ հրամանով հաստատվել է «Առողջության առաջնային պահպանման օղակի բարեփոխումների </w:t>
      </w:r>
      <w:r w:rsidRPr="00A06AB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A06A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իջոցառումների ծրագիր»-ը:</w:t>
      </w:r>
    </w:p>
    <w:p w14:paraId="214894BD" w14:textId="68E714D5" w:rsidR="00FE7826" w:rsidRPr="00A06ABD" w:rsidRDefault="00FE7826" w:rsidP="00A36F51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Բոլոր ուղղությունների համար կարևորը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միջոլորտային համագործակցության խորացումն է՝ ՄԱԿ-ի գործառույթների հատկորոշման, առաջնահերթությունների որոշման, պլանավորման, ֆինանսների ներգրավման ուղղությամբ երկրի հաստատությունների կարողությունների ամրապնդմանը, ի լրումն բոլոր մակարդակներում ՄԱԿ-ի հետ կապված հանրային իրազեկման և գիտելիքների զարգացման: Վերջիններիս հատկորոշման համար որոշվել են ՄԱԿ-ի այնպիսի միջոցառումներ, որոնք.</w:t>
      </w:r>
    </w:p>
    <w:p w14:paraId="787EEAEA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1) ընդհանուր են մեկից ավելի ոլորտների համար (այսինքն՝ ունեն միջոլորտային բնույթ),</w:t>
      </w:r>
    </w:p>
    <w:p w14:paraId="380709CF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2) կապահովեն բազմակի օգուտներ,</w:t>
      </w:r>
    </w:p>
    <w:p w14:paraId="01101090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3) կլինեն բոլոր ոլորտների և կազմակերպությունների համար առավել արդյունավետ՝ առանցքային շահագրգիռ կողմերի կողմից համակարգված իրականացման շնորհիվ:</w:t>
      </w:r>
    </w:p>
    <w:p w14:paraId="13E8DB6F" w14:textId="3FB45249" w:rsidR="00D126B9" w:rsidRPr="00A06ABD" w:rsidRDefault="00FE7826" w:rsidP="00A36F51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Սույն որոշման Հավելված 2-ում ընդգրկված միջոցառումների մեծ մասի կատարումն ապահովելու համար լրացուցիչ ֆինանսական միջոցներ ընգրկելու կարիք չի զգացվում: </w:t>
      </w:r>
      <w:r w:rsidR="00CE128E" w:rsidRPr="00A06ABD">
        <w:rPr>
          <w:rFonts w:ascii="GHEA Grapalat" w:hAnsi="GHEA Grapalat" w:cs="Calibri"/>
          <w:sz w:val="24"/>
          <w:szCs w:val="24"/>
          <w:lang w:val="hy-AM"/>
        </w:rPr>
        <w:t>ՄԱԿ-ի առումով առաջնահերթ ոլորտներում Ծրագրով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E128E" w:rsidRPr="00A06ABD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նախատեսված որոշ միջոցառումների իրականացման համար 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հնարավոր </w:t>
      </w:r>
      <w:r w:rsidR="00CE128E" w:rsidRPr="00A06ABD">
        <w:rPr>
          <w:rFonts w:ascii="GHEA Grapalat" w:hAnsi="GHEA Grapalat" w:cs="Calibri"/>
          <w:sz w:val="24"/>
          <w:szCs w:val="24"/>
          <w:lang w:val="hy-AM"/>
        </w:rPr>
        <w:t>կլինի</w:t>
      </w:r>
      <w:r w:rsidR="00766B9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E128E" w:rsidRPr="00A06ABD">
        <w:rPr>
          <w:rFonts w:ascii="GHEA Grapalat" w:hAnsi="GHEA Grapalat" w:cs="Calibri"/>
          <w:sz w:val="24"/>
          <w:szCs w:val="24"/>
          <w:lang w:val="hy-AM"/>
        </w:rPr>
        <w:t xml:space="preserve">ֆինանսավորման </w:t>
      </w:r>
      <w:r w:rsidRPr="00A06ABD">
        <w:rPr>
          <w:rFonts w:ascii="GHEA Grapalat" w:hAnsi="GHEA Grapalat" w:cs="Calibri"/>
          <w:sz w:val="24"/>
          <w:szCs w:val="24"/>
          <w:lang w:val="hy-AM"/>
        </w:rPr>
        <w:t>միջազգային աջակցությանը ներգրավ</w:t>
      </w:r>
      <w:r w:rsidR="00CE128E" w:rsidRPr="00A06ABD">
        <w:rPr>
          <w:rFonts w:ascii="GHEA Grapalat" w:hAnsi="GHEA Grapalat" w:cs="Calibri"/>
          <w:sz w:val="24"/>
          <w:szCs w:val="24"/>
          <w:lang w:val="hy-AM"/>
        </w:rPr>
        <w:t>ում</w:t>
      </w:r>
    </w:p>
    <w:p w14:paraId="2C0EAF28" w14:textId="6B220A0F" w:rsidR="00FE7826" w:rsidRPr="00A06ABD" w:rsidRDefault="00FE7826" w:rsidP="00A36F5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Նախատեսվում է, որ հնարավորության սահմաններում առաջիկա տարիներին ՄԱԿ-ի տարրերը պետք է ինտեգրվեն Հայաստանի երկկողմ և բազմակողմ առկա և պլանավորված համագործակցության ծրագրերում: Վերոհիշյալ ոլորտային և մարզային միջոցառումների իրականացումը մեկնարկային կետ է ոլորտային և մարզային մակարդակներում ՄԱԿ-ի ավելի խորքային զարգացման համար:</w:t>
      </w:r>
      <w:r w:rsidRPr="00A06ABD">
        <w:rPr>
          <w:rFonts w:ascii="Calibri" w:hAnsi="Calibri" w:cs="Calibri"/>
          <w:sz w:val="24"/>
          <w:szCs w:val="24"/>
          <w:lang w:val="hy-AM"/>
        </w:rPr>
        <w:t> </w:t>
      </w:r>
    </w:p>
    <w:p w14:paraId="4A62568A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A06ABD">
        <w:rPr>
          <w:rFonts w:ascii="GHEA Grapalat" w:hAnsi="GHEA Grapalat" w:cs="Calibri"/>
          <w:b/>
          <w:sz w:val="24"/>
          <w:szCs w:val="24"/>
          <w:lang w:val="hy-AM"/>
        </w:rPr>
        <w:t xml:space="preserve"> 8. ՀԱՇՎԵՏՎՈՂԱԿԱՆՈՒԹՅՈՒՆ, ԳՆԱՀԱՏՈՒՄ ԵՎ ՄՇՏԱԴԻՏԱՐԿՈՒՄ</w:t>
      </w:r>
    </w:p>
    <w:p w14:paraId="399ED123" w14:textId="77777777" w:rsidR="00FE7826" w:rsidRPr="00A06ABD" w:rsidRDefault="00FE7826" w:rsidP="00A36F5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Calibri" w:hAnsi="Calibri" w:cs="Calibri"/>
          <w:sz w:val="24"/>
          <w:szCs w:val="24"/>
          <w:lang w:val="hy-AM"/>
        </w:rPr>
        <w:t> </w:t>
      </w:r>
    </w:p>
    <w:p w14:paraId="0209774E" w14:textId="77777777" w:rsidR="00A27CC3" w:rsidRPr="00A06ABD" w:rsidRDefault="00FE7826" w:rsidP="00A36F51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Fonts w:ascii="GHEA Grapalat" w:hAnsi="GHEA Grapalat" w:cs="Calibri"/>
          <w:sz w:val="24"/>
          <w:szCs w:val="24"/>
          <w:lang w:val="hy-AM"/>
        </w:rPr>
        <w:t>Ծրագրի հիմնական արդյունքը պետք է լինի ՄԱԿ-ի շրջանակներում իրականացվող գործընթացի արդյունավետ մշտադիտարկման և գնահատման միասնական մեխանիզմի ձևավորումը: Այն հիմնված է ԱՀԿ ինքնագնահատման (</w:t>
      </w:r>
      <w:r w:rsidRPr="00A06ABD">
        <w:rPr>
          <w:rFonts w:ascii="GHEA Grapalat" w:hAnsi="GHEA Grapalat"/>
          <w:sz w:val="24"/>
          <w:szCs w:val="24"/>
          <w:lang w:val="hy-AM"/>
        </w:rPr>
        <w:t>SPAR</w:t>
      </w:r>
      <w:r w:rsidRPr="00A06ABD">
        <w:rPr>
          <w:rFonts w:ascii="GHEA Grapalat" w:hAnsi="GHEA Grapalat" w:cs="Calibri"/>
          <w:sz w:val="24"/>
          <w:szCs w:val="24"/>
          <w:lang w:val="hy-AM"/>
        </w:rPr>
        <w:t>) և համատեղ արտաքին գնահատման (</w:t>
      </w:r>
      <w:r w:rsidRPr="00A06ABD">
        <w:rPr>
          <w:rFonts w:ascii="GHEA Grapalat" w:hAnsi="GHEA Grapalat"/>
          <w:sz w:val="24"/>
          <w:szCs w:val="24"/>
          <w:lang w:val="hy-AM"/>
        </w:rPr>
        <w:t>JEE</w:t>
      </w:r>
      <w:r w:rsidRPr="00A06ABD">
        <w:rPr>
          <w:rFonts w:ascii="GHEA Grapalat" w:hAnsi="GHEA Grapalat" w:cs="Calibri"/>
          <w:sz w:val="24"/>
          <w:szCs w:val="24"/>
          <w:lang w:val="hy-AM"/>
        </w:rPr>
        <w:t>) գործիքների չափանիշների վրա:</w:t>
      </w:r>
    </w:p>
    <w:p w14:paraId="0FEFAB9B" w14:textId="77777777" w:rsidR="00A27CC3" w:rsidRPr="00A06ABD" w:rsidRDefault="00725354" w:rsidP="00A36F51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Style w:val="CommentReference"/>
          <w:rFonts w:ascii="GHEA Grapalat" w:hAnsi="GHEA Grapalat" w:cs="Calibri"/>
          <w:sz w:val="24"/>
          <w:szCs w:val="24"/>
          <w:lang w:val="hy-AM"/>
        </w:rPr>
      </w:pPr>
      <w:r w:rsidRPr="00A06ABD">
        <w:rPr>
          <w:rStyle w:val="CommentReference"/>
          <w:rFonts w:ascii="GHEA Grapalat" w:hAnsi="GHEA Grapalat"/>
          <w:sz w:val="24"/>
          <w:szCs w:val="24"/>
          <w:lang w:val="hy-AM"/>
        </w:rPr>
        <w:t>ՀՀ կառավարություն պարբերական հաշվետվություններ են ներկայացվում՝ ըստ գործողությունների ժամկետների:</w:t>
      </w:r>
    </w:p>
    <w:p w14:paraId="44974FAD" w14:textId="24F96DA2" w:rsidR="00FE7826" w:rsidRPr="00A06ABD" w:rsidRDefault="00FE7826" w:rsidP="00A36F51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06ABD">
        <w:rPr>
          <w:rStyle w:val="CommentReference"/>
          <w:rFonts w:ascii="GHEA Grapalat" w:hAnsi="GHEA Grapalat"/>
          <w:sz w:val="24"/>
          <w:szCs w:val="24"/>
          <w:lang w:val="hy-AM"/>
        </w:rPr>
        <w:t>Հաշվետվությունների և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տեղեկության տրամադրման պատասխանատուները համապատասխան գործողություններն (միջոցառումներն) իրականացնող </w:t>
      </w:r>
      <w:r w:rsidRPr="00A06ABD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կառավարման </w:t>
      </w:r>
      <w:r w:rsidRPr="00A06AB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06ABD">
        <w:rPr>
          <w:rFonts w:ascii="GHEA Grapalat" w:hAnsi="GHEA Grapalat" w:cs="Calibri"/>
          <w:sz w:val="24"/>
          <w:szCs w:val="24"/>
          <w:lang w:val="hy-AM"/>
        </w:rPr>
        <w:t xml:space="preserve"> մարմիններն են։</w:t>
      </w:r>
    </w:p>
    <w:p w14:paraId="3A7F0996" w14:textId="77777777" w:rsidR="00FE7826" w:rsidRPr="00A06ABD" w:rsidRDefault="00FE7826" w:rsidP="00A36F51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369F84A7" w14:textId="77777777" w:rsidR="00FE7826" w:rsidRPr="00A06ABD" w:rsidRDefault="00FE7826" w:rsidP="00A36F5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A06ABD">
        <w:rPr>
          <w:rFonts w:ascii="GHEA Grapalat" w:hAnsi="GHEA Grapalat" w:cs="Calibri"/>
          <w:b/>
          <w:sz w:val="24"/>
          <w:szCs w:val="24"/>
          <w:lang w:val="hy-AM"/>
        </w:rPr>
        <w:t>ԳԼՈՒԽ 7. ԾՐԱԳՐԻ ՖԻՆԱՆՍԱՎՈՐՈՒՄԸ</w:t>
      </w:r>
    </w:p>
    <w:p w14:paraId="20B0C73F" w14:textId="77777777" w:rsidR="00FE7826" w:rsidRPr="00A06ABD" w:rsidRDefault="00FE7826" w:rsidP="00A36F5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sz w:val="24"/>
          <w:szCs w:val="24"/>
          <w:lang w:val="hy-AM"/>
        </w:rPr>
      </w:pPr>
    </w:p>
    <w:p w14:paraId="17097E41" w14:textId="6F6D3E88" w:rsidR="00426653" w:rsidRPr="00A06ABD" w:rsidRDefault="00FE7826" w:rsidP="00A36F51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766B9B">
        <w:rPr>
          <w:rFonts w:ascii="GHEA Grapalat" w:hAnsi="GHEA Grapalat" w:cs="Calibri"/>
          <w:sz w:val="24"/>
          <w:szCs w:val="24"/>
          <w:lang w:val="hy-AM"/>
        </w:rPr>
        <w:t>Ծրագրի ֆինանսավորումը կիրականացվի օրենսդրությամբ չարգելված ֆինանսական միջոցների հաշվին:</w:t>
      </w:r>
    </w:p>
    <w:sectPr w:rsidR="00426653" w:rsidRPr="00A06ABD" w:rsidSect="00766B9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1E5"/>
    <w:multiLevelType w:val="hybridMultilevel"/>
    <w:tmpl w:val="6A7A35D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07F0"/>
    <w:multiLevelType w:val="hybridMultilevel"/>
    <w:tmpl w:val="6B200DE8"/>
    <w:lvl w:ilvl="0" w:tplc="273EEB5E">
      <w:start w:val="4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99771ED"/>
    <w:multiLevelType w:val="hybridMultilevel"/>
    <w:tmpl w:val="A4549F10"/>
    <w:lvl w:ilvl="0" w:tplc="7952C4E6">
      <w:start w:val="3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3A5"/>
    <w:multiLevelType w:val="hybridMultilevel"/>
    <w:tmpl w:val="DF7E84A2"/>
    <w:lvl w:ilvl="0" w:tplc="3DF2EFC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4461"/>
    <w:multiLevelType w:val="hybridMultilevel"/>
    <w:tmpl w:val="ABBCF504"/>
    <w:lvl w:ilvl="0" w:tplc="BF328188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4B6"/>
    <w:multiLevelType w:val="hybridMultilevel"/>
    <w:tmpl w:val="2C94869A"/>
    <w:lvl w:ilvl="0" w:tplc="186666F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593C"/>
    <w:multiLevelType w:val="hybridMultilevel"/>
    <w:tmpl w:val="5720F104"/>
    <w:lvl w:ilvl="0" w:tplc="733C3C64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E3B"/>
    <w:multiLevelType w:val="hybridMultilevel"/>
    <w:tmpl w:val="ADDC78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2D012DE7"/>
    <w:multiLevelType w:val="hybridMultilevel"/>
    <w:tmpl w:val="127EE87A"/>
    <w:lvl w:ilvl="0" w:tplc="BB9499F6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B701D"/>
    <w:multiLevelType w:val="hybridMultilevel"/>
    <w:tmpl w:val="B3E4E7C6"/>
    <w:lvl w:ilvl="0" w:tplc="AD900DF4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B4DE9"/>
    <w:multiLevelType w:val="hybridMultilevel"/>
    <w:tmpl w:val="FBCA0DDA"/>
    <w:lvl w:ilvl="0" w:tplc="3152883C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3A6F"/>
    <w:multiLevelType w:val="hybridMultilevel"/>
    <w:tmpl w:val="C9A0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2C29"/>
    <w:multiLevelType w:val="hybridMultilevel"/>
    <w:tmpl w:val="CE620E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112775"/>
    <w:multiLevelType w:val="hybridMultilevel"/>
    <w:tmpl w:val="0688F0A2"/>
    <w:lvl w:ilvl="0" w:tplc="B1827200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323B2"/>
    <w:multiLevelType w:val="hybridMultilevel"/>
    <w:tmpl w:val="93CEBDDA"/>
    <w:lvl w:ilvl="0" w:tplc="5664B112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58C313A"/>
    <w:multiLevelType w:val="hybridMultilevel"/>
    <w:tmpl w:val="14C297BA"/>
    <w:lvl w:ilvl="0" w:tplc="470C19DA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374BD"/>
    <w:multiLevelType w:val="hybridMultilevel"/>
    <w:tmpl w:val="B9D6D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82E02"/>
    <w:multiLevelType w:val="hybridMultilevel"/>
    <w:tmpl w:val="93444636"/>
    <w:lvl w:ilvl="0" w:tplc="195888C6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C24E9"/>
    <w:multiLevelType w:val="hybridMultilevel"/>
    <w:tmpl w:val="597C47BC"/>
    <w:lvl w:ilvl="0" w:tplc="616C0A3E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15"/>
  </w:num>
  <w:num w:numId="12">
    <w:abstractNumId w:val="4"/>
  </w:num>
  <w:num w:numId="13">
    <w:abstractNumId w:val="9"/>
  </w:num>
  <w:num w:numId="14">
    <w:abstractNumId w:val="8"/>
  </w:num>
  <w:num w:numId="15">
    <w:abstractNumId w:val="5"/>
  </w:num>
  <w:num w:numId="16">
    <w:abstractNumId w:val="10"/>
  </w:num>
  <w:num w:numId="17">
    <w:abstractNumId w:val="18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6E"/>
    <w:rsid w:val="0002353B"/>
    <w:rsid w:val="000F45D6"/>
    <w:rsid w:val="001338B7"/>
    <w:rsid w:val="00147CB4"/>
    <w:rsid w:val="00155451"/>
    <w:rsid w:val="00196994"/>
    <w:rsid w:val="00232E4F"/>
    <w:rsid w:val="0027445C"/>
    <w:rsid w:val="002869C6"/>
    <w:rsid w:val="00294233"/>
    <w:rsid w:val="002D4B13"/>
    <w:rsid w:val="003F246E"/>
    <w:rsid w:val="00426653"/>
    <w:rsid w:val="00452007"/>
    <w:rsid w:val="00453186"/>
    <w:rsid w:val="004B5D76"/>
    <w:rsid w:val="00534EDF"/>
    <w:rsid w:val="005527E6"/>
    <w:rsid w:val="005C5C98"/>
    <w:rsid w:val="00693E66"/>
    <w:rsid w:val="006B10B2"/>
    <w:rsid w:val="00725354"/>
    <w:rsid w:val="00766B9B"/>
    <w:rsid w:val="00803495"/>
    <w:rsid w:val="008736DB"/>
    <w:rsid w:val="00A06ABD"/>
    <w:rsid w:val="00A27CC3"/>
    <w:rsid w:val="00A36F51"/>
    <w:rsid w:val="00A62471"/>
    <w:rsid w:val="00AD4D36"/>
    <w:rsid w:val="00BD10C0"/>
    <w:rsid w:val="00BD2074"/>
    <w:rsid w:val="00C320DB"/>
    <w:rsid w:val="00C36DFE"/>
    <w:rsid w:val="00CE128E"/>
    <w:rsid w:val="00D126B9"/>
    <w:rsid w:val="00D8314E"/>
    <w:rsid w:val="00DA45CD"/>
    <w:rsid w:val="00DD1D03"/>
    <w:rsid w:val="00E562F9"/>
    <w:rsid w:val="00F211C9"/>
    <w:rsid w:val="00F314B1"/>
    <w:rsid w:val="00FD3489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F80A"/>
  <w15:chartTrackingRefBased/>
  <w15:docId w15:val="{1FC282AE-CBA3-491B-BDFF-EDA9981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uiPriority w:val="99"/>
    <w:unhideWhenUsed/>
    <w:rsid w:val="00FE7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82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82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,3"/>
    <w:basedOn w:val="Normal"/>
    <w:link w:val="ListParagraphChar"/>
    <w:uiPriority w:val="34"/>
    <w:qFormat/>
    <w:rsid w:val="00FE7826"/>
    <w:pPr>
      <w:spacing w:after="200" w:line="276" w:lineRule="auto"/>
      <w:ind w:left="720"/>
      <w:contextualSpacing/>
    </w:pPr>
    <w:rPr>
      <w:lang w:val="hy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link w:val="ListParagraph"/>
    <w:uiPriority w:val="34"/>
    <w:qFormat/>
    <w:rsid w:val="00FE7826"/>
    <w:rPr>
      <w:lang w:val="hy"/>
    </w:rPr>
  </w:style>
  <w:style w:type="character" w:styleId="Strong">
    <w:name w:val="Strong"/>
    <w:basedOn w:val="DefaultParagraphFont"/>
    <w:uiPriority w:val="22"/>
    <w:qFormat/>
    <w:rsid w:val="00FE7826"/>
    <w:rPr>
      <w:b/>
      <w:bCs/>
    </w:rPr>
  </w:style>
  <w:style w:type="character" w:customStyle="1" w:styleId="rynqvb">
    <w:name w:val="rynqvb"/>
    <w:basedOn w:val="DefaultParagraphFont"/>
    <w:rsid w:val="00FE7826"/>
  </w:style>
  <w:style w:type="paragraph" w:styleId="BalloonText">
    <w:name w:val="Balloon Text"/>
    <w:basedOn w:val="Normal"/>
    <w:link w:val="BalloonTextChar"/>
    <w:uiPriority w:val="99"/>
    <w:semiHidden/>
    <w:unhideWhenUsed/>
    <w:rsid w:val="00FE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233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2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7F6F-2970-4F46-8FD0-F92421D4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https:/mul2-moh.gov.am/tasks/741886/oneclick/2e811d08b4a79628e6e0abeb1d2bfc42643ab53076309014811b48f3c6a29258.docx?token=b1d26924e5d7f275774e1fa6d14fe529</cp:keywords>
  <dc:description/>
  <cp:lastModifiedBy>MOH</cp:lastModifiedBy>
  <cp:revision>3</cp:revision>
  <dcterms:created xsi:type="dcterms:W3CDTF">2024-07-24T08:28:00Z</dcterms:created>
  <dcterms:modified xsi:type="dcterms:W3CDTF">2024-07-24T08:28:00Z</dcterms:modified>
</cp:coreProperties>
</file>