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08794" w14:textId="77777777" w:rsidR="00306C0E" w:rsidRPr="002D3473" w:rsidRDefault="002D3473" w:rsidP="005C4293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2D3473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447E2470" w14:textId="195EAA7F" w:rsidR="002D3473" w:rsidRPr="002D3473" w:rsidRDefault="00B210E7" w:rsidP="005C4293">
      <w:pPr>
        <w:pStyle w:val="NormalWeb"/>
        <w:shd w:val="clear" w:color="auto" w:fill="FFFFFF"/>
        <w:spacing w:before="0" w:beforeAutospacing="0" w:after="0" w:afterAutospacing="0" w:line="360" w:lineRule="auto"/>
        <w:ind w:right="-900"/>
        <w:jc w:val="center"/>
        <w:rPr>
          <w:rStyle w:val="Strong"/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«</w:t>
      </w:r>
      <w:r w:rsidR="002D3473" w:rsidRPr="002D3473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ԿԱՌԱՎԱՐՈՒԹՅԱՆ </w:t>
      </w:r>
    </w:p>
    <w:p w14:paraId="1EA9098E" w14:textId="31F90661" w:rsidR="002D3473" w:rsidRPr="002D3473" w:rsidRDefault="002D3473" w:rsidP="005C4293">
      <w:pPr>
        <w:pStyle w:val="NormalWeb"/>
        <w:shd w:val="clear" w:color="auto" w:fill="FFFFFF"/>
        <w:spacing w:before="0" w:beforeAutospacing="0" w:after="0" w:afterAutospacing="0" w:line="360" w:lineRule="auto"/>
        <w:ind w:right="-900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2D3473">
        <w:rPr>
          <w:rStyle w:val="Strong"/>
          <w:rFonts w:ascii="GHEA Grapalat" w:hAnsi="GHEA Grapalat"/>
          <w:color w:val="000000"/>
          <w:lang w:val="hy-AM"/>
        </w:rPr>
        <w:t>2023 ԹՎԱԿԱՆԻ ՀՈՒՆԻՍԻ 8-Ի N 943-Լ ՈՐՈՇՄԱՆ ՄԵՋ ՓՈՓՈԽՈՒԹՅՈՒՆ</w:t>
      </w:r>
    </w:p>
    <w:p w14:paraId="2B29363C" w14:textId="529DC477" w:rsidR="00C65FD8" w:rsidRDefault="002D3473" w:rsidP="00F4320B">
      <w:pPr>
        <w:pStyle w:val="NormalWeb"/>
        <w:shd w:val="clear" w:color="auto" w:fill="FFFFFF"/>
        <w:spacing w:before="0" w:beforeAutospacing="0" w:after="0" w:afterAutospacing="0" w:line="360" w:lineRule="auto"/>
        <w:ind w:right="-900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2D3473">
        <w:rPr>
          <w:rStyle w:val="Strong"/>
          <w:rFonts w:ascii="GHEA Grapalat" w:hAnsi="GHEA Grapalat"/>
          <w:color w:val="000000"/>
          <w:lang w:val="hy-AM"/>
        </w:rPr>
        <w:t xml:space="preserve"> ԿԱՏԱՐԵԼՈՒ ՄԱՍԻՆ</w:t>
      </w:r>
      <w:r w:rsidR="00B210E7">
        <w:rPr>
          <w:rStyle w:val="Strong"/>
          <w:rFonts w:ascii="GHEA Grapalat" w:hAnsi="GHEA Grapalat"/>
          <w:color w:val="000000"/>
          <w:lang w:val="hy-AM"/>
        </w:rPr>
        <w:t>»</w:t>
      </w:r>
      <w:r w:rsidRPr="002D3473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B210E7" w:rsidRPr="002D3473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ԿԱՌԱՎԱՐՈՒԹՅԱՆ </w:t>
      </w:r>
      <w:r w:rsidRPr="002D3473">
        <w:rPr>
          <w:rStyle w:val="Strong"/>
          <w:rFonts w:ascii="GHEA Grapalat" w:hAnsi="GHEA Grapalat"/>
          <w:color w:val="000000"/>
          <w:lang w:val="hy-AM"/>
        </w:rPr>
        <w:t>ՈՐՈՇՄԱՆ ՆԱԽԱԳԾԻ (ԱՅՍՈՒՀԵՏ՝ ՆԱԽԱԳԻԾ) ԸՆԴՈՒՆՄԱՆ ՎԵՐԱԲԵՐՅԱԼ</w:t>
      </w:r>
    </w:p>
    <w:p w14:paraId="0986F1FC" w14:textId="77777777" w:rsidR="00F4320B" w:rsidRPr="00F4320B" w:rsidRDefault="00F4320B" w:rsidP="00F4320B">
      <w:pPr>
        <w:pStyle w:val="NormalWeb"/>
        <w:shd w:val="clear" w:color="auto" w:fill="FFFFFF"/>
        <w:spacing w:before="0" w:beforeAutospacing="0" w:after="0" w:afterAutospacing="0"/>
        <w:ind w:right="-900"/>
        <w:contextualSpacing/>
        <w:jc w:val="center"/>
        <w:rPr>
          <w:rFonts w:ascii="GHEA Grapalat" w:hAnsi="GHEA Grapalat"/>
          <w:b/>
          <w:bCs/>
          <w:color w:val="000000"/>
          <w:lang w:val="hy-AM"/>
        </w:rPr>
      </w:pPr>
    </w:p>
    <w:p w14:paraId="49184CD2" w14:textId="3E0D30E8" w:rsidR="002D3473" w:rsidRPr="00B210E7" w:rsidRDefault="00C65FD8" w:rsidP="00F4320B">
      <w:pPr>
        <w:tabs>
          <w:tab w:val="left" w:pos="0"/>
        </w:tabs>
        <w:spacing w:before="100" w:beforeAutospacing="1" w:after="0" w:line="360" w:lineRule="auto"/>
        <w:ind w:firstLine="360"/>
        <w:contextualSpacing/>
        <w:jc w:val="both"/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</w:pPr>
      <w:r w:rsidRPr="00C65FD8">
        <w:rPr>
          <w:rFonts w:ascii="GHEA Grapalat" w:eastAsia="Calibri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1. Անհրաժեշտությունը</w:t>
      </w:r>
      <w:r w:rsidR="00F4320B">
        <w:rPr>
          <w:rFonts w:ascii="GHEA Grapalat" w:eastAsia="Calibri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և ը</w:t>
      </w:r>
      <w:r w:rsidR="00F4320B" w:rsidRPr="00C65FD8">
        <w:rPr>
          <w:rFonts w:ascii="GHEA Grapalat" w:eastAsia="Calibri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նթացիկ իրավիճակը</w:t>
      </w:r>
      <w:r w:rsidR="00F4320B">
        <w:rPr>
          <w:rFonts w:ascii="GHEA Grapalat" w:eastAsia="Calibri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․</w:t>
      </w:r>
    </w:p>
    <w:p w14:paraId="4447E3CA" w14:textId="6B556D28" w:rsidR="002D3473" w:rsidRPr="002D3473" w:rsidRDefault="002D3473" w:rsidP="00F4320B">
      <w:pPr>
        <w:spacing w:after="0" w:line="360" w:lineRule="auto"/>
        <w:ind w:left="-270" w:right="-900" w:firstLine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2D347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2D3473">
        <w:rPr>
          <w:rFonts w:ascii="GHEA Grapalat" w:hAnsi="GHEA Grapalat"/>
          <w:sz w:val="24"/>
          <w:szCs w:val="24"/>
          <w:lang w:val="hy-AM"/>
        </w:rPr>
        <w:t xml:space="preserve">անրապետության կառավարության 2023 թվականի 8 հունիսի </w:t>
      </w:r>
      <w:r w:rsidRPr="00143E78">
        <w:rPr>
          <w:rFonts w:ascii="GHEA Grapalat" w:hAnsi="GHEA Grapalat"/>
          <w:sz w:val="24"/>
          <w:szCs w:val="24"/>
          <w:lang w:val="hy-AM"/>
        </w:rPr>
        <w:t>N</w:t>
      </w:r>
      <w:r w:rsidRPr="002D3473">
        <w:rPr>
          <w:rFonts w:ascii="GHEA Grapalat" w:hAnsi="GHEA Grapalat"/>
          <w:sz w:val="24"/>
          <w:szCs w:val="24"/>
          <w:lang w:val="hy-AM"/>
        </w:rPr>
        <w:t xml:space="preserve"> 943-</w:t>
      </w:r>
      <w:r>
        <w:rPr>
          <w:rFonts w:ascii="GHEA Grapalat" w:hAnsi="GHEA Grapalat"/>
          <w:sz w:val="24"/>
          <w:szCs w:val="24"/>
          <w:lang w:val="hy-AM"/>
        </w:rPr>
        <w:t>Լ որոշմամբ հաստատված է հ</w:t>
      </w:r>
      <w:r w:rsidRPr="002D3473">
        <w:rPr>
          <w:rFonts w:ascii="GHEA Grapalat" w:hAnsi="GHEA Grapalat"/>
          <w:sz w:val="24"/>
          <w:szCs w:val="24"/>
          <w:lang w:val="hy-AM"/>
        </w:rPr>
        <w:t xml:space="preserve">աշմանդամություն ունեցող անձանց սոցիալական ներառման 2023-2027 թվականների </w:t>
      </w:r>
      <w:r w:rsidR="00667193">
        <w:rPr>
          <w:rFonts w:ascii="GHEA Grapalat" w:hAnsi="GHEA Grapalat"/>
          <w:sz w:val="24"/>
          <w:szCs w:val="24"/>
          <w:lang w:val="hy-AM"/>
        </w:rPr>
        <w:t xml:space="preserve">ծրագիրը և ծրագրի </w:t>
      </w:r>
      <w:r w:rsidRPr="002D3473">
        <w:rPr>
          <w:rFonts w:ascii="GHEA Grapalat" w:hAnsi="GHEA Grapalat"/>
          <w:sz w:val="24"/>
          <w:szCs w:val="24"/>
          <w:lang w:val="hy-AM"/>
        </w:rPr>
        <w:t>իրականացումն ապահովող միջոցառումների ցանկը</w:t>
      </w:r>
      <w:r w:rsidR="00143E78">
        <w:rPr>
          <w:rFonts w:ascii="GHEA Grapalat" w:hAnsi="GHEA Grapalat"/>
          <w:sz w:val="24"/>
          <w:szCs w:val="24"/>
          <w:lang w:val="hy-AM"/>
        </w:rPr>
        <w:t>, որի</w:t>
      </w:r>
      <w:r w:rsidRPr="002D3473">
        <w:rPr>
          <w:rFonts w:ascii="GHEA Grapalat" w:hAnsi="GHEA Grapalat"/>
          <w:sz w:val="24"/>
          <w:szCs w:val="24"/>
          <w:lang w:val="hy-AM"/>
        </w:rPr>
        <w:t xml:space="preserve"> նպատակն է խթանել հաշմանդամություն ունեցող անձանց իրավունքների իրացումը կյանքի բոլոր ոլորտներում</w:t>
      </w:r>
      <w:r w:rsidR="00667193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2D3473">
        <w:rPr>
          <w:rFonts w:ascii="GHEA Grapalat" w:hAnsi="GHEA Grapalat"/>
          <w:sz w:val="24"/>
          <w:szCs w:val="24"/>
          <w:lang w:val="hy-AM"/>
        </w:rPr>
        <w:t>համապատասխան միջոցառումների իրականացման միջոցով ապահովել նրանց անկախ կյանքը և սոցիալական ներառումը։</w:t>
      </w:r>
    </w:p>
    <w:p w14:paraId="67AE6E43" w14:textId="2938684E" w:rsidR="00C65FD8" w:rsidRPr="00F4320B" w:rsidRDefault="00983D88" w:rsidP="00F4320B">
      <w:pPr>
        <w:spacing w:after="0" w:line="360" w:lineRule="auto"/>
        <w:ind w:left="-270" w:right="-900" w:firstLine="63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Միջոցառումների ց</w:t>
      </w:r>
      <w:r w:rsidR="002D3473" w:rsidRPr="002D3473">
        <w:rPr>
          <w:rFonts w:ascii="GHEA Grapalat" w:hAnsi="GHEA Grapalat"/>
          <w:sz w:val="24"/>
          <w:szCs w:val="24"/>
          <w:lang w:val="hy-AM"/>
        </w:rPr>
        <w:t xml:space="preserve">անկի 3-րդ </w:t>
      </w:r>
      <w:r w:rsidR="00667193">
        <w:rPr>
          <w:rFonts w:ascii="GHEA Grapalat" w:hAnsi="GHEA Grapalat"/>
          <w:sz w:val="24"/>
          <w:szCs w:val="24"/>
          <w:lang w:val="hy-AM"/>
        </w:rPr>
        <w:t xml:space="preserve">կետով նախատեսվում է </w:t>
      </w:r>
      <w:r w:rsidR="002D3473" w:rsidRPr="002D3473">
        <w:rPr>
          <w:rFonts w:ascii="GHEA Grapalat" w:hAnsi="GHEA Grapalat"/>
          <w:sz w:val="24"/>
          <w:szCs w:val="24"/>
          <w:lang w:val="hy-AM"/>
        </w:rPr>
        <w:t>սահման</w:t>
      </w:r>
      <w:r w:rsidR="00667193">
        <w:rPr>
          <w:rFonts w:ascii="GHEA Grapalat" w:hAnsi="GHEA Grapalat"/>
          <w:sz w:val="24"/>
          <w:szCs w:val="24"/>
          <w:lang w:val="hy-AM"/>
        </w:rPr>
        <w:t xml:space="preserve">ել </w:t>
      </w:r>
      <w:r w:rsidR="002D3473" w:rsidRPr="002D3473">
        <w:rPr>
          <w:rFonts w:ascii="GHEA Grapalat" w:hAnsi="GHEA Grapalat"/>
          <w:sz w:val="24"/>
          <w:szCs w:val="24"/>
          <w:lang w:val="hy-AM"/>
        </w:rPr>
        <w:t xml:space="preserve">ապրանքներին և ծառայություններին ներկայացվող տեխնիկական </w:t>
      </w:r>
      <w:r w:rsidR="00667193">
        <w:rPr>
          <w:rFonts w:ascii="GHEA Grapalat" w:hAnsi="GHEA Grapalat"/>
          <w:sz w:val="24"/>
          <w:szCs w:val="24"/>
          <w:lang w:val="hy-AM"/>
        </w:rPr>
        <w:t xml:space="preserve">պահանջները՝ </w:t>
      </w:r>
      <w:r w:rsidR="00667193" w:rsidRPr="002D3473">
        <w:rPr>
          <w:rFonts w:ascii="GHEA Grapalat" w:hAnsi="GHEA Grapalat"/>
          <w:sz w:val="24"/>
          <w:szCs w:val="24"/>
          <w:lang w:val="hy-AM"/>
        </w:rPr>
        <w:t xml:space="preserve">հաշմանդամություն ունեցող անձանց համար մատչելիություն ապահովելու </w:t>
      </w:r>
      <w:r w:rsidR="00667193">
        <w:rPr>
          <w:rFonts w:ascii="GHEA Grapalat" w:hAnsi="GHEA Grapalat"/>
          <w:sz w:val="24"/>
          <w:szCs w:val="24"/>
          <w:lang w:val="hy-AM"/>
        </w:rPr>
        <w:t>նպատակով։ Որպես նշյալ միջոցառման</w:t>
      </w:r>
      <w:r w:rsidR="002D3473" w:rsidRPr="002D3473">
        <w:rPr>
          <w:rFonts w:ascii="GHEA Grapalat" w:hAnsi="GHEA Grapalat"/>
          <w:sz w:val="24"/>
          <w:szCs w:val="24"/>
          <w:lang w:val="hy-AM"/>
        </w:rPr>
        <w:t xml:space="preserve"> կատարման </w:t>
      </w:r>
      <w:r w:rsidR="00667193">
        <w:rPr>
          <w:rFonts w:ascii="GHEA Grapalat" w:hAnsi="GHEA Grapalat"/>
          <w:sz w:val="24"/>
          <w:szCs w:val="24"/>
          <w:lang w:val="hy-AM"/>
        </w:rPr>
        <w:t xml:space="preserve">արդյունքն՝ </w:t>
      </w:r>
      <w:r w:rsidR="002D3473" w:rsidRPr="002D3473">
        <w:rPr>
          <w:rFonts w:ascii="Arial Armenian" w:hAnsi="Arial Armenian"/>
          <w:sz w:val="24"/>
          <w:szCs w:val="24"/>
          <w:lang w:val="hy-AM"/>
        </w:rPr>
        <w:t>§</w:t>
      </w:r>
      <w:r w:rsidR="002D3473" w:rsidRPr="002D3473">
        <w:rPr>
          <w:rFonts w:ascii="GHEA Grapalat" w:hAnsi="GHEA Grapalat" w:cs="Arial"/>
          <w:sz w:val="24"/>
          <w:szCs w:val="24"/>
          <w:lang w:val="hy-AM"/>
        </w:rPr>
        <w:t>դ</w:t>
      </w:r>
      <w:r w:rsidR="002D3473" w:rsidRPr="002D3473">
        <w:rPr>
          <w:rFonts w:ascii="Arial Armenian" w:hAnsi="Arial Armenian" w:cs="Arial"/>
          <w:sz w:val="24"/>
          <w:szCs w:val="24"/>
          <w:lang w:val="hy-AM"/>
        </w:rPr>
        <w:t>¦</w:t>
      </w:r>
      <w:r w:rsidR="002D3473" w:rsidRPr="002D3473">
        <w:rPr>
          <w:rFonts w:ascii="GHEA Grapalat" w:hAnsi="GHEA Grapalat"/>
          <w:sz w:val="24"/>
          <w:szCs w:val="24"/>
          <w:lang w:val="hy-AM"/>
        </w:rPr>
        <w:t xml:space="preserve"> </w:t>
      </w:r>
      <w:r w:rsidR="002D3473" w:rsidRPr="002D3473">
        <w:rPr>
          <w:rFonts w:ascii="GHEA Grapalat" w:hAnsi="GHEA Grapalat" w:cs="Arial"/>
          <w:sz w:val="24"/>
          <w:szCs w:val="24"/>
          <w:lang w:val="hy-AM"/>
        </w:rPr>
        <w:t xml:space="preserve">ենթակետով </w:t>
      </w:r>
      <w:r w:rsidR="00667193">
        <w:rPr>
          <w:rFonts w:ascii="GHEA Grapalat" w:hAnsi="GHEA Grapalat" w:cs="Arial"/>
          <w:sz w:val="24"/>
          <w:szCs w:val="24"/>
          <w:lang w:val="hy-AM"/>
        </w:rPr>
        <w:t>նախատեսվում է</w:t>
      </w:r>
      <w:r w:rsidR="002D3473" w:rsidRPr="002D3473">
        <w:rPr>
          <w:rFonts w:ascii="GHEA Grapalat" w:hAnsi="GHEA Grapalat" w:cs="Arial"/>
          <w:sz w:val="24"/>
          <w:szCs w:val="24"/>
          <w:lang w:val="hy-AM"/>
        </w:rPr>
        <w:t xml:space="preserve"> վերանայել առևտրի և ծառայությունների, սպառողների իրավունքների, զբոսաշրջության ոլորտի օրենսդրությունը</w:t>
      </w:r>
      <w:r w:rsidR="00667193">
        <w:rPr>
          <w:rFonts w:ascii="GHEA Grapalat" w:hAnsi="GHEA Grapalat" w:cs="Arial"/>
          <w:sz w:val="24"/>
          <w:szCs w:val="24"/>
          <w:lang w:val="hy-AM"/>
        </w:rPr>
        <w:t xml:space="preserve"> և </w:t>
      </w:r>
      <w:r w:rsidR="002D3473" w:rsidRPr="002D3473">
        <w:rPr>
          <w:rFonts w:ascii="GHEA Grapalat" w:hAnsi="GHEA Grapalat" w:cs="Arial"/>
          <w:sz w:val="24"/>
          <w:szCs w:val="24"/>
          <w:lang w:val="hy-AM"/>
        </w:rPr>
        <w:t>ամրագրել  համապատասխան դրույթներ</w:t>
      </w:r>
      <w:r w:rsidR="002D3473">
        <w:rPr>
          <w:rFonts w:ascii="GHEA Grapalat" w:hAnsi="GHEA Grapalat" w:cs="Arial"/>
          <w:sz w:val="24"/>
          <w:szCs w:val="24"/>
          <w:lang w:val="hy-AM"/>
        </w:rPr>
        <w:t>։</w:t>
      </w:r>
      <w:r w:rsidR="00667193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29C8E5DF" w14:textId="77777777" w:rsidR="00C65FD8" w:rsidRPr="00C65FD8" w:rsidRDefault="00C65FD8" w:rsidP="005C4293">
      <w:pPr>
        <w:shd w:val="clear" w:color="auto" w:fill="FFFFFF"/>
        <w:tabs>
          <w:tab w:val="left" w:pos="0"/>
        </w:tabs>
        <w:spacing w:after="0" w:line="360" w:lineRule="auto"/>
        <w:ind w:left="-270" w:right="-900" w:firstLine="630"/>
        <w:jc w:val="both"/>
        <w:rPr>
          <w:rFonts w:ascii="GHEA Grapalat" w:hAnsi="GHEA Grapalat"/>
          <w:kern w:val="0"/>
          <w:sz w:val="24"/>
          <w:szCs w:val="24"/>
          <w:lang w:val="hy-AM"/>
          <w14:ligatures w14:val="none"/>
        </w:rPr>
      </w:pPr>
      <w:r w:rsidRPr="00C65FD8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Հայաստանի Հանրապետությունը վավերացրել է ՄԱԿ-ի կոնվենցիան 2010 թվականին։ Կոնվենցիայի վավերացմամբ պետությունը պարտավորվել է ապահովել հավասար հնարավորություններ և մատչելի պայմաններ հաշմանդամություն ունեցող անձանց սոցիալական ներառման և իրավունքների պաշտպանության նպատակով։</w:t>
      </w:r>
    </w:p>
    <w:p w14:paraId="1B275436" w14:textId="77777777" w:rsidR="00C65FD8" w:rsidRDefault="00C65FD8" w:rsidP="005C4293">
      <w:pPr>
        <w:shd w:val="clear" w:color="auto" w:fill="FFFFFF"/>
        <w:tabs>
          <w:tab w:val="left" w:pos="0"/>
        </w:tabs>
        <w:spacing w:after="0" w:line="360" w:lineRule="auto"/>
        <w:ind w:left="-270" w:right="-900" w:firstLine="630"/>
        <w:jc w:val="both"/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C65FD8">
        <w:rPr>
          <w:rFonts w:ascii="GHEA Grapalat" w:hAnsi="GHEA Grapalat"/>
          <w:kern w:val="0"/>
          <w:sz w:val="24"/>
          <w:szCs w:val="24"/>
          <w:lang w:val="hy-AM"/>
          <w14:ligatures w14:val="none"/>
        </w:rPr>
        <w:t xml:space="preserve">Հաշվի առնելով, որ առևտրի և ծառայությունների ոլորտը անկյունաքարային դեր է խաղում մարդու անկախ կյանքի, համայնքում ինտեգրվելու, ինչպես նաև սեփական կենսագործունեության ապահովման համար՝ անհրաժեշտ է դրա մատչելիությունն ապահովելու նպատակով ստեղծել իրավական հիմքեր ՝ ամրագրելով  հաշմանդամություն ունեցող անձանց համար </w:t>
      </w:r>
      <w:r w:rsidRPr="00C65FD8">
        <w:rPr>
          <w:rFonts w:ascii="GHEA Grapalat" w:hAnsi="GHEA Grapalat"/>
          <w:b/>
          <w:kern w:val="0"/>
          <w:sz w:val="24"/>
          <w:szCs w:val="24"/>
          <w:lang w:val="hy-AM"/>
          <w14:ligatures w14:val="none"/>
        </w:rPr>
        <w:t>հ</w:t>
      </w:r>
      <w:r w:rsidRPr="00C65FD8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ավասար հնարավորությունների և մատչելիության պայմաններ։ </w:t>
      </w:r>
    </w:p>
    <w:p w14:paraId="4ED657EF" w14:textId="6BC582C6" w:rsidR="00C65FD8" w:rsidRPr="00C65FD8" w:rsidRDefault="00C65FD8" w:rsidP="005C4293">
      <w:pPr>
        <w:shd w:val="clear" w:color="auto" w:fill="FFFFFF"/>
        <w:tabs>
          <w:tab w:val="left" w:pos="0"/>
        </w:tabs>
        <w:spacing w:after="0" w:line="360" w:lineRule="auto"/>
        <w:ind w:left="-270" w:right="-900" w:firstLine="630"/>
        <w:jc w:val="both"/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lastRenderedPageBreak/>
        <w:t>Վերոնշյալի համատեքստում, Էկոնոմիկայի նախարարությ</w:t>
      </w:r>
      <w:r w:rsidR="005B5A06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ան կողմից մշակվել և </w:t>
      </w:r>
      <w:r w:rsidRPr="00C65FD8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շրջանառության մեջ է դր</w:t>
      </w:r>
      <w:r w:rsidR="005B5A06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վ</w:t>
      </w:r>
      <w:r w:rsidRPr="00C65FD8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ել ««Առևտրի և ծառայությունների մասին» Հայաստանի Հանրապետության օրենքում լրացումներ և փոփոխություններ կատարելու մասին» օրենքի նախագիծը, որով նախատեսվում էր ապահովել առևտրի և ծառայության ոլորտի օբյեկտների համար հաշմանդամություն ունեցող անձանց համար ֆիզիկական միջավայրի մատչելիությունը՝ համաձայն  քաղաքաշինական նորմերի։</w:t>
      </w:r>
    </w:p>
    <w:p w14:paraId="0FF84E22" w14:textId="3F3D7904" w:rsidR="00AC27D9" w:rsidRDefault="00C65FD8" w:rsidP="005C4293">
      <w:pPr>
        <w:shd w:val="clear" w:color="auto" w:fill="FFFFFF"/>
        <w:tabs>
          <w:tab w:val="left" w:pos="0"/>
        </w:tabs>
        <w:spacing w:after="0" w:line="360" w:lineRule="auto"/>
        <w:ind w:left="-270" w:right="-900" w:firstLine="630"/>
        <w:jc w:val="both"/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C65FD8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Նախագծի վերաբերյալ Արդարադատության նախարարության կողմից տրամադրված պետական</w:t>
      </w:r>
      <w:r w:rsidR="0045618B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-</w:t>
      </w:r>
      <w:r w:rsidRPr="00C65FD8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փորձագիտական եզրակացության համաձայն, Նախագծով նախատեսված հարաբերություններն արդեն իսկ կարգավորված են ՀՀ քաղաքաշինության նախարարի 2006 թվականի նոյեմբերի 10-ի N 253-Ն հրամանով, ուստի առաջարկվել է քննարկել նախագծի անհրաժեշտության հարցը։ Նշվածը հիմք ընդունելով Նախագիծը հանվել է շրջանառությունից</w:t>
      </w:r>
      <w:r w:rsidR="00143E78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՝</w:t>
      </w:r>
      <w:r w:rsidRPr="00C65FD8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143E78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պայմանավորված դրա ընդունման</w:t>
      </w:r>
      <w:r w:rsidRPr="00C65FD8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143E78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անհրաժեշտության բացակայությամբ։</w:t>
      </w:r>
    </w:p>
    <w:p w14:paraId="43DA2DD1" w14:textId="2189AFDA" w:rsidR="00C65FD8" w:rsidRDefault="00C65FD8" w:rsidP="005C4293">
      <w:pPr>
        <w:shd w:val="clear" w:color="auto" w:fill="FFFFFF"/>
        <w:tabs>
          <w:tab w:val="left" w:pos="0"/>
        </w:tabs>
        <w:spacing w:after="0" w:line="360" w:lineRule="auto"/>
        <w:ind w:left="-270" w:right="-900" w:firstLine="630"/>
        <w:jc w:val="both"/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Այնուամենայնիվ աշխատանքային քննարկումների արդյունքում պարզ</w:t>
      </w:r>
      <w:r w:rsidR="00C445EB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է դարձել</w:t>
      </w: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, որ վերոնշյալ  միջոցառման ամրագրումը ոչ թե նպատակ ուն</w:t>
      </w:r>
      <w:r w:rsidR="00AC27D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ի</w:t>
      </w: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ամրագրելու ոլորտում հաշմանդամների ֆիզիկական մատչելիությունը, այլ</w:t>
      </w:r>
      <w:r w:rsidR="0045618B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և </w:t>
      </w: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անհրաժեշտ է ապահովել ապրանքներին</w:t>
      </w:r>
      <w:r w:rsidRPr="00C65FD8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և ծառայություններին ներկայացվող տեխնիկական պահանջների սահմանում</w:t>
      </w:r>
      <w:r w:rsidR="00143E78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ը՝ դրանք</w:t>
      </w: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համապատասխանեցնել</w:t>
      </w:r>
      <w:r w:rsidR="00143E78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ով</w:t>
      </w:r>
      <w:r w:rsidR="00D942CF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AC27D9" w:rsidRPr="00AC27D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տեսալսողական (</w:t>
      </w:r>
      <w:r w:rsidR="00AC27D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խուլ, կույր</w:t>
      </w:r>
      <w:r w:rsidR="00AC27D9" w:rsidRPr="00AC27D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)</w:t>
      </w:r>
      <w:r w:rsidR="00AC27D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խնդիրներ ունեցող </w:t>
      </w:r>
      <w:r w:rsidR="00D942CF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անձանց համար։</w:t>
      </w:r>
    </w:p>
    <w:p w14:paraId="241C7EFF" w14:textId="42EEA4A4" w:rsidR="00AC27D9" w:rsidRDefault="00AC27D9" w:rsidP="005C4293">
      <w:pPr>
        <w:shd w:val="clear" w:color="auto" w:fill="FFFFFF"/>
        <w:tabs>
          <w:tab w:val="left" w:pos="0"/>
        </w:tabs>
        <w:spacing w:after="0" w:line="360" w:lineRule="auto"/>
        <w:ind w:left="-270" w:right="-900" w:firstLine="630"/>
        <w:jc w:val="both"/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Ըստ էության առևտրի և ծառայությունների ոլորտում </w:t>
      </w:r>
      <w:r w:rsidRPr="00AC27D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ապրանքներին և ծառայություններին ներկայացվող տեխնիկական պահանջներ</w:t>
      </w:r>
      <w:r w:rsidR="00C445EB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ն</w:t>
      </w: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իրեն</w:t>
      </w:r>
      <w:r w:rsidR="0045618B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ց</w:t>
      </w: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ից ներկայացնում են նաև տվյալ ապրանքների փաթեթավորման, այդ թվում մակնշման պահանջները</w:t>
      </w:r>
      <w:r w:rsidR="007E0C18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, որի մեջ </w:t>
      </w:r>
      <w:r w:rsidR="007E0C18" w:rsidRPr="007E0C18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ներկայացված</w:t>
      </w:r>
      <w:r w:rsidR="007E0C18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է տվյալ ապրանքի</w:t>
      </w:r>
      <w:r w:rsidR="007E0C18" w:rsidRPr="007E0C18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սպառողական հատկությունները</w:t>
      </w: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։</w:t>
      </w:r>
    </w:p>
    <w:p w14:paraId="3CE84095" w14:textId="77777777" w:rsidR="005503CD" w:rsidRPr="000E3449" w:rsidRDefault="00AC27D9" w:rsidP="005C4293">
      <w:pPr>
        <w:shd w:val="clear" w:color="auto" w:fill="FFFFFF"/>
        <w:tabs>
          <w:tab w:val="left" w:pos="0"/>
        </w:tabs>
        <w:spacing w:after="0" w:line="360" w:lineRule="auto"/>
        <w:ind w:left="-270" w:right="-900" w:firstLine="630"/>
        <w:jc w:val="both"/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0E344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Ինչպես գիտենք, տեսողական խնդիր ունեցող անձի</w:t>
      </w:r>
      <w:r w:rsidR="00C445EB" w:rsidRPr="000E344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ն</w:t>
      </w:r>
      <w:r w:rsidRPr="000E344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ք օգտվում են </w:t>
      </w:r>
      <w:r w:rsidR="00C445EB" w:rsidRPr="000E344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Բրայլյան </w:t>
      </w:r>
      <w:r w:rsidRPr="000E344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տպագրությունից</w:t>
      </w:r>
      <w:r w:rsidR="00C445EB" w:rsidRPr="000E344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,</w:t>
      </w:r>
      <w:r w:rsidRPr="000E344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BE0CE2" w:rsidRPr="000E344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ինչը,</w:t>
      </w:r>
      <w:r w:rsidRPr="000E344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կարծում ենք ապրանքի վրա մակնշման տեսքով </w:t>
      </w:r>
      <w:r w:rsidR="00BE0CE2" w:rsidRPr="000E344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համատեղելը </w:t>
      </w:r>
      <w:r w:rsidRPr="000E344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ոչ նպատակահարմար է։ Նույնը վերաբերում է լսողական խնդիր</w:t>
      </w:r>
      <w:r w:rsidR="00BE0CE2" w:rsidRPr="000E344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ներ</w:t>
      </w:r>
      <w:r w:rsidRPr="000E344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ունեցող անձանց համար յուրաքանչյուր ապրանքատեսակի </w:t>
      </w:r>
      <w:r w:rsidR="00143E78" w:rsidRPr="000E344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մասով </w:t>
      </w:r>
      <w:r w:rsidRPr="000E344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ունենալ ձայնային մակնշում։</w:t>
      </w:r>
    </w:p>
    <w:p w14:paraId="7A47895C" w14:textId="10552B37" w:rsidR="00B81B26" w:rsidRPr="00EF6800" w:rsidRDefault="00222C19" w:rsidP="000E3449">
      <w:pPr>
        <w:shd w:val="clear" w:color="auto" w:fill="FFFFFF"/>
        <w:tabs>
          <w:tab w:val="left" w:pos="0"/>
        </w:tabs>
        <w:spacing w:after="0" w:line="360" w:lineRule="auto"/>
        <w:ind w:left="-270" w:right="-900" w:firstLine="630"/>
        <w:jc w:val="both"/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Էկոնոմիկայի նախարարության գնահատմամբ վերոնշյալ միջոցառման՝ նշված խմբագրությամբ իրականացում</w:t>
      </w:r>
      <w:r w:rsidR="00FD139A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ն</w:t>
      </w:r>
      <w:r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իրատեսական չէ, քանի որ մինչև մ</w:t>
      </w:r>
      <w:r w:rsidR="00B81B26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իջոցառման </w:t>
      </w:r>
      <w:r w:rsidR="00FD139A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իրականացումն</w:t>
      </w:r>
      <w:r w:rsidR="00B81B26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FD139A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անհրաժեշտ </w:t>
      </w:r>
      <w:r w:rsidR="00B81B26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է հասկանալ</w:t>
      </w:r>
      <w:r w:rsidR="00EF6800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դրա </w:t>
      </w:r>
      <w:r w:rsidR="00B81B26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ֆինանսական ազդեցություն</w:t>
      </w:r>
      <w:r w:rsidR="00EF6800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ը</w:t>
      </w:r>
      <w:r w:rsidR="00B81B26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ոլորտի բիզնես համայնքի վրա</w:t>
      </w:r>
      <w:r w:rsidR="00EF6800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, </w:t>
      </w:r>
      <w:r w:rsidR="00EF6800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lastRenderedPageBreak/>
        <w:t>քանի</w:t>
      </w:r>
      <w:r w:rsidR="00B81B26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որ</w:t>
      </w:r>
      <w:r w:rsidR="00EF6800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այն </w:t>
      </w:r>
      <w:r w:rsidR="00B81B26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անխուսափելիորեն </w:t>
      </w:r>
      <w:r w:rsidR="00EF6800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անդրադառնալու է</w:t>
      </w:r>
      <w:r w:rsidR="00B81B26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նաև ապրանքների և ծառայությունների վերջնական գների </w:t>
      </w:r>
      <w:r w:rsidR="00EF6800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ձևավորման </w:t>
      </w:r>
      <w:r w:rsidR="00B81B26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վրա։</w:t>
      </w:r>
      <w:r w:rsidR="000E6EF0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</w:p>
    <w:p w14:paraId="13CC46F6" w14:textId="561ACA4E" w:rsidR="00222C19" w:rsidRPr="00EF6800" w:rsidRDefault="00057F5E" w:rsidP="000E3449">
      <w:pPr>
        <w:shd w:val="clear" w:color="auto" w:fill="FFFFFF"/>
        <w:tabs>
          <w:tab w:val="left" w:pos="0"/>
        </w:tabs>
        <w:spacing w:after="0" w:line="360" w:lineRule="auto"/>
        <w:ind w:left="-270" w:right="-900" w:firstLine="630"/>
        <w:jc w:val="both"/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Պետության կողմից ցանկացած միջամտություն պետք է լինի հավասարակշռված</w:t>
      </w:r>
      <w:r w:rsidR="00222C19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, որոնք ուղղված կլինեն  հասարակության բոլոր՝ ինչպես հաշմանդամների, այնպես էլ սոցիալական այլ խմբերի բարեկեցության բարձրացմանը։</w:t>
      </w:r>
    </w:p>
    <w:p w14:paraId="2CCB4134" w14:textId="39839CB9" w:rsidR="000E3449" w:rsidRDefault="00222C19" w:rsidP="000E3449">
      <w:pPr>
        <w:shd w:val="clear" w:color="auto" w:fill="FFFFFF"/>
        <w:tabs>
          <w:tab w:val="left" w:pos="0"/>
        </w:tabs>
        <w:spacing w:after="0" w:line="360" w:lineRule="auto"/>
        <w:ind w:left="-270" w:right="-900" w:firstLine="630"/>
        <w:jc w:val="both"/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Այնուամենայնիվ, հ</w:t>
      </w:r>
      <w:r w:rsidR="005503CD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ամակարծիք լինելով </w:t>
      </w:r>
      <w:r w:rsidR="000E3449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Կառավարության որդեգրած քաղաքականության հետ, այն որ</w:t>
      </w:r>
      <w:r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՝</w:t>
      </w:r>
      <w:r w:rsidR="000E3449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պետք է շարունակական ջանքեր գործադրե</w:t>
      </w:r>
      <w:r w:rsidR="00EF6800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լ</w:t>
      </w:r>
      <w:r w:rsidR="000E3449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կույրերի, ինչպես նաև լսողական խնդիրներ ունեցող անձանց համար սոցիալականացման մատչելիություն</w:t>
      </w:r>
      <w:r w:rsidR="00EF6800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ն</w:t>
      </w:r>
      <w:r w:rsidR="000E3449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ապահ</w:t>
      </w:r>
      <w:r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ո</w:t>
      </w:r>
      <w:r w:rsidR="000E3449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վելու նպատակով, </w:t>
      </w:r>
      <w:r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Էկոնոմիկայի նախարարությունը գտնում է, որ </w:t>
      </w:r>
      <w:r w:rsidR="00EF6800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նշված միջոցառումն հնարավոր է </w:t>
      </w:r>
      <w:r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0E3449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իրականացնել </w:t>
      </w:r>
      <w:r w:rsidR="00EF6800" w:rsidRPr="00AA2C6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Հայաստանի թվայնացման ռազմավարության </w:t>
      </w:r>
      <w:r w:rsid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շրջանակներում</w:t>
      </w:r>
      <w:r w:rsidR="000E3449" w:rsidRPr="00EF680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։</w:t>
      </w:r>
    </w:p>
    <w:p w14:paraId="36177075" w14:textId="77777777" w:rsidR="003157E2" w:rsidRDefault="003157E2" w:rsidP="005C4293">
      <w:pPr>
        <w:shd w:val="clear" w:color="auto" w:fill="FFFFFF"/>
        <w:tabs>
          <w:tab w:val="left" w:pos="0"/>
        </w:tabs>
        <w:spacing w:after="0" w:line="360" w:lineRule="auto"/>
        <w:ind w:left="-270" w:right="-900" w:firstLine="630"/>
        <w:jc w:val="both"/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720CD3D0" w14:textId="6A32A08E" w:rsidR="000A31CA" w:rsidRPr="000A31CA" w:rsidRDefault="000A31CA" w:rsidP="005C4293">
      <w:pPr>
        <w:shd w:val="clear" w:color="auto" w:fill="FFFFFF"/>
        <w:tabs>
          <w:tab w:val="left" w:pos="0"/>
        </w:tabs>
        <w:spacing w:after="0" w:line="360" w:lineRule="auto"/>
        <w:ind w:left="-270" w:right="-450" w:firstLine="630"/>
        <w:jc w:val="both"/>
        <w:rPr>
          <w:rFonts w:ascii="GHEA Grapalat" w:hAnsi="GHEA Grapalat"/>
          <w:b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0A31CA">
        <w:rPr>
          <w:rFonts w:ascii="GHEA Grapalat" w:hAnsi="GHEA Grapalat"/>
          <w:b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Միջազգային </w:t>
      </w:r>
      <w:r w:rsidR="003157E2">
        <w:rPr>
          <w:rFonts w:ascii="GHEA Grapalat" w:hAnsi="GHEA Grapalat"/>
          <w:b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փորձ․</w:t>
      </w:r>
    </w:p>
    <w:p w14:paraId="411E2472" w14:textId="34B31D66" w:rsidR="004E5F1C" w:rsidRDefault="00D942CF" w:rsidP="005C4293">
      <w:pPr>
        <w:shd w:val="clear" w:color="auto" w:fill="FFFFFF"/>
        <w:tabs>
          <w:tab w:val="left" w:pos="0"/>
        </w:tabs>
        <w:spacing w:after="0" w:line="360" w:lineRule="auto"/>
        <w:ind w:left="-270" w:right="-990" w:firstLine="630"/>
        <w:jc w:val="both"/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Հարցի վերաբերյալ ուսումնասիր</w:t>
      </w:r>
      <w:r w:rsidR="00BE0CE2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վել է </w:t>
      </w:r>
      <w:r w:rsidR="007E0C18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տարբեր երկրների </w:t>
      </w: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փորձը և պարզվել է, որ </w:t>
      </w:r>
      <w:r w:rsidR="00AC27D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0A31C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տեսալսողական խնդիրներ ունեցող</w:t>
      </w:r>
      <w:r w:rsidR="000A31CA" w:rsidRPr="000A31C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մարդկանց մատչելիության հիմքը</w:t>
      </w:r>
      <w:r w:rsidR="001128A5">
        <w:rPr>
          <w:rStyle w:val="FootnoteReference"/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footnoteReference w:id="1"/>
      </w:r>
      <w:r w:rsidR="000A31CA" w:rsidRPr="000A31C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0A31C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իր մեջ </w:t>
      </w:r>
      <w:r w:rsidR="000A31CA" w:rsidRPr="000A31C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ներառում է</w:t>
      </w:r>
      <w:r w:rsidR="001128A5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bookmarkStart w:id="0" w:name="_Hlk163557347"/>
      <w:r w:rsidR="001128A5" w:rsidRPr="001128A5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Վեբ հասանելիության հրահանգ</w:t>
      </w:r>
      <w:r w:rsidR="001128A5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ը</w:t>
      </w:r>
      <w:bookmarkEnd w:id="0"/>
      <w:r w:rsidR="001128A5">
        <w:rPr>
          <w:rStyle w:val="FootnoteReference"/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footnoteReference w:id="2"/>
      </w:r>
      <w:r w:rsidR="00BE0CE2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, որը վերաբերվում է</w:t>
      </w:r>
      <w:r w:rsidR="001128A5" w:rsidRPr="001128A5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BE0CE2" w:rsidRPr="00345FF7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հանրային հատվածի մարմինների կայքերի և բջջային հավելվածների հասանելիությ</w:t>
      </w:r>
      <w:r w:rsidR="00BE0CE2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անը</w:t>
      </w:r>
      <w:r w:rsidR="00FE662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։</w:t>
      </w:r>
    </w:p>
    <w:p w14:paraId="7971C7C5" w14:textId="315DE1B4" w:rsidR="004E5F1C" w:rsidRDefault="00196D60" w:rsidP="005C4293">
      <w:pPr>
        <w:shd w:val="clear" w:color="auto" w:fill="FFFFFF"/>
        <w:tabs>
          <w:tab w:val="left" w:pos="0"/>
        </w:tabs>
        <w:spacing w:after="0" w:line="360" w:lineRule="auto"/>
        <w:ind w:left="-270" w:right="-990" w:firstLine="630"/>
        <w:jc w:val="both"/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196D6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Թվային հասանելիության մասին ԵՄ օրենսդրությունն ընդունվել է 2016 թվականին և ամբողջությամբ ուժի մեջ է մտել 2021 թվականի հունիսին: </w:t>
      </w:r>
    </w:p>
    <w:p w14:paraId="37373563" w14:textId="2E3C4740" w:rsidR="00345FF7" w:rsidRDefault="00BE0CE2" w:rsidP="005C4293">
      <w:pPr>
        <w:shd w:val="clear" w:color="auto" w:fill="FFFFFF"/>
        <w:tabs>
          <w:tab w:val="left" w:pos="0"/>
        </w:tabs>
        <w:spacing w:after="0" w:line="360" w:lineRule="auto"/>
        <w:ind w:left="-270" w:right="-990" w:firstLine="630"/>
        <w:jc w:val="both"/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Համաձայն վերը նշված հրահանգի՝ </w:t>
      </w:r>
      <w:r w:rsidR="00345FF7" w:rsidRPr="00345FF7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ԵՄ անդամ երկրները պետք է ապահովեն, որ հանրային հատվածի մարմինների կայքերը և բջջային հավելվածները «առավել հասանելի» լինեն, հատկապես հաշմանդամություն ունեցող անձանց համար՝ դրանք դարձնելով «ընկալելի, գործածելի, հասկանալի և ամուր»: </w:t>
      </w:r>
    </w:p>
    <w:p w14:paraId="34B702A7" w14:textId="77777777" w:rsidR="00151449" w:rsidRDefault="00345FF7" w:rsidP="005C4293">
      <w:pPr>
        <w:shd w:val="clear" w:color="auto" w:fill="FFFFFF"/>
        <w:tabs>
          <w:tab w:val="left" w:pos="0"/>
        </w:tabs>
        <w:spacing w:after="0" w:line="360" w:lineRule="auto"/>
        <w:ind w:left="-270" w:right="-990" w:firstLine="630"/>
        <w:jc w:val="both"/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345FF7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Անդամ պետությունները վերահսկ</w:t>
      </w:r>
      <w:r w:rsidR="0015144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ում են կայքերի</w:t>
      </w:r>
      <w:r w:rsidRPr="00345FF7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համապատասխանությունը՝ օգտագործելով Հանձնաժողովի կողմից 2018 թվականի հոկտեմբերի 11-ին ընդունված մեթոդաբանությունը: </w:t>
      </w:r>
    </w:p>
    <w:p w14:paraId="19DDF5D5" w14:textId="1A02FF2D" w:rsidR="000A4C5A" w:rsidRDefault="00151449" w:rsidP="005C4293">
      <w:pPr>
        <w:shd w:val="clear" w:color="auto" w:fill="FFFFFF"/>
        <w:tabs>
          <w:tab w:val="left" w:pos="0"/>
        </w:tabs>
        <w:spacing w:after="0" w:line="360" w:lineRule="auto"/>
        <w:ind w:left="-270" w:right="-990" w:firstLine="630"/>
        <w:jc w:val="both"/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lastRenderedPageBreak/>
        <w:t>Ա</w:t>
      </w:r>
      <w:r w:rsidR="00BE0CE2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վելին</w:t>
      </w: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՝ գոյություն ունի</w:t>
      </w:r>
      <w:r w:rsidR="000A31C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0A31CA" w:rsidRPr="000A31C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I</w:t>
      </w:r>
      <w:r w:rsidR="000A31C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SO 30071-1 միջազգային </w:t>
      </w:r>
      <w:r w:rsidR="000A4C5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մատչելիության </w:t>
      </w:r>
      <w:r w:rsidR="000A31C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ստանդարտը, որ</w:t>
      </w:r>
      <w:r w:rsidR="00BE0CE2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ն</w:t>
      </w:r>
      <w:r w:rsidR="000A31C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0A31CA" w:rsidRPr="000A31C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առաջարկում է «համապարփակ մոտեցում տեղեկատվական և հեռահաղորդակցության տեխնոլոգիաների (ՏՀՏ) </w:t>
      </w:r>
      <w:r w:rsidR="000A31C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կիրառմամբ ապրանքների օգտագործման մատչելիության ապահովման </w:t>
      </w:r>
      <w:r w:rsidR="000A31CA" w:rsidRPr="000A31C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ուղեցույց</w:t>
      </w:r>
      <w:r w:rsidR="000A31C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եր։</w:t>
      </w:r>
      <w:r w:rsidR="000A31CA" w:rsidRPr="000A31C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0A4C5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Բացի </w:t>
      </w:r>
      <w:r w:rsidR="000A4C5A" w:rsidRPr="000A4C5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ISO 30071-1 </w:t>
      </w:r>
      <w:r w:rsidR="000A4C5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ստանդարտից, հ</w:t>
      </w:r>
      <w:r w:rsidR="000A4C5A" w:rsidRPr="000A4C5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ամաշխարհային ցանցի կոնսորցիումը (W3C) մշակում է վեբ միջազգային ստանդարտներ՝ HTML, CSS և շատ ավելին</w:t>
      </w:r>
      <w:r w:rsidR="000A4C5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։ </w:t>
      </w:r>
      <w:r w:rsidR="000A31CA" w:rsidRPr="000A31C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Մատչելիության ստանդարտները մանրամասնորեն սահմանում են, թե ինչ հատկանիշներ են պահանջվում </w:t>
      </w:r>
      <w:r w:rsidR="000A4C5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տվյալ ապրանքախմբերը </w:t>
      </w:r>
      <w:r w:rsidR="000A31CA" w:rsidRPr="000A31C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հասանելի լինելու համար: </w:t>
      </w:r>
    </w:p>
    <w:p w14:paraId="732CBDF9" w14:textId="39F5996D" w:rsidR="000A4C5A" w:rsidRDefault="000A31CA" w:rsidP="005C4293">
      <w:pPr>
        <w:shd w:val="clear" w:color="auto" w:fill="FFFFFF"/>
        <w:tabs>
          <w:tab w:val="left" w:pos="0"/>
        </w:tabs>
        <w:spacing w:after="0" w:line="360" w:lineRule="auto"/>
        <w:ind w:left="-270" w:right="-990" w:firstLine="630"/>
        <w:jc w:val="both"/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0A31C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Ստանդարտներ</w:t>
      </w:r>
      <w:r w:rsidR="00BE0CE2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ը</w:t>
      </w:r>
      <w:r w:rsidRPr="000A31C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0A4C5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հիմնականում </w:t>
      </w:r>
      <w:r w:rsidRPr="000A31C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օգտագործվում են տեխնոլոգիաների մշակողների կողմից</w:t>
      </w:r>
      <w:r w:rsidR="000A4C5A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՝ հաշմանդամություն ունեցող անձանց կողմից օգտագործման նպատակով։</w:t>
      </w:r>
    </w:p>
    <w:p w14:paraId="31876EB0" w14:textId="77777777" w:rsidR="003157E2" w:rsidRDefault="008C0EDD" w:rsidP="005C4293">
      <w:pPr>
        <w:shd w:val="clear" w:color="auto" w:fill="FFFFFF"/>
        <w:tabs>
          <w:tab w:val="left" w:pos="0"/>
        </w:tabs>
        <w:spacing w:after="0" w:line="360" w:lineRule="auto"/>
        <w:ind w:left="-270" w:right="-990" w:firstLine="630"/>
        <w:jc w:val="both"/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Ուստի առաջարկում ենք այն դիտարկել </w:t>
      </w:r>
      <w:r w:rsidRPr="008C0EDD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ՀՀ կառավարության 2021 թվականի փետրվարի 11-ի N 183-Լ որոշմամբ հաստատված Հայաստանի թվայնացման ռազմավարության </w:t>
      </w: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համատեքստում, որը նախատեսում է  թ</w:t>
      </w:r>
      <w:r w:rsidRPr="0015144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վային լուծումների օգտագործման խրախուսման ծրագ</w:t>
      </w: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րերի իրականացում։ Այն է՝ հ</w:t>
      </w:r>
      <w:r w:rsidRPr="0015144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ատուկ ուշադրություն դարձ</w:t>
      </w: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նել</w:t>
      </w:r>
      <w:r w:rsidRPr="00151449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հավասար հնարավորությունը խթանող ծրագրերին, որոնք կնպաստեն, օրինակ, հաշմանդամություն ունեցող անձանց ներգրավմանը բիզնես գործընթացներում, կամ հաշմանդամություն ունեցող անձանց համար ընդհանուր բնակչության համար նախատեսված և հատուկ ծառայությունների մատչելիության լիարժեք ապահովմանը:</w:t>
      </w:r>
    </w:p>
    <w:p w14:paraId="03718406" w14:textId="0B64C23A" w:rsidR="008C0EDD" w:rsidRDefault="008C0EDD" w:rsidP="005C4293">
      <w:pPr>
        <w:shd w:val="clear" w:color="auto" w:fill="FFFFFF"/>
        <w:tabs>
          <w:tab w:val="left" w:pos="0"/>
        </w:tabs>
        <w:spacing w:after="0" w:line="360" w:lineRule="auto"/>
        <w:ind w:left="-270" w:right="-990" w:firstLine="630"/>
        <w:jc w:val="both"/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Ի հավելումն նշենք, որ </w:t>
      </w:r>
      <w:r w:rsidRPr="00AA2C6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Հայաստանի թվայնացման ռազմավարության </w:t>
      </w: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ապահովվման միջոցառումների երկրորդ փուլում նախատեսում է </w:t>
      </w:r>
      <w:r w:rsidRPr="00AA2C6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հ</w:t>
      </w:r>
      <w:r w:rsidRPr="00AA2C6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աշմանդամություն ունեցող անձանց համար</w:t>
      </w:r>
      <w:r w:rsidR="003157E2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ապահովել</w:t>
      </w:r>
      <w:r w:rsidRPr="00AA2C6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թվային ծառայությունների հասանելիությ</w:t>
      </w:r>
      <w:r w:rsidR="003157E2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ուն</w:t>
      </w: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։ Այս միջոցառումը նախատեսում է՝</w:t>
      </w:r>
    </w:p>
    <w:p w14:paraId="34E27B26" w14:textId="77777777" w:rsidR="008C0EDD" w:rsidRPr="00AA2C60" w:rsidRDefault="008C0EDD" w:rsidP="005C4293">
      <w:pPr>
        <w:shd w:val="clear" w:color="auto" w:fill="FFFFFF"/>
        <w:tabs>
          <w:tab w:val="left" w:pos="0"/>
        </w:tabs>
        <w:spacing w:after="0" w:line="360" w:lineRule="auto"/>
        <w:ind w:left="-270" w:right="-990" w:firstLine="630"/>
        <w:jc w:val="both"/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1</w:t>
      </w:r>
      <w:r>
        <w:rPr>
          <w:rFonts w:ascii="Cambria Math" w:hAnsi="Cambria Math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․ </w:t>
      </w: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համակողմանի քննարկում հ</w:t>
      </w:r>
      <w:r w:rsidRPr="00AA2C6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աշմանդամություն ունեցող անձանց հարցերով զբաղվող ՀԿ-ների հետ</w:t>
      </w: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, </w:t>
      </w:r>
    </w:p>
    <w:p w14:paraId="6F9B37A5" w14:textId="77777777" w:rsidR="008C0EDD" w:rsidRPr="00AA2C60" w:rsidRDefault="008C0EDD" w:rsidP="005C4293">
      <w:pPr>
        <w:shd w:val="clear" w:color="auto" w:fill="FFFFFF"/>
        <w:tabs>
          <w:tab w:val="left" w:pos="0"/>
        </w:tabs>
        <w:spacing w:after="0" w:line="360" w:lineRule="auto"/>
        <w:ind w:left="-270" w:right="-990" w:firstLine="630"/>
        <w:jc w:val="both"/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AA2C6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2. Հաշմանդամություն, այդ թվում՝ տեսողության, լսողության և մտավոր խնդիրներ ունեցող անձանց՝ Պետական ծառայությունների միասնական հարթակից հավասար իրավունքներով օգտվելու պահանջների ուսումնասիրություն և հնարավորությունների ապահովում</w:t>
      </w: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։</w:t>
      </w:r>
    </w:p>
    <w:p w14:paraId="30B2A2CA" w14:textId="77777777" w:rsidR="008C0EDD" w:rsidRPr="00D35AE9" w:rsidRDefault="008C0EDD" w:rsidP="005C4293">
      <w:pPr>
        <w:shd w:val="clear" w:color="auto" w:fill="FFFFFF"/>
        <w:tabs>
          <w:tab w:val="left" w:pos="0"/>
        </w:tabs>
        <w:spacing w:after="0" w:line="360" w:lineRule="auto"/>
        <w:ind w:left="-270" w:right="-990" w:firstLine="630"/>
        <w:jc w:val="both"/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AA2C6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3. Մատչելի լուծումների (Text to Speech և Speech to Text փոխակերպումներ և այլն) մշակում և իրականացում:</w:t>
      </w:r>
    </w:p>
    <w:p w14:paraId="05BBAAE9" w14:textId="226D3505" w:rsidR="003157E2" w:rsidRDefault="008C0EDD" w:rsidP="005C4293">
      <w:pPr>
        <w:shd w:val="clear" w:color="auto" w:fill="FFFFFF"/>
        <w:tabs>
          <w:tab w:val="left" w:pos="0"/>
        </w:tabs>
        <w:spacing w:after="0" w:line="360" w:lineRule="auto"/>
        <w:ind w:left="-270" w:right="-990" w:firstLine="630"/>
        <w:jc w:val="both"/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AA2C6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lastRenderedPageBreak/>
        <w:t xml:space="preserve">Հաշվի առնելով վերոգրյալը Նախագծով </w:t>
      </w:r>
      <w:r w:rsidR="00B012F8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առաջարկվում է </w:t>
      </w:r>
      <w:r w:rsidRPr="00AA2C6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Հայաստանի Հանրապետության կառավարության 2023 թվականի 8 հունիսի N 943-Լ որոշմամբ հաստատված</w:t>
      </w:r>
      <w:r w:rsidR="0052244E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Pr="00AA2C6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հաշմանդամություն ունեցող անձանց սոցիալական ներառման 2023-2027 թվականների համաիրականացումն ապահովող միջոցառումների ցանկի 3-րդ կետ</w:t>
      </w: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ի</w:t>
      </w:r>
      <w:r w:rsidRPr="00AA2C6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Pr="00AA2C60">
        <w:rPr>
          <w:rFonts w:ascii="Arial Armenian" w:hAnsi="Arial Armenian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§</w:t>
      </w:r>
      <w:r w:rsidRPr="00AA2C6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դ</w:t>
      </w:r>
      <w:r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»</w:t>
      </w:r>
      <w:r w:rsidRPr="00AA2C60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ենթակետ</w:t>
      </w:r>
      <w:r w:rsidR="00B012F8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ում  </w:t>
      </w:r>
      <w:r w:rsidR="00B012F8" w:rsidRPr="00B012F8"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հանել «առևտրի և ծառայությունների, սպառողների իրավունքների,» բառերը։ </w:t>
      </w:r>
    </w:p>
    <w:p w14:paraId="6DC96CA8" w14:textId="77777777" w:rsidR="003157E2" w:rsidRDefault="003157E2" w:rsidP="005C4293">
      <w:pPr>
        <w:shd w:val="clear" w:color="auto" w:fill="FFFFFF"/>
        <w:tabs>
          <w:tab w:val="left" w:pos="0"/>
        </w:tabs>
        <w:spacing w:after="0" w:line="360" w:lineRule="auto"/>
        <w:ind w:left="-270" w:right="-990" w:firstLine="630"/>
        <w:jc w:val="both"/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63061BF8" w14:textId="5BC43FE7" w:rsidR="003157E2" w:rsidRDefault="00F4320B" w:rsidP="005C4293">
      <w:pPr>
        <w:shd w:val="clear" w:color="auto" w:fill="FFFFFF"/>
        <w:tabs>
          <w:tab w:val="left" w:pos="0"/>
        </w:tabs>
        <w:spacing w:after="0" w:line="360" w:lineRule="auto"/>
        <w:ind w:left="-270" w:right="-990" w:firstLine="630"/>
        <w:jc w:val="both"/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2</w:t>
      </w:r>
      <w:r w:rsidR="008C0EDD" w:rsidRPr="008C0EDD">
        <w:rPr>
          <w:rFonts w:ascii="Cambria Math" w:eastAsia="Times New Roman" w:hAnsi="Cambria Math" w:cs="Cambria Math"/>
          <w:b/>
          <w:kern w:val="0"/>
          <w:sz w:val="24"/>
          <w:szCs w:val="24"/>
          <w:lang w:val="hy-AM" w:eastAsia="ru-RU"/>
          <w14:ligatures w14:val="none"/>
        </w:rPr>
        <w:t>․</w:t>
      </w:r>
      <w:r w:rsidR="008C0EDD">
        <w:rPr>
          <w:rFonts w:ascii="Cambria Math" w:eastAsia="Times New Roman" w:hAnsi="Cambria Math" w:cs="Cambria Math"/>
          <w:b/>
          <w:kern w:val="0"/>
          <w:sz w:val="24"/>
          <w:szCs w:val="24"/>
          <w:lang w:val="hy-AM" w:eastAsia="ru-RU"/>
          <w14:ligatures w14:val="none"/>
        </w:rPr>
        <w:t xml:space="preserve"> </w:t>
      </w:r>
      <w:r w:rsidR="008C0EDD" w:rsidRPr="008C0EDD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Նախագծի մշակման գործընթացում ներգրավված ինստիտուտները և անձինք</w:t>
      </w:r>
      <w:r w:rsidR="008C0EDD" w:rsidRPr="008C0EDD">
        <w:rPr>
          <w:rFonts w:ascii="Cambria Math" w:eastAsia="Times New Roman" w:hAnsi="Cambria Math" w:cs="Sylfaen"/>
          <w:kern w:val="0"/>
          <w:sz w:val="24"/>
          <w:szCs w:val="24"/>
          <w:lang w:val="hy-AM" w:eastAsia="x-none"/>
          <w14:ligatures w14:val="none"/>
        </w:rPr>
        <w:t>․</w:t>
      </w:r>
    </w:p>
    <w:p w14:paraId="77E62733" w14:textId="412FD4DE" w:rsidR="008C0EDD" w:rsidRPr="003157E2" w:rsidRDefault="008C0EDD" w:rsidP="005C4293">
      <w:pPr>
        <w:shd w:val="clear" w:color="auto" w:fill="FFFFFF"/>
        <w:tabs>
          <w:tab w:val="left" w:pos="0"/>
        </w:tabs>
        <w:spacing w:after="0" w:line="360" w:lineRule="auto"/>
        <w:ind w:left="-270" w:right="-990" w:firstLine="630"/>
        <w:jc w:val="both"/>
        <w:rPr>
          <w:rFonts w:ascii="GHEA Grapalat" w:hAnsi="GHEA Grapalat"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8C0EDD">
        <w:rPr>
          <w:rFonts w:ascii="GHEA Grapalat" w:eastAsia="Times New Roman" w:hAnsi="GHEA Grapalat" w:cs="Sylfaen"/>
          <w:kern w:val="0"/>
          <w:sz w:val="24"/>
          <w:szCs w:val="24"/>
          <w:lang w:val="hy-AM" w:eastAsia="x-none"/>
          <w14:ligatures w14:val="none"/>
        </w:rPr>
        <w:t>Նախագիծը</w:t>
      </w:r>
      <w:r w:rsidRPr="008C0EDD">
        <w:rPr>
          <w:rFonts w:ascii="GHEA Grapalat" w:eastAsia="Times New Roman" w:hAnsi="GHEA Grapalat" w:cs="Sylfaen"/>
          <w:kern w:val="0"/>
          <w:sz w:val="24"/>
          <w:szCs w:val="24"/>
          <w:lang w:val="af-ZA" w:eastAsia="x-none"/>
          <w14:ligatures w14:val="none"/>
        </w:rPr>
        <w:t xml:space="preserve"> </w:t>
      </w:r>
      <w:r w:rsidRPr="008C0EDD">
        <w:rPr>
          <w:rFonts w:ascii="GHEA Grapalat" w:eastAsia="Times New Roman" w:hAnsi="GHEA Grapalat" w:cs="Sylfaen"/>
          <w:kern w:val="0"/>
          <w:sz w:val="24"/>
          <w:szCs w:val="24"/>
          <w:lang w:val="hy-AM" w:eastAsia="x-none"/>
          <w14:ligatures w14:val="none"/>
        </w:rPr>
        <w:t>մշակվել</w:t>
      </w:r>
      <w:r w:rsidRPr="008C0EDD">
        <w:rPr>
          <w:rFonts w:ascii="GHEA Grapalat" w:eastAsia="Times New Roman" w:hAnsi="GHEA Grapalat" w:cs="Sylfaen"/>
          <w:kern w:val="0"/>
          <w:sz w:val="24"/>
          <w:szCs w:val="24"/>
          <w:lang w:val="af-ZA" w:eastAsia="x-none"/>
          <w14:ligatures w14:val="none"/>
        </w:rPr>
        <w:t xml:space="preserve"> </w:t>
      </w:r>
      <w:r w:rsidRPr="008C0EDD">
        <w:rPr>
          <w:rFonts w:ascii="GHEA Grapalat" w:eastAsia="Times New Roman" w:hAnsi="GHEA Grapalat" w:cs="Sylfaen"/>
          <w:kern w:val="0"/>
          <w:sz w:val="24"/>
          <w:szCs w:val="24"/>
          <w:lang w:val="hy-AM" w:eastAsia="x-none"/>
          <w14:ligatures w14:val="none"/>
        </w:rPr>
        <w:t>է Էկոնոմիկայի նախարարության</w:t>
      </w:r>
      <w:r w:rsidRPr="008C0EDD">
        <w:rPr>
          <w:rFonts w:ascii="GHEA Grapalat" w:eastAsia="Times New Roman" w:hAnsi="GHEA Grapalat" w:cs="Sylfaen"/>
          <w:kern w:val="0"/>
          <w:sz w:val="24"/>
          <w:szCs w:val="24"/>
          <w:lang w:val="af-ZA" w:eastAsia="x-none"/>
          <w14:ligatures w14:val="none"/>
        </w:rPr>
        <w:t xml:space="preserve"> </w:t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կողմից։ </w:t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Նախագծի </w:t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մշակմանն այլ  ինստիտուտներ և անձինք չեն մասնակցել:</w:t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pt-BR" w:eastAsia="ru-RU"/>
          <w14:ligatures w14:val="none"/>
        </w:rPr>
        <w:t xml:space="preserve"> </w:t>
      </w:r>
    </w:p>
    <w:p w14:paraId="76A3B5E8" w14:textId="4F70ED88" w:rsidR="003157E2" w:rsidRDefault="003157E2" w:rsidP="005C4293">
      <w:pPr>
        <w:shd w:val="clear" w:color="auto" w:fill="FFFFFF"/>
        <w:spacing w:before="100" w:beforeAutospacing="1" w:after="0" w:line="360" w:lineRule="auto"/>
        <w:ind w:left="-270" w:firstLine="630"/>
        <w:contextualSpacing/>
        <w:jc w:val="both"/>
        <w:rPr>
          <w:rFonts w:ascii="GHEA Grapalat" w:eastAsia="Times New Roman" w:hAnsi="GHEA Grapalat" w:cs="Times New Roman"/>
          <w:b/>
          <w:snapToGrid w:val="0"/>
          <w:kern w:val="0"/>
          <w:sz w:val="24"/>
          <w:szCs w:val="24"/>
          <w:lang w:val="hy-AM" w:eastAsia="ru-RU"/>
          <w14:ligatures w14:val="none"/>
        </w:rPr>
      </w:pPr>
    </w:p>
    <w:p w14:paraId="0C893FEF" w14:textId="4A968A56" w:rsidR="008C0EDD" w:rsidRPr="008C0EDD" w:rsidRDefault="00F4320B" w:rsidP="005C4293">
      <w:pPr>
        <w:shd w:val="clear" w:color="auto" w:fill="FFFFFF"/>
        <w:spacing w:before="100" w:beforeAutospacing="1" w:after="0" w:line="360" w:lineRule="auto"/>
        <w:ind w:left="-270" w:firstLine="630"/>
        <w:contextualSpacing/>
        <w:jc w:val="both"/>
        <w:rPr>
          <w:rFonts w:ascii="GHEA Grapalat" w:eastAsia="Times New Roman" w:hAnsi="GHEA Grapalat" w:cs="Times New Roman"/>
          <w:b/>
          <w:snapToGrid w:val="0"/>
          <w:kern w:val="0"/>
          <w:sz w:val="24"/>
          <w:szCs w:val="24"/>
          <w:lang w:val="af-ZA" w:eastAsia="ru-RU"/>
          <w14:ligatures w14:val="none"/>
        </w:rPr>
      </w:pPr>
      <w:r>
        <w:rPr>
          <w:rFonts w:ascii="GHEA Grapalat" w:eastAsia="Times New Roman" w:hAnsi="GHEA Grapalat" w:cs="Times New Roman"/>
          <w:b/>
          <w:snapToGrid w:val="0"/>
          <w:kern w:val="0"/>
          <w:sz w:val="24"/>
          <w:szCs w:val="24"/>
          <w:lang w:val="hy-AM" w:eastAsia="ru-RU"/>
          <w14:ligatures w14:val="none"/>
        </w:rPr>
        <w:t>3</w:t>
      </w:r>
      <w:r w:rsidR="008C0EDD" w:rsidRPr="008C0EDD">
        <w:rPr>
          <w:rFonts w:ascii="GHEA Grapalat" w:eastAsia="Times New Roman" w:hAnsi="GHEA Grapalat" w:cs="Times New Roman"/>
          <w:b/>
          <w:snapToGrid w:val="0"/>
          <w:kern w:val="0"/>
          <w:sz w:val="24"/>
          <w:szCs w:val="24"/>
          <w:lang w:val="hy-AM" w:eastAsia="ru-RU"/>
          <w14:ligatures w14:val="none"/>
        </w:rPr>
        <w:t>. Ակնկալվող արդյունքը</w:t>
      </w:r>
      <w:r w:rsidR="008C0EDD" w:rsidRPr="008C0EDD">
        <w:rPr>
          <w:rFonts w:ascii="Cambria Math" w:eastAsia="Times New Roman" w:hAnsi="Cambria Math" w:cs="Cambria Math"/>
          <w:b/>
          <w:snapToGrid w:val="0"/>
          <w:kern w:val="0"/>
          <w:sz w:val="24"/>
          <w:szCs w:val="24"/>
          <w:lang w:val="af-ZA" w:eastAsia="ru-RU"/>
          <w14:ligatures w14:val="none"/>
        </w:rPr>
        <w:t>․</w:t>
      </w:r>
    </w:p>
    <w:p w14:paraId="41FA4786" w14:textId="399FC23A" w:rsidR="008C0EDD" w:rsidRDefault="008C0EDD" w:rsidP="005C4293">
      <w:pPr>
        <w:shd w:val="clear" w:color="auto" w:fill="FFFFFF"/>
        <w:spacing w:before="100" w:beforeAutospacing="1" w:after="0" w:line="360" w:lineRule="auto"/>
        <w:ind w:left="-270" w:right="-990" w:firstLine="630"/>
        <w:contextualSpacing/>
        <w:jc w:val="both"/>
        <w:rPr>
          <w:rFonts w:ascii="GHEA Grapalat" w:eastAsia="Times New Roman" w:hAnsi="GHEA Grapalat" w:cs="Sylfaen"/>
          <w:snapToGrid w:val="0"/>
          <w:kern w:val="0"/>
          <w:sz w:val="24"/>
          <w:szCs w:val="24"/>
          <w:lang w:val="hy-AM" w:eastAsia="ru-RU"/>
          <w14:ligatures w14:val="none"/>
        </w:rPr>
      </w:pPr>
      <w:r w:rsidRPr="008C0EDD">
        <w:rPr>
          <w:rFonts w:ascii="GHEA Grapalat" w:eastAsia="Times New Roman" w:hAnsi="GHEA Grapalat" w:cs="Sylfaen"/>
          <w:snapToGrid w:val="0"/>
          <w:kern w:val="0"/>
          <w:sz w:val="24"/>
          <w:szCs w:val="24"/>
          <w:lang w:val="af-ZA" w:eastAsia="ru-RU"/>
          <w14:ligatures w14:val="none"/>
        </w:rPr>
        <w:t>Սույն նախագծ</w:t>
      </w:r>
      <w:r w:rsidRPr="008C0EDD">
        <w:rPr>
          <w:rFonts w:ascii="GHEA Grapalat" w:eastAsia="Times New Roman" w:hAnsi="GHEA Grapalat" w:cs="Sylfaen"/>
          <w:snapToGrid w:val="0"/>
          <w:kern w:val="0"/>
          <w:sz w:val="24"/>
          <w:szCs w:val="24"/>
          <w:lang w:val="hy-AM" w:eastAsia="ru-RU"/>
          <w14:ligatures w14:val="none"/>
        </w:rPr>
        <w:t>եր</w:t>
      </w:r>
      <w:r w:rsidRPr="008C0EDD">
        <w:rPr>
          <w:rFonts w:ascii="GHEA Grapalat" w:eastAsia="Times New Roman" w:hAnsi="GHEA Grapalat" w:cs="Sylfaen"/>
          <w:snapToGrid w:val="0"/>
          <w:kern w:val="0"/>
          <w:sz w:val="24"/>
          <w:szCs w:val="24"/>
          <w:lang w:val="af-ZA" w:eastAsia="ru-RU"/>
          <w14:ligatures w14:val="none"/>
        </w:rPr>
        <w:t>ի ընդուն</w:t>
      </w:r>
      <w:r w:rsidRPr="008C0EDD">
        <w:rPr>
          <w:rFonts w:ascii="GHEA Grapalat" w:eastAsia="Times New Roman" w:hAnsi="GHEA Grapalat" w:cs="Sylfaen"/>
          <w:snapToGrid w:val="0"/>
          <w:kern w:val="0"/>
          <w:sz w:val="24"/>
          <w:szCs w:val="24"/>
          <w:lang w:val="hy-AM" w:eastAsia="ru-RU"/>
          <w14:ligatures w14:val="none"/>
        </w:rPr>
        <w:t xml:space="preserve">ման արդյունքում ակնկալվում է </w:t>
      </w:r>
      <w:r>
        <w:rPr>
          <w:rFonts w:ascii="GHEA Grapalat" w:eastAsia="Times New Roman" w:hAnsi="GHEA Grapalat" w:cs="Sylfaen"/>
          <w:snapToGrid w:val="0"/>
          <w:kern w:val="0"/>
          <w:sz w:val="24"/>
          <w:szCs w:val="24"/>
          <w:lang w:val="hy-AM" w:eastAsia="ru-RU"/>
          <w14:ligatures w14:val="none"/>
        </w:rPr>
        <w:t>Հայաստանի թվայնացման միասնական մոտեցման իրականացում։</w:t>
      </w:r>
      <w:r w:rsidRPr="008C0EDD">
        <w:rPr>
          <w:lang w:val="af-ZA"/>
        </w:rPr>
        <w:t xml:space="preserve"> </w:t>
      </w:r>
      <w:r w:rsidRPr="008C0EDD">
        <w:rPr>
          <w:rFonts w:ascii="GHEA Grapalat" w:eastAsia="Times New Roman" w:hAnsi="GHEA Grapalat" w:cs="Sylfaen"/>
          <w:snapToGrid w:val="0"/>
          <w:kern w:val="0"/>
          <w:sz w:val="24"/>
          <w:szCs w:val="24"/>
          <w:lang w:val="hy-AM" w:eastAsia="ru-RU"/>
          <w14:ligatures w14:val="none"/>
        </w:rPr>
        <w:t xml:space="preserve">Հայաստանի թվայնացման ռազմավարության  </w:t>
      </w:r>
      <w:r>
        <w:rPr>
          <w:rFonts w:ascii="GHEA Grapalat" w:eastAsia="Times New Roman" w:hAnsi="GHEA Grapalat" w:cs="Sylfaen"/>
          <w:snapToGrid w:val="0"/>
          <w:kern w:val="0"/>
          <w:sz w:val="24"/>
          <w:szCs w:val="24"/>
          <w:lang w:val="hy-AM" w:eastAsia="ru-RU"/>
          <w14:ligatures w14:val="none"/>
        </w:rPr>
        <w:t>շրջանակում</w:t>
      </w:r>
      <w:r w:rsidRPr="008C0EDD">
        <w:rPr>
          <w:rFonts w:ascii="GHEA Grapalat" w:eastAsia="Times New Roman" w:hAnsi="GHEA Grapalat" w:cs="Sylfaen"/>
          <w:snapToGrid w:val="0"/>
          <w:kern w:val="0"/>
          <w:sz w:val="24"/>
          <w:szCs w:val="24"/>
          <w:lang w:val="hy-AM" w:eastAsia="ru-RU"/>
          <w14:ligatures w14:val="none"/>
        </w:rPr>
        <w:t xml:space="preserve">  հաշմանդամություն ունեցող անձանց համար թվային ծառայությունների հասանելիության ապահովում</w:t>
      </w:r>
      <w:r>
        <w:rPr>
          <w:rFonts w:ascii="GHEA Grapalat" w:eastAsia="Times New Roman" w:hAnsi="GHEA Grapalat" w:cs="Sylfaen"/>
          <w:snapToGrid w:val="0"/>
          <w:kern w:val="0"/>
          <w:sz w:val="24"/>
          <w:szCs w:val="24"/>
          <w:lang w:val="hy-AM" w:eastAsia="ru-RU"/>
          <w14:ligatures w14:val="none"/>
        </w:rPr>
        <w:t>։</w:t>
      </w:r>
    </w:p>
    <w:p w14:paraId="5C75FC8E" w14:textId="77777777" w:rsidR="008C0EDD" w:rsidRPr="008C0EDD" w:rsidRDefault="008C0EDD" w:rsidP="005C4293">
      <w:pPr>
        <w:shd w:val="clear" w:color="auto" w:fill="FFFFFF"/>
        <w:spacing w:before="100" w:beforeAutospacing="1" w:after="0" w:line="360" w:lineRule="auto"/>
        <w:ind w:left="-270" w:right="-990" w:firstLine="630"/>
        <w:contextualSpacing/>
        <w:jc w:val="both"/>
        <w:rPr>
          <w:rFonts w:ascii="GHEA Grapalat" w:eastAsia="Calibri" w:hAnsi="GHEA Grapalat" w:cs="Sylfaen"/>
          <w:bCs/>
          <w:snapToGrid w:val="0"/>
          <w:kern w:val="0"/>
          <w:sz w:val="24"/>
          <w:szCs w:val="24"/>
          <w:lang w:val="hy-AM" w:eastAsia="ru-RU"/>
          <w14:ligatures w14:val="none"/>
        </w:rPr>
      </w:pPr>
    </w:p>
    <w:p w14:paraId="039508A7" w14:textId="4859AB1E" w:rsidR="008C0EDD" w:rsidRPr="008C0EDD" w:rsidRDefault="00F4320B" w:rsidP="007B31C0">
      <w:pPr>
        <w:spacing w:after="0" w:line="360" w:lineRule="auto"/>
        <w:ind w:left="-270" w:right="-990" w:firstLine="630"/>
        <w:contextualSpacing/>
        <w:jc w:val="both"/>
        <w:rPr>
          <w:rFonts w:ascii="Cambria Math" w:eastAsia="MS Gothic" w:hAnsi="Cambria Math" w:cs="Cambria Math"/>
          <w:kern w:val="0"/>
          <w:sz w:val="24"/>
          <w:szCs w:val="24"/>
          <w:lang w:val="hy-AM" w:eastAsia="ru-RU"/>
          <w14:ligatures w14:val="none"/>
        </w:rPr>
      </w:pPr>
      <w:r>
        <w:rPr>
          <w:rFonts w:ascii="GHEA Grapalat" w:eastAsia="Times New Roman" w:hAnsi="GHEA Grapalat" w:cs="Cambria Math"/>
          <w:b/>
          <w:bCs/>
          <w:kern w:val="0"/>
          <w:sz w:val="24"/>
          <w:szCs w:val="24"/>
          <w:lang w:val="hy-AM" w:eastAsia="ru-RU"/>
          <w14:ligatures w14:val="none"/>
        </w:rPr>
        <w:t>4</w:t>
      </w:r>
      <w:r w:rsidR="008C0EDD" w:rsidRPr="003157E2">
        <w:rPr>
          <w:rFonts w:ascii="Cambria Math" w:eastAsia="Times New Roman" w:hAnsi="Cambria Math" w:cs="Cambria Math"/>
          <w:b/>
          <w:bCs/>
          <w:kern w:val="0"/>
          <w:sz w:val="24"/>
          <w:szCs w:val="24"/>
          <w:lang w:val="hy-AM" w:eastAsia="ru-RU"/>
          <w14:ligatures w14:val="none"/>
        </w:rPr>
        <w:t>․</w:t>
      </w:r>
      <w:r w:rsidR="008C0EDD" w:rsidRPr="003157E2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 w:eastAsia="ru-RU"/>
          <w14:ligatures w14:val="none"/>
        </w:rPr>
        <w:t xml:space="preserve">  Իրավական ակտի ընդունման կապակցությամբ պետական կամ տեղական ինքնակառավարման մարմնի բյուջեում եկամուտների և ծախսերի էական ավելացման կամ նվազեցման</w:t>
      </w:r>
      <w:r w:rsidR="008C0EDD" w:rsidRPr="008C0EDD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 w:eastAsia="ru-RU"/>
          <w14:ligatures w14:val="none"/>
        </w:rPr>
        <w:t xml:space="preserve"> մասին</w:t>
      </w:r>
      <w:r w:rsidR="008C0EDD" w:rsidRPr="008C0EDD">
        <w:rPr>
          <w:rFonts w:ascii="Cambria Math" w:eastAsia="MS Gothic" w:hAnsi="Cambria Math" w:cs="Cambria Math"/>
          <w:kern w:val="0"/>
          <w:sz w:val="24"/>
          <w:szCs w:val="24"/>
          <w:lang w:val="hy-AM" w:eastAsia="ru-RU"/>
          <w14:ligatures w14:val="none"/>
        </w:rPr>
        <w:t>․</w:t>
      </w:r>
    </w:p>
    <w:p w14:paraId="4298D7EC" w14:textId="58A25B53" w:rsidR="008C0EDD" w:rsidRPr="008C0EDD" w:rsidRDefault="008C0EDD" w:rsidP="005C4293">
      <w:pPr>
        <w:spacing w:after="0" w:line="360" w:lineRule="auto"/>
        <w:ind w:left="-270" w:right="-990" w:firstLine="63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Նախա</w:t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  <w:t>գծի ընդուն</w:t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fr-FR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  <w:t>ման արդ</w:t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  <w:t>յուն</w:t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softHyphen/>
        <w:t xml:space="preserve">քում ՀՀ պետական բյուջեի եկամուտներում նվազեցում կամ </w:t>
      </w:r>
      <w:r w:rsidR="003157E2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ծախսերի </w:t>
      </w:r>
      <w:r w:rsidRPr="008C0EDD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ավելացում չի ակնկալվում։</w:t>
      </w:r>
    </w:p>
    <w:p w14:paraId="7CA03E57" w14:textId="77777777" w:rsidR="008C0EDD" w:rsidRPr="008C0EDD" w:rsidRDefault="008C0EDD" w:rsidP="005C4293">
      <w:pPr>
        <w:spacing w:after="0" w:line="360" w:lineRule="auto"/>
        <w:ind w:left="-270" w:right="-990" w:firstLine="63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</w:p>
    <w:p w14:paraId="39153AD0" w14:textId="33067857" w:rsidR="008C0EDD" w:rsidRPr="008C0EDD" w:rsidRDefault="00F4320B" w:rsidP="007B31C0">
      <w:pPr>
        <w:shd w:val="clear" w:color="auto" w:fill="FFFFFF"/>
        <w:spacing w:after="0" w:line="360" w:lineRule="auto"/>
        <w:ind w:left="-270" w:right="-990" w:firstLine="630"/>
        <w:jc w:val="both"/>
        <w:rPr>
          <w:rFonts w:ascii="GHEA Grapalat" w:eastAsia="Times New Roman" w:hAnsi="GHEA Grapalat" w:cs="GHEA Grapalat"/>
          <w:b/>
          <w:bCs/>
          <w:snapToGrid w:val="0"/>
          <w:kern w:val="0"/>
          <w:sz w:val="24"/>
          <w:szCs w:val="24"/>
          <w:lang w:val="hy-AM" w:eastAsia="ru-RU"/>
          <w14:ligatures w14:val="none"/>
        </w:rPr>
      </w:pPr>
      <w:r>
        <w:rPr>
          <w:rFonts w:ascii="GHEA Grapalat" w:eastAsia="Times New Roman" w:hAnsi="GHEA Grapalat" w:cs="GHEA Grapalat"/>
          <w:b/>
          <w:bCs/>
          <w:snapToGrid w:val="0"/>
          <w:kern w:val="0"/>
          <w:sz w:val="24"/>
          <w:szCs w:val="24"/>
          <w:lang w:val="hy-AM" w:eastAsia="ru-RU"/>
          <w14:ligatures w14:val="none"/>
        </w:rPr>
        <w:t>5</w:t>
      </w:r>
      <w:r w:rsidR="008C0EDD" w:rsidRPr="008C0EDD">
        <w:rPr>
          <w:rFonts w:ascii="GHEA Grapalat" w:eastAsia="Times New Roman" w:hAnsi="GHEA Grapalat" w:cs="GHEA Grapalat"/>
          <w:b/>
          <w:bCs/>
          <w:snapToGrid w:val="0"/>
          <w:kern w:val="0"/>
          <w:sz w:val="24"/>
          <w:szCs w:val="24"/>
          <w:lang w:val="hy-AM" w:eastAsia="ru-RU"/>
          <w14:ligatures w14:val="none"/>
        </w:rPr>
        <w:t>.</w:t>
      </w:r>
      <w:r w:rsidR="008C0EDD" w:rsidRPr="008C0EDD">
        <w:rPr>
          <w:rFonts w:ascii="GHEA Grapalat" w:eastAsia="Times New Roman" w:hAnsi="GHEA Grapalat" w:cs="GHEA Grapalat"/>
          <w:snapToGrid w:val="0"/>
          <w:kern w:val="0"/>
          <w:sz w:val="24"/>
          <w:szCs w:val="24"/>
          <w:lang w:val="hy-AM" w:eastAsia="ru-RU"/>
          <w14:ligatures w14:val="none"/>
        </w:rPr>
        <w:t xml:space="preserve"> </w:t>
      </w:r>
      <w:r w:rsidR="008C0EDD" w:rsidRPr="008C0EDD">
        <w:rPr>
          <w:rFonts w:ascii="GHEA Grapalat" w:eastAsia="Times New Roman" w:hAnsi="GHEA Grapalat" w:cs="GHEA Grapalat"/>
          <w:b/>
          <w:bCs/>
          <w:snapToGrid w:val="0"/>
          <w:kern w:val="0"/>
          <w:sz w:val="24"/>
          <w:szCs w:val="24"/>
          <w:lang w:val="hy-AM" w:eastAsia="ru-RU"/>
          <w14:ligatures w14:val="none"/>
        </w:rPr>
        <w:t>Կապը ռազմավարական փաստաթղթերի հետ. Հայաստանի վերափոխման ռազմավարություն 2050, Կառավարության 2021-2026 թվականների ծրագիր, ոլորտային և/կամ այլ ռազմավարություններ</w:t>
      </w:r>
      <w:r w:rsidR="008C0EDD" w:rsidRPr="008C0EDD">
        <w:rPr>
          <w:rFonts w:ascii="Cambria Math" w:eastAsia="Times New Roman" w:hAnsi="Cambria Math" w:cs="Cambria Math"/>
          <w:b/>
          <w:bCs/>
          <w:snapToGrid w:val="0"/>
          <w:kern w:val="0"/>
          <w:sz w:val="24"/>
          <w:szCs w:val="24"/>
          <w:lang w:val="hy-AM" w:eastAsia="ru-RU"/>
          <w14:ligatures w14:val="none"/>
        </w:rPr>
        <w:t>․</w:t>
      </w:r>
      <w:r w:rsidR="008C0EDD" w:rsidRPr="008C0EDD">
        <w:rPr>
          <w:rFonts w:ascii="GHEA Grapalat" w:eastAsia="Times New Roman" w:hAnsi="GHEA Grapalat" w:cs="GHEA Grapalat"/>
          <w:b/>
          <w:bCs/>
          <w:snapToGrid w:val="0"/>
          <w:kern w:val="0"/>
          <w:sz w:val="24"/>
          <w:szCs w:val="24"/>
          <w:lang w:val="hy-AM" w:eastAsia="ru-RU"/>
          <w14:ligatures w14:val="none"/>
        </w:rPr>
        <w:t xml:space="preserve"> </w:t>
      </w:r>
    </w:p>
    <w:p w14:paraId="60F81705" w14:textId="3E930275" w:rsidR="00D942CF" w:rsidRPr="00CC0270" w:rsidRDefault="00E915A1" w:rsidP="00CC0270">
      <w:pPr>
        <w:spacing w:after="0" w:line="360" w:lineRule="auto"/>
        <w:ind w:left="-270" w:right="-990" w:firstLine="630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E915A1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 xml:space="preserve">Նախագծի ընդունումը </w:t>
      </w:r>
      <w:r w:rsidR="00CC0270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 xml:space="preserve">չի </w:t>
      </w:r>
      <w:r w:rsidRPr="00E915A1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 xml:space="preserve">բխում </w:t>
      </w:r>
      <w:r w:rsidR="00CC0270" w:rsidRPr="00CC0270">
        <w:rPr>
          <w:rFonts w:ascii="GHEA Grapalat" w:eastAsia="Times New Roman" w:hAnsi="GHEA Grapalat" w:cs="GHEA Grapalat"/>
          <w:snapToGrid w:val="0"/>
          <w:kern w:val="0"/>
          <w:sz w:val="24"/>
          <w:szCs w:val="24"/>
          <w:lang w:val="hy-AM" w:eastAsia="ru-RU"/>
          <w14:ligatures w14:val="none"/>
        </w:rPr>
        <w:t>ռազմավարական փաստաթղթերի</w:t>
      </w:r>
      <w:r w:rsidR="00CC0270" w:rsidRPr="00CC0270">
        <w:rPr>
          <w:rFonts w:ascii="GHEA Grapalat" w:eastAsia="Times New Roman" w:hAnsi="GHEA Grapalat" w:cs="GHEA Grapalat"/>
          <w:snapToGrid w:val="0"/>
          <w:kern w:val="0"/>
          <w:sz w:val="24"/>
          <w:szCs w:val="24"/>
          <w:lang w:val="hy-AM" w:eastAsia="ru-RU"/>
          <w14:ligatures w14:val="none"/>
        </w:rPr>
        <w:t>ց։</w:t>
      </w:r>
      <w:r w:rsidRPr="00E915A1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 xml:space="preserve">  </w:t>
      </w:r>
    </w:p>
    <w:sectPr w:rsidR="00D942CF" w:rsidRPr="00CC0270" w:rsidSect="002222D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91444" w14:textId="77777777" w:rsidR="002222DE" w:rsidRDefault="002222DE" w:rsidP="001128A5">
      <w:pPr>
        <w:spacing w:after="0" w:line="240" w:lineRule="auto"/>
      </w:pPr>
      <w:r>
        <w:separator/>
      </w:r>
    </w:p>
  </w:endnote>
  <w:endnote w:type="continuationSeparator" w:id="0">
    <w:p w14:paraId="62E9258D" w14:textId="77777777" w:rsidR="002222DE" w:rsidRDefault="002222DE" w:rsidP="0011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5560F" w14:textId="77777777" w:rsidR="002222DE" w:rsidRDefault="002222DE" w:rsidP="001128A5">
      <w:pPr>
        <w:spacing w:after="0" w:line="240" w:lineRule="auto"/>
      </w:pPr>
      <w:r>
        <w:separator/>
      </w:r>
    </w:p>
  </w:footnote>
  <w:footnote w:type="continuationSeparator" w:id="0">
    <w:p w14:paraId="427AE622" w14:textId="77777777" w:rsidR="002222DE" w:rsidRDefault="002222DE" w:rsidP="001128A5">
      <w:pPr>
        <w:spacing w:after="0" w:line="240" w:lineRule="auto"/>
      </w:pPr>
      <w:r>
        <w:continuationSeparator/>
      </w:r>
    </w:p>
  </w:footnote>
  <w:footnote w:id="1">
    <w:p w14:paraId="41DC730A" w14:textId="77777777" w:rsidR="001128A5" w:rsidRDefault="001128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F7661E">
          <w:rPr>
            <w:rStyle w:val="Hyperlink"/>
          </w:rPr>
          <w:t>https://digital-strategy.ec.europa.eu/en/policies/web-accessibility</w:t>
        </w:r>
      </w:hyperlink>
    </w:p>
  </w:footnote>
  <w:footnote w:id="2">
    <w:p w14:paraId="41362172" w14:textId="77777777" w:rsidR="001128A5" w:rsidRDefault="001128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anchor=":~:text=The%20legislation,websites%20and%20mobile%20apps%20accessible" w:history="1">
        <w:r w:rsidRPr="00F7661E">
          <w:rPr>
            <w:rStyle w:val="Hyperlink"/>
          </w:rPr>
          <w:t>https://digital-strategy.ec.europa.eu/en/policies/web-accessibility-directive-standards-and-harmonisation#:~:text=The%20legislation,websites%20and%20mobile%20apps%20accessible</w:t>
        </w:r>
      </w:hyperlink>
      <w:r w:rsidRPr="001128A5">
        <w:t>.</w:t>
      </w:r>
    </w:p>
    <w:p w14:paraId="54ADF1F2" w14:textId="77777777" w:rsidR="001128A5" w:rsidRPr="001128A5" w:rsidRDefault="001128A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C150D"/>
    <w:multiLevelType w:val="hybridMultilevel"/>
    <w:tmpl w:val="5BF4350E"/>
    <w:lvl w:ilvl="0" w:tplc="BB925092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B17AD"/>
    <w:multiLevelType w:val="hybridMultilevel"/>
    <w:tmpl w:val="1A3AA7EE"/>
    <w:lvl w:ilvl="0" w:tplc="D6109F56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985340">
    <w:abstractNumId w:val="1"/>
  </w:num>
  <w:num w:numId="2" w16cid:durableId="157924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8E2"/>
    <w:rsid w:val="00057F5E"/>
    <w:rsid w:val="000A31CA"/>
    <w:rsid w:val="000A4C5A"/>
    <w:rsid w:val="000E3449"/>
    <w:rsid w:val="000E6EF0"/>
    <w:rsid w:val="001128A5"/>
    <w:rsid w:val="00130FCF"/>
    <w:rsid w:val="00143E78"/>
    <w:rsid w:val="00151449"/>
    <w:rsid w:val="0018754D"/>
    <w:rsid w:val="00196D60"/>
    <w:rsid w:val="002200D3"/>
    <w:rsid w:val="0022090C"/>
    <w:rsid w:val="002222DE"/>
    <w:rsid w:val="00222C19"/>
    <w:rsid w:val="002D3473"/>
    <w:rsid w:val="00306C0E"/>
    <w:rsid w:val="003157E2"/>
    <w:rsid w:val="003361A7"/>
    <w:rsid w:val="00345F52"/>
    <w:rsid w:val="00345FF7"/>
    <w:rsid w:val="00363374"/>
    <w:rsid w:val="003A74B5"/>
    <w:rsid w:val="003F771D"/>
    <w:rsid w:val="0045618B"/>
    <w:rsid w:val="004E5F1C"/>
    <w:rsid w:val="00513101"/>
    <w:rsid w:val="0052244E"/>
    <w:rsid w:val="00546595"/>
    <w:rsid w:val="005503CD"/>
    <w:rsid w:val="005B5A06"/>
    <w:rsid w:val="005C4293"/>
    <w:rsid w:val="00667193"/>
    <w:rsid w:val="007201F1"/>
    <w:rsid w:val="007B31C0"/>
    <w:rsid w:val="007E0C18"/>
    <w:rsid w:val="008B4E22"/>
    <w:rsid w:val="008C0EDD"/>
    <w:rsid w:val="008E7F04"/>
    <w:rsid w:val="00983D88"/>
    <w:rsid w:val="009C77FF"/>
    <w:rsid w:val="009D59E7"/>
    <w:rsid w:val="009E76E2"/>
    <w:rsid w:val="00A04560"/>
    <w:rsid w:val="00A70A33"/>
    <w:rsid w:val="00AA2C60"/>
    <w:rsid w:val="00AC27D9"/>
    <w:rsid w:val="00AF5DAD"/>
    <w:rsid w:val="00B012F8"/>
    <w:rsid w:val="00B210E7"/>
    <w:rsid w:val="00B81B26"/>
    <w:rsid w:val="00BE0CE2"/>
    <w:rsid w:val="00C32BF0"/>
    <w:rsid w:val="00C445EB"/>
    <w:rsid w:val="00C65FD8"/>
    <w:rsid w:val="00CC0270"/>
    <w:rsid w:val="00D35AE9"/>
    <w:rsid w:val="00D942CF"/>
    <w:rsid w:val="00E748E2"/>
    <w:rsid w:val="00E915A1"/>
    <w:rsid w:val="00EF6800"/>
    <w:rsid w:val="00F35CDE"/>
    <w:rsid w:val="00F4320B"/>
    <w:rsid w:val="00FD139A"/>
    <w:rsid w:val="00FE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95476"/>
  <w15:chartTrackingRefBased/>
  <w15:docId w15:val="{C013D2A3-2ABF-4A2C-B7F1-E8F7D78C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D3473"/>
    <w:rPr>
      <w:b/>
      <w:bCs/>
    </w:rPr>
  </w:style>
  <w:style w:type="paragraph" w:styleId="ListParagraph">
    <w:name w:val="List Paragraph"/>
    <w:basedOn w:val="Normal"/>
    <w:uiPriority w:val="34"/>
    <w:qFormat/>
    <w:rsid w:val="000A31C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128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28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28A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128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2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3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igital-strategy.ec.europa.eu/en/policies/web-accessibility-directive-standards-and-harmonisation" TargetMode="External"/><Relationship Id="rId1" Type="http://schemas.openxmlformats.org/officeDocument/2006/relationships/hyperlink" Target="https://digital-strategy.ec.europa.eu/en/policies/web-accessi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E0A9A-846A-427B-AB43-FEE7DBD4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A. Musheghyan</dc:creator>
  <cp:keywords/>
  <dc:description/>
  <cp:lastModifiedBy>Naira A. Musheghyan</cp:lastModifiedBy>
  <cp:revision>6</cp:revision>
  <dcterms:created xsi:type="dcterms:W3CDTF">2024-04-16T07:15:00Z</dcterms:created>
  <dcterms:modified xsi:type="dcterms:W3CDTF">2024-04-17T10:27:00Z</dcterms:modified>
</cp:coreProperties>
</file>