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3E3A6" w14:textId="77777777" w:rsidR="00D61C0E" w:rsidRPr="0005623F" w:rsidRDefault="00D61C0E" w:rsidP="00295C2C">
      <w:pPr>
        <w:spacing w:line="360" w:lineRule="auto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05623F">
        <w:rPr>
          <w:rFonts w:ascii="GHEA Grapalat" w:eastAsia="GHEA Grapalat" w:hAnsi="GHEA Grapalat" w:cs="GHEA Grapalat"/>
          <w:b/>
          <w:sz w:val="24"/>
          <w:szCs w:val="24"/>
        </w:rPr>
        <w:t>ՀԻՄՆԱՎՈՐՈՒՄ</w:t>
      </w:r>
    </w:p>
    <w:p w14:paraId="6B711BF0" w14:textId="1E355922" w:rsidR="00D61C0E" w:rsidRPr="0005623F" w:rsidRDefault="00D61C0E" w:rsidP="00295C2C">
      <w:pPr>
        <w:shd w:val="clear" w:color="auto" w:fill="FFFFFF"/>
        <w:spacing w:after="0" w:line="360" w:lineRule="auto"/>
        <w:ind w:right="150" w:firstLine="450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05623F">
        <w:rPr>
          <w:rFonts w:ascii="GHEA Grapalat" w:eastAsia="GHEA Grapalat" w:hAnsi="GHEA Grapalat" w:cs="GHEA Grapalat"/>
          <w:b/>
          <w:sz w:val="24"/>
          <w:szCs w:val="24"/>
        </w:rPr>
        <w:t>«</w:t>
      </w:r>
      <w:r w:rsidRPr="0005623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 ԿԱՌԱՎԱՐՈՒԹՅԱՆ 2017 ԹՎԱԿԱՆԻ ՄԱՅԻՍԻ 4-Ի N 526-Ն ՈՐՈՇՄԱՆ ՄԵՋ ԼՐԱՑՈՒՄՆԵՐ ԿԱՏԱՐԵԼՈՒ ՄԱՍԻՆ</w:t>
      </w:r>
      <w:r w:rsidRPr="0005623F"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  <w:r w:rsidRPr="0005623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ՀԱՅԱՍՏԱՆԻ ՀԱՆՐԱՊԵՏՈՒԹՅԱՆ ԿԱՌԱՎԱՐՈՒԹՅԱՆ </w:t>
      </w:r>
      <w:r w:rsidRPr="0005623F">
        <w:rPr>
          <w:rFonts w:ascii="GHEA Grapalat" w:eastAsia="GHEA Grapalat" w:hAnsi="GHEA Grapalat" w:cs="GHEA Grapalat"/>
          <w:b/>
          <w:sz w:val="24"/>
          <w:szCs w:val="24"/>
        </w:rPr>
        <w:t>ՈՐՈՇՄԱՆ ՆԱԽԱԳԾԻ ՎԵՐԱԲԵՐՅԱԼ</w:t>
      </w:r>
    </w:p>
    <w:p w14:paraId="6D49AEB6" w14:textId="77777777" w:rsidR="00D61C0E" w:rsidRPr="0005623F" w:rsidRDefault="00D61C0E" w:rsidP="00D61C0E">
      <w:pPr>
        <w:spacing w:line="276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79CE7343" w14:textId="1E13B479" w:rsidR="006E0E16" w:rsidRPr="004C2F7B" w:rsidRDefault="00D61C0E" w:rsidP="004C2F7B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4C2F7B">
        <w:rPr>
          <w:rFonts w:ascii="GHEA Grapalat" w:eastAsia="GHEA Grapalat" w:hAnsi="GHEA Grapalat" w:cs="GHEA Grapalat"/>
          <w:b/>
          <w:sz w:val="24"/>
          <w:szCs w:val="24"/>
        </w:rPr>
        <w:t>ԱՌԿԱ ԻՐԱՎԻՃԱԿԸ ԵՎ ԿԱՐԳԱՎՈՐՄԱՆ ԵՆԹԱԿԱ ԽՆԴԻՐՆԵՐԸ</w:t>
      </w:r>
    </w:p>
    <w:p w14:paraId="2C1E853E" w14:textId="0ECEAE4B" w:rsidR="00D61C0E" w:rsidRPr="0005623F" w:rsidRDefault="00D61C0E" w:rsidP="00700BE4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5623F">
        <w:rPr>
          <w:rFonts w:ascii="GHEA Grapalat" w:eastAsia="GHEA Grapalat" w:hAnsi="GHEA Grapalat" w:cs="GHEA Grapalat"/>
          <w:sz w:val="24"/>
          <w:szCs w:val="24"/>
        </w:rPr>
        <w:t>ՏՀԶԿ հանրային գնումների սկզբունքների համաձայն հանրային գնումներին հասանելիության ռիսկերը ներառում են ՓՄՁ սուբյեկտների առջև ծառացող ֆինանսական խոչընդոտները</w:t>
      </w:r>
      <w:r w:rsidRPr="0005623F">
        <w:rPr>
          <w:rFonts w:ascii="GHEA Grapalat" w:eastAsia="GHEA Grapalat" w:hAnsi="GHEA Grapalat" w:cs="GHEA Grapalat"/>
          <w:sz w:val="24"/>
          <w:szCs w:val="24"/>
          <w:vertAlign w:val="superscript"/>
        </w:rPr>
        <w:footnoteReference w:id="1"/>
      </w:r>
      <w:r w:rsidR="00DA5F3B" w:rsidRPr="0005623F">
        <w:rPr>
          <w:rFonts w:ascii="GHEA Grapalat" w:eastAsia="GHEA Grapalat" w:hAnsi="GHEA Grapalat" w:cs="GHEA Grapalat"/>
          <w:sz w:val="24"/>
          <w:szCs w:val="24"/>
        </w:rPr>
        <w:t>։</w:t>
      </w:r>
      <w:r w:rsidRPr="0005623F">
        <w:rPr>
          <w:rFonts w:ascii="GHEA Grapalat" w:eastAsia="GHEA Grapalat" w:hAnsi="GHEA Grapalat" w:cs="GHEA Grapalat"/>
          <w:sz w:val="24"/>
          <w:szCs w:val="24"/>
        </w:rPr>
        <w:t xml:space="preserve"> Որպես կանոն` ՓՄՁ սուբյեկտները չեն ունենում այնքան ազատ ֆինանսական միջոցներ կամ այլ կերպ այդ միջոցները ներգրավելու հնարավորություն, որ կարողանան մասնակցել առավել մեծ արժեքով գործարքների, որը թույլ կտար նրանց աճել:</w:t>
      </w:r>
    </w:p>
    <w:p w14:paraId="200A6076" w14:textId="2CAAC4EF" w:rsidR="00D61C0E" w:rsidRPr="0005623F" w:rsidRDefault="00D61C0E" w:rsidP="00700BE4">
      <w:pPr>
        <w:tabs>
          <w:tab w:val="left" w:pos="54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5623F">
        <w:rPr>
          <w:rFonts w:ascii="GHEA Grapalat" w:eastAsia="GHEA Grapalat" w:hAnsi="GHEA Grapalat" w:cs="GHEA Grapalat"/>
          <w:sz w:val="24"/>
          <w:szCs w:val="24"/>
        </w:rPr>
        <w:t>Նշված խնդրի լուծման նպատակով անհրաժեշտ է բարելավել ՓՄՁ-ների համար ֆինանսների հասանելիությունը: Որպես այդպիսի գործիք կարող է ծառայել ֆակտորինգը, որի կիրառությունը ներկայումս բավարար չէ:</w:t>
      </w:r>
    </w:p>
    <w:p w14:paraId="49236542" w14:textId="09D16CB7" w:rsidR="00D61C0E" w:rsidRPr="0005623F" w:rsidRDefault="00D61C0E" w:rsidP="00193686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5623F">
        <w:rPr>
          <w:rFonts w:ascii="GHEA Grapalat" w:eastAsia="GHEA Grapalat" w:hAnsi="GHEA Grapalat" w:cs="GHEA Grapalat"/>
          <w:sz w:val="24"/>
          <w:szCs w:val="24"/>
        </w:rPr>
        <w:t>Բանկերի և պետական գնումներին մասնակցող տ</w:t>
      </w:r>
      <w:r w:rsidR="003C1E3A" w:rsidRPr="0005623F">
        <w:rPr>
          <w:rFonts w:ascii="GHEA Grapalat" w:eastAsia="GHEA Grapalat" w:hAnsi="GHEA Grapalat" w:cs="GHEA Grapalat"/>
          <w:sz w:val="24"/>
          <w:szCs w:val="24"/>
        </w:rPr>
        <w:t>ն</w:t>
      </w:r>
      <w:r w:rsidRPr="0005623F">
        <w:rPr>
          <w:rFonts w:ascii="GHEA Grapalat" w:eastAsia="GHEA Grapalat" w:hAnsi="GHEA Grapalat" w:cs="GHEA Grapalat"/>
          <w:sz w:val="24"/>
          <w:szCs w:val="24"/>
        </w:rPr>
        <w:t>տեսավարողների  ներկայացուցիչների հետ քննարկումները ցույց են տալիս, որ առկա են որոշ խոչընդոտներ, որոնց լուծումն էապես կարող է մեծացնել ֆակտորինգի կիրառության ծավալները:</w:t>
      </w:r>
    </w:p>
    <w:p w14:paraId="6DF07F5F" w14:textId="070AEC80" w:rsidR="00D61C0E" w:rsidRPr="0005623F" w:rsidRDefault="00D61C0E" w:rsidP="00700BE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5623F">
        <w:rPr>
          <w:rFonts w:ascii="GHEA Grapalat" w:eastAsia="GHEA Grapalat" w:hAnsi="GHEA Grapalat" w:cs="GHEA Grapalat"/>
          <w:sz w:val="24"/>
          <w:szCs w:val="24"/>
        </w:rPr>
        <w:t xml:space="preserve">Ֆակտորինգի կիրառության կարևորությունն ընդգծվել է նաև 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>ԱՄՆ ՄԶԳ «Հայաստանի գործարար միջավայրի բարելավում» ծրագրի կողմից մշակված «ՓՄՁ</w:t>
      </w:r>
      <w:r w:rsidRPr="0005623F">
        <w:rPr>
          <w:rFonts w:ascii="GHEA Grapalat" w:eastAsia="GHEA Grapalat" w:hAnsi="GHEA Grapalat" w:cs="GHEA Grapalat"/>
          <w:sz w:val="24"/>
          <w:szCs w:val="24"/>
        </w:rPr>
        <w:t>-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ների ներգրավվածությունը հանրային գնումներին. առկա իրավիճակը և խոչընդոտները» վերջնական հաշվետվությամբ` առաջարկելով «առևտրային 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բանկերի հետ բանակցությունների արդյունքում ներդնել ֆակտորինգ հանրային գնումների պայմանագրերի համար»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vertAlign w:val="superscript"/>
        </w:rPr>
        <w:footnoteReference w:id="2"/>
      </w:r>
      <w:r w:rsidR="006E0E16"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3E535D04" w14:textId="6153DC48" w:rsidR="00D61C0E" w:rsidRPr="0005623F" w:rsidRDefault="00D61C0E" w:rsidP="00700BE4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Հարկ է նշել, որ գնման պայմանագրից ծագող դրամական պահանջի զիջման դիմաց ֆինանսավորման (ֆակտորինգի) պայմանագրի կնքման հնարավորությունը նախատեսված է մի շարք պետությունների օրենսդրությամբ, մասնավորապես ԱՄՆ դաշնային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vertAlign w:val="superscript"/>
        </w:rPr>
        <w:footnoteReference w:id="3"/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 Ֆրանսիայի Հանրապետության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vertAlign w:val="superscript"/>
        </w:rPr>
        <w:footnoteReference w:id="4"/>
      </w:r>
      <w:r w:rsidR="006E0E16"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ՌԴ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vertAlign w:val="superscript"/>
        </w:rPr>
        <w:footnoteReference w:id="5"/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 Ղազախստանի</w:t>
      </w:r>
      <w:r w:rsidR="00BD202B"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Հանրապետության</w:t>
      </w:r>
      <w:r w:rsidR="00BD202B"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vertAlign w:val="superscript"/>
        </w:rPr>
        <w:t xml:space="preserve"> </w:t>
      </w:r>
      <w:r w:rsidR="003C1ABB"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օրենսդրությամբ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  <w:vertAlign w:val="superscript"/>
        </w:rPr>
        <w:footnoteReference w:id="6"/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:</w:t>
      </w:r>
    </w:p>
    <w:p w14:paraId="1F2445E3" w14:textId="50DCE211" w:rsidR="00D61C0E" w:rsidRPr="0005623F" w:rsidRDefault="00D61C0E" w:rsidP="00700BE4">
      <w:pPr>
        <w:tabs>
          <w:tab w:val="left" w:pos="540"/>
        </w:tabs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«Գնումների մասին» ՀՀ օրենքի 4-րդ հոդվածի համաձայն </w:t>
      </w:r>
      <w:r w:rsidR="009A7721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գ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նումների մասին Հայաստանի Հանրապետության օրենսդրությունը ներառում է Հայաստանի Հանրապետության քաղաքացիական օրենսգիրքը: Որպես քաղաքացիաիրավական պայմանագրի տարատեսակ հանդիսացող գնման պայմանագրի հիման վրա պահանջի իրավունք ունեցող անձ</w:t>
      </w:r>
      <w:r w:rsidR="00E200D1"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՝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գնման պայմանագրի կողմ ընտրված մասնակիցն իրավունք ունի ՀՀ քաղաքացիական օրենսգրքի 48-րդ գլխով սահմանված դեպքերում և կարգով կնքել գնման պայմանագրից ծագող դրամական պահանջի զիջման դիմաց ֆինանսավորման (ֆակտորինգի) պայմանագիր:</w:t>
      </w:r>
    </w:p>
    <w:p w14:paraId="4D99CA5D" w14:textId="4CDB8D04" w:rsidR="00D61C0E" w:rsidRPr="0005623F" w:rsidRDefault="00D61C0E" w:rsidP="00700BE4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Այնուամենայնիվ</w:t>
      </w:r>
      <w:r w:rsidR="006E0E16"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,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 մատակարարների և ՀՀ ֆինանսական կազմակերպությունների հետ քննարկումները ցույց տվեցին, որ առկա են մի շարք տեխնիկական խնդիրներ, որոնք թույլ չեն տալիս լիակատար գործածել այս գործիքի հնարավորությունները:</w:t>
      </w:r>
    </w:p>
    <w:p w14:paraId="1FF534C5" w14:textId="77777777" w:rsidR="00D61C0E" w:rsidRPr="0005623F" w:rsidRDefault="00D61C0E" w:rsidP="00700BE4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lastRenderedPageBreak/>
        <w:t>Մասնավորապես խոսքը գնում է Հայաստանի Հանրապետության քաղաքացիական օրենսգրքի 898-րդ հոդվածով սահմանված ծանուցումը ներկայացնելու ժամկետի և հասցեատիրոջ մասին, ինչպես նաև նման ծանուցման հիման վրա վճարումն անմիջապես ֆինանսական գործակալին կատարելու համար անհրաժեշտ կարգավորումների մասին:</w:t>
      </w:r>
    </w:p>
    <w:p w14:paraId="1CF61B06" w14:textId="343D7BB0" w:rsidR="00D61C0E" w:rsidRPr="0005623F" w:rsidRDefault="00D61C0E" w:rsidP="00700BE4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</w:pP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Բացի այդ ֆինանսական կազմակերպությունների կողմից տեղեկատվության ստացման կառուցակարգերի բացակայությունը դժվարեցնում է նրանց կողմից վարկային ռիսկի ճիշտ գնահատումը և ևս մեկ խոչ</w:t>
      </w:r>
      <w:r w:rsidR="00E200D1"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ը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նդոտ է հանդիսանում ֆակտորինգի կիրառման համար:</w:t>
      </w:r>
    </w:p>
    <w:p w14:paraId="28776429" w14:textId="77777777" w:rsidR="00D61C0E" w:rsidRPr="0005623F" w:rsidRDefault="00D61C0E" w:rsidP="00700BE4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74A4E77" w14:textId="13ADDBD0" w:rsidR="00D61C0E" w:rsidRPr="000436CD" w:rsidRDefault="00D61C0E" w:rsidP="004C2F7B">
      <w:pPr>
        <w:pStyle w:val="ListParagraph"/>
        <w:numPr>
          <w:ilvl w:val="0"/>
          <w:numId w:val="13"/>
        </w:numPr>
        <w:spacing w:after="0" w:line="360" w:lineRule="auto"/>
        <w:ind w:hanging="436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436CD">
        <w:rPr>
          <w:rFonts w:ascii="GHEA Grapalat" w:eastAsia="GHEA Grapalat" w:hAnsi="GHEA Grapalat" w:cs="GHEA Grapalat"/>
          <w:b/>
          <w:sz w:val="24"/>
          <w:szCs w:val="24"/>
        </w:rPr>
        <w:t>ԿԱՐԳԱՎՈՐՄԱՆ ՆՊԱՏԱԿՆԵՐԸ</w:t>
      </w:r>
    </w:p>
    <w:p w14:paraId="48B0EF57" w14:textId="74D731E7" w:rsidR="00D61C0E" w:rsidRPr="0005623F" w:rsidRDefault="00D61C0E" w:rsidP="00700BE4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bookmarkStart w:id="2" w:name="_heading=h.30j0zll" w:colFirst="0" w:colLast="0"/>
      <w:bookmarkEnd w:id="2"/>
      <w:r w:rsidRPr="0005623F">
        <w:rPr>
          <w:rFonts w:ascii="GHEA Grapalat" w:eastAsia="GHEA Grapalat" w:hAnsi="GHEA Grapalat" w:cs="GHEA Grapalat"/>
          <w:sz w:val="24"/>
          <w:szCs w:val="24"/>
        </w:rPr>
        <w:t>Ելնելով վերոգրյալից` նախագծ</w:t>
      </w:r>
      <w:r w:rsidR="000436CD">
        <w:rPr>
          <w:rFonts w:ascii="GHEA Grapalat" w:eastAsia="GHEA Grapalat" w:hAnsi="GHEA Grapalat" w:cs="GHEA Grapalat"/>
          <w:sz w:val="24"/>
          <w:szCs w:val="24"/>
        </w:rPr>
        <w:t xml:space="preserve">ի </w:t>
      </w:r>
      <w:r w:rsidRPr="0005623F">
        <w:rPr>
          <w:rFonts w:ascii="GHEA Grapalat" w:eastAsia="GHEA Grapalat" w:hAnsi="GHEA Grapalat" w:cs="GHEA Grapalat"/>
          <w:sz w:val="24"/>
          <w:szCs w:val="24"/>
        </w:rPr>
        <w:t xml:space="preserve">նպատակն է ստեղծել պայմաններ 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ՀՀ գնման պայմանագրից ծագող դրամական պահանջի զիջման դիմաց ֆինանսավորման (ֆակտորինգի) պայմանագրերի միջոցով գնումների մասնակիցների համար առավել նպաստավոր պայմաններով ֆինանսավորման հնարավորություններ ստեղծելու համար</w:t>
      </w:r>
      <w:r w:rsidRPr="0005623F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5BBD8F7" w14:textId="77777777" w:rsidR="006E0E16" w:rsidRPr="0005623F" w:rsidRDefault="006E0E16" w:rsidP="00700BE4">
      <w:pPr>
        <w:spacing w:after="0" w:line="360" w:lineRule="auto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46DABAB7" w14:textId="5C476A44" w:rsidR="00D61C0E" w:rsidRPr="000436CD" w:rsidRDefault="00D61C0E" w:rsidP="000436CD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0436CD">
        <w:rPr>
          <w:rFonts w:ascii="GHEA Grapalat" w:eastAsia="GHEA Grapalat" w:hAnsi="GHEA Grapalat" w:cs="GHEA Grapalat"/>
          <w:b/>
          <w:sz w:val="24"/>
          <w:szCs w:val="24"/>
        </w:rPr>
        <w:t>ԱՌԱՋԱՐԿՎՈՂ ԿԱՐԳԱՎՈՐՈՒՄՆԵՐԸ</w:t>
      </w:r>
    </w:p>
    <w:p w14:paraId="5039DDB7" w14:textId="77777777" w:rsidR="00D61C0E" w:rsidRPr="0005623F" w:rsidRDefault="00D61C0E" w:rsidP="00700BE4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5623F">
        <w:rPr>
          <w:rFonts w:ascii="GHEA Grapalat" w:eastAsia="GHEA Grapalat" w:hAnsi="GHEA Grapalat" w:cs="GHEA Grapalat"/>
          <w:sz w:val="24"/>
          <w:szCs w:val="24"/>
        </w:rPr>
        <w:t>Նախագծով առաջարկվում է լրացումներ կատարել Հայաստանի Հանրապետության կառավարության 2017 թվականի մայիսի 4-ի «Գնումների գործընթացի կազմակերպման կարգը հաստատելու և Հայաստանի Հանրապետության կառավարության 2011 թվականի փետրվարի 10-ի N 168-Ն որոշումն ուժը կորցրած ճանաչելու մասին» N 526-Ն որոշման 1-ին կետի 1-ին ենթակետով հաստատված կարգում, սահմանելով, որ.</w:t>
      </w:r>
    </w:p>
    <w:p w14:paraId="56FB8A26" w14:textId="77777777" w:rsidR="00D61C0E" w:rsidRPr="0005623F" w:rsidRDefault="00D61C0E" w:rsidP="000436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49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Ընտրված մասնակիցն իրավունք ունի գնման պայմանագրի կնքումից հետո Հայաստանի Հանրապետության քաղաքացիական օրենսգրքի 48-րդ գլխով սահմանված դեպքերում և կարգով կնքել գնման պայմանագրից ծագող </w:t>
      </w:r>
      <w:r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դրամական պահանջի զիջման դիմաց ֆինանսավորման (ֆակտորինգի) պայմանագիր,</w:t>
      </w:r>
    </w:p>
    <w:p w14:paraId="0AEFB763" w14:textId="364276C0" w:rsidR="00D61C0E" w:rsidRPr="0005623F" w:rsidRDefault="00D61C0E" w:rsidP="000436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49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>Նման պայմանագրի կնքման դեպքում ֆինանսական գործակալը պարտավոր է պատվիրատուին և Հայաստանի Հանրապետության ֆինանսների նախարարությանը գրավոր ծանուցել` Հայաստանի Հանրապետության քաղաքացիական օրենսգրքի 898-րդ հոդվածով սահմանված կարգով,</w:t>
      </w:r>
    </w:p>
    <w:p w14:paraId="26137A36" w14:textId="77777777" w:rsidR="00D61C0E" w:rsidRPr="0005623F" w:rsidRDefault="00D61C0E" w:rsidP="000436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49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>Ֆինանսական գործակալն իրավունք ունի պատվիրատուից կամ Հայաստանի Հանրապետության ֆինանսների նախարարությունից պահանջել և ստանալ Ֆակտորինգի պայմանագրի առարկա հանդիսացող պահանջի համար հիմք հանդիսացած գնման պայմանագրի, ներառյալ դրա կատարման վերաբերյալ տեղեկատվություն, բացառությամբ Հայաստանի Հանրապետության օրենսդրությամբ սահմանված դեպքերի,</w:t>
      </w:r>
    </w:p>
    <w:p w14:paraId="5444422E" w14:textId="77777777" w:rsidR="00D61C0E" w:rsidRPr="0005623F" w:rsidRDefault="00D61C0E" w:rsidP="000436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 w:firstLine="491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>Ֆակտորինգի պայմանագրի կնքման մասին ծանուցում ստացած լինելու դեպքում լիազորված մարմինը վճարումը կատարում է ֆինանսական գործակալին:</w:t>
      </w:r>
    </w:p>
    <w:p w14:paraId="59ABD35F" w14:textId="77777777" w:rsidR="00D61C0E" w:rsidRPr="0005623F" w:rsidRDefault="00D61C0E" w:rsidP="00700BE4">
      <w:pPr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</w:p>
    <w:p w14:paraId="2FD8DC99" w14:textId="45073F96" w:rsidR="00D61C0E" w:rsidRPr="000436CD" w:rsidRDefault="00D61C0E" w:rsidP="000436CD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436CD">
        <w:rPr>
          <w:rFonts w:ascii="GHEA Grapalat" w:eastAsia="GHEA Grapalat" w:hAnsi="GHEA Grapalat" w:cs="GHEA Grapalat"/>
          <w:b/>
          <w:sz w:val="24"/>
          <w:szCs w:val="24"/>
        </w:rPr>
        <w:t>ԱԿՆԿԱԼՎՈՂ ԱՐԴՅՈՒՆՔՆԵՐԸ</w:t>
      </w:r>
    </w:p>
    <w:p w14:paraId="2D93A171" w14:textId="10CE3F68" w:rsidR="00D61C0E" w:rsidRPr="0005623F" w:rsidRDefault="00D61C0E" w:rsidP="00700BE4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5623F">
        <w:rPr>
          <w:rFonts w:ascii="GHEA Grapalat" w:eastAsia="GHEA Grapalat" w:hAnsi="GHEA Grapalat" w:cs="GHEA Grapalat"/>
          <w:sz w:val="24"/>
          <w:szCs w:val="24"/>
        </w:rPr>
        <w:t>Ակնկալվում է, որ նախագծի ընդունմամբ կստեղծվեն պայմաններ գնման պայմանագրից ծագող դրամական պահանջի զիջման դիմաց ֆինանսավորման (ֆակտորինգի) պայմանագրերի միջոցով գնումների մասնակիցների համար առավել նպաստավոր պայմաններով ֆինանսավորման հնարավորություններ ստեղծելու համար:</w:t>
      </w:r>
    </w:p>
    <w:p w14:paraId="41D3E2E9" w14:textId="77777777" w:rsidR="00D61C0E" w:rsidRPr="0005623F" w:rsidRDefault="00D61C0E" w:rsidP="00700BE4">
      <w:pPr>
        <w:spacing w:after="0" w:line="360" w:lineRule="auto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4FD0554F" w14:textId="70806C8E" w:rsidR="00D61C0E" w:rsidRPr="0005623F" w:rsidRDefault="00D61C0E" w:rsidP="00700BE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05623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ԿԱՊԸ ՌԱԶՄԱՎԱՐԱԿԱՆ ՓԱՍՏԱԹՂԹԵՐԻ ՀԵՏ</w:t>
      </w:r>
    </w:p>
    <w:p w14:paraId="0665A686" w14:textId="2C29E525" w:rsidR="00D61C0E" w:rsidRPr="0005623F" w:rsidRDefault="00D61C0E" w:rsidP="00700BE4">
      <w:pPr>
        <w:spacing w:after="0" w:line="360" w:lineRule="auto"/>
        <w:ind w:firstLine="540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5623F">
        <w:rPr>
          <w:rFonts w:ascii="GHEA Grapalat" w:eastAsia="GHEA Grapalat" w:hAnsi="GHEA Grapalat" w:cs="GHEA Grapalat"/>
          <w:sz w:val="24"/>
          <w:szCs w:val="24"/>
        </w:rPr>
        <w:t xml:space="preserve">Նախագծի ընդունումը ապահովում է «Փոքր և միջին ձեռնարկատիրության զարգացման 2020-2024 թվականների ռազմավարությունը և դրանից բխող 2020-2022 թվականների գործողությունների ծրագիրը հաստատելու մասին» Հայաստանի Հանրապետության կառավարության 2020 թվականի օգոստոսի 27–ի №1443-Լ </w:t>
      </w:r>
      <w:r w:rsidRPr="0005623F">
        <w:rPr>
          <w:rFonts w:ascii="GHEA Grapalat" w:eastAsia="GHEA Grapalat" w:hAnsi="GHEA Grapalat" w:cs="GHEA Grapalat"/>
          <w:sz w:val="24"/>
          <w:szCs w:val="24"/>
        </w:rPr>
        <w:lastRenderedPageBreak/>
        <w:t>որոշման Հավելված №2–ի 3.6 կետի (</w:t>
      </w:r>
      <w:r w:rsidR="009F7E41" w:rsidRPr="0005623F">
        <w:rPr>
          <w:rFonts w:ascii="GHEA Grapalat" w:eastAsia="GHEA Grapalat" w:hAnsi="GHEA Grapalat" w:cs="GHEA Grapalat"/>
          <w:sz w:val="24"/>
          <w:szCs w:val="24"/>
        </w:rPr>
        <w:t>խ</w:t>
      </w:r>
      <w:r w:rsidRPr="0005623F">
        <w:rPr>
          <w:rFonts w:ascii="GHEA Grapalat" w:eastAsia="GHEA Grapalat" w:hAnsi="GHEA Grapalat" w:cs="GHEA Grapalat"/>
          <w:sz w:val="24"/>
          <w:szCs w:val="24"/>
        </w:rPr>
        <w:t>թանել ՓՄՁ-ների մասնակցությունը պետական գնումներին) և 1.2.1</w:t>
      </w:r>
      <w:r w:rsidRPr="0005623F">
        <w:rPr>
          <w:rFonts w:ascii="GHEA Grapalat" w:eastAsia="GHEA Grapalat" w:hAnsi="GHEA Grapalat" w:cs="GHEA Grapalat"/>
          <w:sz w:val="24"/>
          <w:szCs w:val="24"/>
        </w:rPr>
        <w:tab/>
        <w:t>կետի (</w:t>
      </w:r>
      <w:r w:rsidR="009F7E41" w:rsidRPr="0005623F">
        <w:rPr>
          <w:rFonts w:ascii="GHEA Grapalat" w:eastAsia="GHEA Grapalat" w:hAnsi="GHEA Grapalat" w:cs="GHEA Grapalat"/>
          <w:sz w:val="24"/>
          <w:szCs w:val="24"/>
        </w:rPr>
        <w:t>ա</w:t>
      </w:r>
      <w:r w:rsidRPr="0005623F">
        <w:rPr>
          <w:rFonts w:ascii="GHEA Grapalat" w:eastAsia="GHEA Grapalat" w:hAnsi="GHEA Grapalat" w:cs="GHEA Grapalat"/>
          <w:sz w:val="24"/>
          <w:szCs w:val="24"/>
        </w:rPr>
        <w:t>կտիվների հիմքով ֆինանսավորման (ֆակտորինգ, առևտրի ֆինանսավորում) կիրառության համար նպաստավոր միջավայրի (այդ թվում օրենսդրական) խոչընդոտների դուրս բերում) դրույթների կատարումը։</w:t>
      </w:r>
    </w:p>
    <w:p w14:paraId="04B20899" w14:textId="77777777" w:rsidR="00D61C0E" w:rsidRPr="0005623F" w:rsidRDefault="00D61C0E" w:rsidP="006E0E16">
      <w:pPr>
        <w:tabs>
          <w:tab w:val="left" w:pos="1650"/>
        </w:tabs>
        <w:spacing w:after="0" w:line="360" w:lineRule="auto"/>
        <w:rPr>
          <w:rFonts w:ascii="GHEA Grapalat" w:eastAsia="GHEA Grapalat" w:hAnsi="GHEA Grapalat" w:cs="GHEA Grapalat"/>
          <w:sz w:val="24"/>
          <w:szCs w:val="24"/>
        </w:rPr>
      </w:pPr>
      <w:r w:rsidRPr="0005623F">
        <w:rPr>
          <w:rFonts w:ascii="GHEA Grapalat" w:eastAsia="GHEA Grapalat" w:hAnsi="GHEA Grapalat" w:cs="GHEA Grapalat"/>
          <w:sz w:val="24"/>
          <w:szCs w:val="24"/>
        </w:rPr>
        <w:tab/>
      </w:r>
    </w:p>
    <w:p w14:paraId="3D00859D" w14:textId="6D600C8D" w:rsidR="00D61C0E" w:rsidRPr="0005623F" w:rsidRDefault="00D61C0E" w:rsidP="006E0E1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05623F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ՆԱԽԱԳԻԾԸ ՄՇԱԿՈՂ ՄԱՐՄԻՆՆԵՐ</w:t>
      </w:r>
      <w:r w:rsidR="000436C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14:paraId="58129C12" w14:textId="2FB96DB3" w:rsidR="00D61C0E" w:rsidRDefault="000436CD" w:rsidP="000436C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Նախագիծը մշակվել է ՀՀ Էկոնոմիկայի նախարարության, </w:t>
      </w:r>
      <w:r w:rsidR="00D61C0E"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>Վերակառուցմա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="00D61C0E"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Զարգացման Եվրոպական Բանկի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և </w:t>
      </w:r>
      <w:r w:rsidR="00D61C0E" w:rsidRPr="0005623F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Ներդրումային Խորհրդի կողմից:</w:t>
      </w:r>
    </w:p>
    <w:p w14:paraId="72385B85" w14:textId="77777777" w:rsidR="000436CD" w:rsidRDefault="000436CD" w:rsidP="0026064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43E5C136" w14:textId="40E16A66" w:rsidR="00E56D17" w:rsidRPr="000436CD" w:rsidRDefault="00E56D17" w:rsidP="000436CD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360"/>
        <w:jc w:val="both"/>
        <w:rPr>
          <w:rFonts w:ascii="GHEA Grapalat" w:eastAsia="GHEA Grapalat" w:hAnsi="GHEA Grapalat" w:cs="Cambria Math"/>
          <w:b/>
          <w:bCs/>
          <w:color w:val="000000"/>
          <w:sz w:val="24"/>
          <w:szCs w:val="24"/>
        </w:rPr>
      </w:pPr>
      <w:r w:rsidRPr="000436C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0436CD">
        <w:rPr>
          <w:rFonts w:ascii="GHEA Grapalat" w:eastAsia="GHEA Grapalat" w:hAnsi="GHEA Grapalat" w:cs="GHEA Grapalat"/>
          <w:b/>
          <w:bCs/>
          <w:color w:val="000000"/>
          <w:sz w:val="24"/>
          <w:szCs w:val="24"/>
        </w:rPr>
        <w:t>ԼՐԱՑՈՒՑԻՉ ՖԻՆԱՆՍԱԿԱՆ ՄԻՋՈՑՆԵՐԻ ԱՆՀՐԱԺԵՇՏՈՒԹՅՈՒՆԸ և ՊԵՏԱԿԱՆ ԲՅՈՒՋԵԻ ԵԿԱՄՈՒՏՆԵՐՈՒՄ և ԾԱԽՍԵՐՈՒՄ ՍՊԱՍՎԵԼԻՔ ՓՈՓՈԽՈՒԹՅՈՒՆՆԵՐԸ</w:t>
      </w:r>
    </w:p>
    <w:p w14:paraId="4CBCE193" w14:textId="3EC3363D" w:rsidR="00E56D17" w:rsidRPr="00E56D17" w:rsidRDefault="00E56D17" w:rsidP="004C2F7B">
      <w:pPr>
        <w:spacing w:line="360" w:lineRule="auto"/>
        <w:ind w:firstLine="54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E56D17">
        <w:rPr>
          <w:rFonts w:ascii="GHEA Grapalat" w:hAnsi="GHEA Grapalat"/>
          <w:bCs/>
          <w:sz w:val="24"/>
          <w:szCs w:val="24"/>
        </w:rPr>
        <w:t xml:space="preserve">Նախագծի ընդունումը ՀՀ պետական և տեղական ինքնակառավարման մարմինների բյուջեներում </w:t>
      </w:r>
      <w:r w:rsidR="004C2F7B" w:rsidRPr="00E56D17">
        <w:rPr>
          <w:rFonts w:ascii="GHEA Grapalat" w:hAnsi="GHEA Grapalat"/>
          <w:bCs/>
          <w:sz w:val="24"/>
          <w:szCs w:val="24"/>
        </w:rPr>
        <w:t xml:space="preserve">լրացուցիչ </w:t>
      </w:r>
      <w:r w:rsidRPr="00E56D17">
        <w:rPr>
          <w:rFonts w:ascii="GHEA Grapalat" w:hAnsi="GHEA Grapalat"/>
          <w:bCs/>
          <w:sz w:val="24"/>
          <w:szCs w:val="24"/>
        </w:rPr>
        <w:t xml:space="preserve">ֆինանսական միջոցների վերաբաշխման անհրաժեշտություն չի առաջացնում։ </w:t>
      </w:r>
    </w:p>
    <w:sectPr w:rsidR="00E56D17" w:rsidRPr="00E56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19F51" w14:textId="77777777" w:rsidR="00E864A6" w:rsidRDefault="00E864A6" w:rsidP="00D61C0E">
      <w:pPr>
        <w:spacing w:after="0" w:line="240" w:lineRule="auto"/>
      </w:pPr>
      <w:r>
        <w:separator/>
      </w:r>
    </w:p>
  </w:endnote>
  <w:endnote w:type="continuationSeparator" w:id="0">
    <w:p w14:paraId="4EF7D923" w14:textId="77777777" w:rsidR="00E864A6" w:rsidRDefault="00E864A6" w:rsidP="00D6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17DFD" w14:textId="77777777" w:rsidR="00E864A6" w:rsidRDefault="00E864A6" w:rsidP="00D61C0E">
      <w:pPr>
        <w:spacing w:after="0" w:line="240" w:lineRule="auto"/>
      </w:pPr>
      <w:r>
        <w:separator/>
      </w:r>
    </w:p>
  </w:footnote>
  <w:footnote w:type="continuationSeparator" w:id="0">
    <w:p w14:paraId="01CAA3EC" w14:textId="77777777" w:rsidR="00E864A6" w:rsidRDefault="00E864A6" w:rsidP="00D61C0E">
      <w:pPr>
        <w:spacing w:after="0" w:line="240" w:lineRule="auto"/>
      </w:pPr>
      <w:r>
        <w:continuationSeparator/>
      </w:r>
    </w:p>
  </w:footnote>
  <w:footnote w:id="1">
    <w:p w14:paraId="056289F9" w14:textId="77777777" w:rsidR="00D61C0E" w:rsidRPr="0005623F" w:rsidRDefault="00D61C0E" w:rsidP="00D61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  <w:r w:rsidRPr="0005623F">
        <w:rPr>
          <w:rStyle w:val="FootnoteReference"/>
          <w:rFonts w:ascii="GHEA Grapalat" w:hAnsi="GHEA Grapalat"/>
        </w:rPr>
        <w:footnoteRef/>
      </w:r>
      <w:r w:rsidRPr="0005623F">
        <w:rPr>
          <w:rFonts w:ascii="GHEA Grapalat" w:hAnsi="GHEA Grapalat"/>
          <w:color w:val="000000"/>
          <w:sz w:val="20"/>
          <w:szCs w:val="20"/>
        </w:rPr>
        <w:t xml:space="preserve"> </w:t>
      </w:r>
      <w:hyperlink r:id="rId1">
        <w:r w:rsidRPr="0005623F">
          <w:rPr>
            <w:rFonts w:ascii="GHEA Grapalat" w:hAnsi="GHEA Grapalat"/>
            <w:color w:val="0000FF"/>
            <w:sz w:val="20"/>
            <w:szCs w:val="20"/>
            <w:u w:val="single"/>
          </w:rPr>
          <w:t>https://www.oecd.org/south-east-europe/programme/OECD-Public-Procurement-Policy-Briefing-Note.pdf</w:t>
        </w:r>
      </w:hyperlink>
      <w:r w:rsidRPr="0005623F">
        <w:rPr>
          <w:rFonts w:ascii="GHEA Grapalat" w:hAnsi="GHEA Grapalat"/>
          <w:color w:val="000000"/>
          <w:sz w:val="20"/>
          <w:szCs w:val="20"/>
        </w:rPr>
        <w:t xml:space="preserve"> </w:t>
      </w:r>
    </w:p>
  </w:footnote>
  <w:footnote w:id="2">
    <w:p w14:paraId="1B4D139C" w14:textId="7AA8538D" w:rsidR="00D61C0E" w:rsidRPr="0005623F" w:rsidRDefault="00D61C0E" w:rsidP="00D61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  <w:r w:rsidRPr="0005623F">
        <w:rPr>
          <w:rStyle w:val="FootnoteReference"/>
          <w:rFonts w:ascii="GHEA Grapalat" w:hAnsi="GHEA Grapalat"/>
        </w:rPr>
        <w:footnoteRef/>
      </w:r>
      <w:r w:rsidRPr="0005623F">
        <w:rPr>
          <w:rFonts w:ascii="GHEA Grapalat" w:hAnsi="GHEA Grapalat"/>
          <w:color w:val="000000"/>
          <w:sz w:val="20"/>
          <w:szCs w:val="20"/>
        </w:rPr>
        <w:t xml:space="preserve"> </w:t>
      </w:r>
      <w:bookmarkStart w:id="0" w:name="_Hlk136429612"/>
      <w:r w:rsidRPr="0005623F">
        <w:rPr>
          <w:rFonts w:ascii="GHEA Grapalat" w:hAnsi="GHEA Grapalat"/>
          <w:color w:val="000000"/>
          <w:sz w:val="20"/>
          <w:szCs w:val="20"/>
        </w:rPr>
        <w:t>Տե</w:t>
      </w:r>
      <w:r w:rsidR="000F4927" w:rsidRPr="0005623F">
        <w:rPr>
          <w:rFonts w:ascii="Courier New" w:hAnsi="Courier New" w:cs="Courier New"/>
          <w:color w:val="000000"/>
          <w:sz w:val="20"/>
          <w:szCs w:val="20"/>
        </w:rPr>
        <w:t>́</w:t>
      </w:r>
      <w:r w:rsidRPr="0005623F">
        <w:rPr>
          <w:rFonts w:ascii="GHEA Grapalat" w:hAnsi="GHEA Grapalat"/>
          <w:color w:val="000000"/>
          <w:sz w:val="20"/>
          <w:szCs w:val="20"/>
        </w:rPr>
        <w:t>ս ԱՄՆ ՄԶԳ «Հայաստանի գործարար միջավայրի բարելավում» ծրագրի կողմից մշակված «</w:t>
      </w:r>
      <w:r w:rsidR="000F4927" w:rsidRPr="0005623F">
        <w:rPr>
          <w:rFonts w:ascii="GHEA Grapalat" w:hAnsi="GHEA Grapalat"/>
          <w:color w:val="000000"/>
          <w:sz w:val="20"/>
          <w:szCs w:val="20"/>
        </w:rPr>
        <w:t xml:space="preserve">ՓՄՁ-ների ներգրավվածությունը հանրային գնումներին. առկա իրավիճակը եվ խոչընդոտները» </w:t>
      </w:r>
      <w:r w:rsidR="00262A0B" w:rsidRPr="0005623F">
        <w:rPr>
          <w:rFonts w:ascii="GHEA Grapalat" w:hAnsi="GHEA Grapalat"/>
          <w:color w:val="000000"/>
          <w:sz w:val="20"/>
          <w:szCs w:val="20"/>
        </w:rPr>
        <w:t>վ</w:t>
      </w:r>
      <w:r w:rsidRPr="0005623F">
        <w:rPr>
          <w:rFonts w:ascii="GHEA Grapalat" w:hAnsi="GHEA Grapalat"/>
          <w:color w:val="000000"/>
          <w:sz w:val="20"/>
          <w:szCs w:val="20"/>
        </w:rPr>
        <w:t>երջնական</w:t>
      </w:r>
      <w:r w:rsidRPr="0005623F">
        <w:rPr>
          <w:rFonts w:ascii="GHEA Grapalat" w:hAnsi="GHEA Grapalat"/>
          <w:sz w:val="20"/>
          <w:szCs w:val="20"/>
        </w:rPr>
        <w:t xml:space="preserve"> </w:t>
      </w:r>
      <w:r w:rsidR="00262A0B" w:rsidRPr="0005623F">
        <w:rPr>
          <w:rFonts w:ascii="GHEA Grapalat" w:hAnsi="GHEA Grapalat"/>
          <w:color w:val="000000"/>
          <w:sz w:val="20"/>
          <w:szCs w:val="20"/>
        </w:rPr>
        <w:t>հ</w:t>
      </w:r>
      <w:r w:rsidRPr="0005623F">
        <w:rPr>
          <w:rFonts w:ascii="GHEA Grapalat" w:hAnsi="GHEA Grapalat"/>
          <w:color w:val="000000"/>
          <w:sz w:val="20"/>
          <w:szCs w:val="20"/>
        </w:rPr>
        <w:t>աշվետվությունը:</w:t>
      </w:r>
      <w:bookmarkEnd w:id="0"/>
    </w:p>
  </w:footnote>
  <w:footnote w:id="3">
    <w:p w14:paraId="76F5FA2C" w14:textId="6AE615E2" w:rsidR="00D61C0E" w:rsidRPr="0005623F" w:rsidRDefault="00D61C0E" w:rsidP="00D61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  <w:r w:rsidRPr="0005623F">
        <w:rPr>
          <w:rStyle w:val="FootnoteReference"/>
          <w:rFonts w:ascii="GHEA Grapalat" w:hAnsi="GHEA Grapalat"/>
        </w:rPr>
        <w:footnoteRef/>
      </w:r>
      <w:r w:rsidRPr="0005623F">
        <w:rPr>
          <w:rFonts w:ascii="GHEA Grapalat" w:hAnsi="GHEA Grapalat"/>
          <w:color w:val="000000"/>
          <w:sz w:val="20"/>
          <w:szCs w:val="20"/>
        </w:rPr>
        <w:t xml:space="preserve"> Տե</w:t>
      </w:r>
      <w:r w:rsidR="000F4927" w:rsidRPr="0005623F">
        <w:rPr>
          <w:rFonts w:ascii="Courier New" w:hAnsi="Courier New" w:cs="Courier New"/>
          <w:color w:val="000000"/>
          <w:sz w:val="20"/>
          <w:szCs w:val="20"/>
        </w:rPr>
        <w:t>́</w:t>
      </w:r>
      <w:r w:rsidRPr="0005623F">
        <w:rPr>
          <w:rFonts w:ascii="GHEA Grapalat" w:hAnsi="GHEA Grapalat"/>
          <w:color w:val="000000"/>
          <w:sz w:val="20"/>
          <w:szCs w:val="20"/>
        </w:rPr>
        <w:t>ս 41 U.S. Code § 6305 (b) (1)</w:t>
      </w:r>
    </w:p>
  </w:footnote>
  <w:footnote w:id="4">
    <w:p w14:paraId="558B5428" w14:textId="7FA4A8A1" w:rsidR="00D61C0E" w:rsidRPr="0005623F" w:rsidRDefault="00D61C0E" w:rsidP="00D61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GHEA Grapalat" w:hAnsi="GHEA Grapalat"/>
          <w:color w:val="000000"/>
          <w:sz w:val="20"/>
          <w:szCs w:val="20"/>
        </w:rPr>
      </w:pPr>
      <w:r w:rsidRPr="0005623F">
        <w:rPr>
          <w:rStyle w:val="FootnoteReference"/>
          <w:rFonts w:ascii="GHEA Grapalat" w:hAnsi="GHEA Grapalat"/>
        </w:rPr>
        <w:footnoteRef/>
      </w:r>
      <w:r w:rsidRPr="0005623F">
        <w:rPr>
          <w:rFonts w:ascii="GHEA Grapalat" w:hAnsi="GHEA Grapalat"/>
          <w:color w:val="000000"/>
          <w:sz w:val="20"/>
          <w:szCs w:val="20"/>
        </w:rPr>
        <w:t xml:space="preserve"> </w:t>
      </w:r>
      <w:bookmarkStart w:id="1" w:name="_Hlk146892900"/>
      <w:r w:rsidRPr="0005623F">
        <w:rPr>
          <w:rFonts w:ascii="GHEA Grapalat" w:hAnsi="GHEA Grapalat"/>
          <w:color w:val="000000"/>
          <w:sz w:val="20"/>
          <w:szCs w:val="20"/>
        </w:rPr>
        <w:t>Տե</w:t>
      </w:r>
      <w:r w:rsidR="000F4927" w:rsidRPr="0005623F">
        <w:rPr>
          <w:rFonts w:ascii="Courier New" w:hAnsi="Courier New" w:cs="Courier New"/>
          <w:color w:val="000000"/>
          <w:sz w:val="20"/>
          <w:szCs w:val="20"/>
        </w:rPr>
        <w:t>́</w:t>
      </w:r>
      <w:r w:rsidRPr="0005623F">
        <w:rPr>
          <w:rFonts w:ascii="GHEA Grapalat" w:hAnsi="GHEA Grapalat"/>
          <w:color w:val="000000"/>
          <w:sz w:val="20"/>
          <w:szCs w:val="20"/>
        </w:rPr>
        <w:t>ս</w:t>
      </w:r>
      <w:bookmarkEnd w:id="1"/>
      <w:r w:rsidRPr="0005623F">
        <w:rPr>
          <w:rFonts w:ascii="GHEA Grapalat" w:hAnsi="GHEA Grapalat"/>
          <w:color w:val="000000"/>
          <w:sz w:val="20"/>
          <w:szCs w:val="20"/>
        </w:rPr>
        <w:t xml:space="preserve"> ԱՄՆ ՄԶԳ «Հայաստանի գործարար միջավայրի բարելավում» ծրագրի կողմից մշակված</w:t>
      </w:r>
      <w:r w:rsidR="000F4927" w:rsidRPr="0005623F">
        <w:rPr>
          <w:rFonts w:ascii="GHEA Grapalat" w:hAnsi="GHEA Grapalat"/>
          <w:color w:val="000000"/>
          <w:sz w:val="20"/>
          <w:szCs w:val="20"/>
        </w:rPr>
        <w:t xml:space="preserve"> «ՓՄՁ-ների ներգրավվածությունը հանրային գնումներին. առկա իրավիճակը եվ խոչընդոտները»</w:t>
      </w:r>
      <w:r w:rsidR="000F4927" w:rsidRPr="0005623F">
        <w:rPr>
          <w:rFonts w:ascii="GHEA Grapalat" w:hAnsi="GHEA Grapalat"/>
          <w:sz w:val="20"/>
          <w:szCs w:val="20"/>
        </w:rPr>
        <w:t xml:space="preserve"> </w:t>
      </w:r>
      <w:r w:rsidR="00262A0B" w:rsidRPr="0005623F">
        <w:rPr>
          <w:rFonts w:ascii="GHEA Grapalat" w:hAnsi="GHEA Grapalat"/>
          <w:color w:val="000000"/>
          <w:sz w:val="20"/>
          <w:szCs w:val="20"/>
        </w:rPr>
        <w:t>վ</w:t>
      </w:r>
      <w:r w:rsidRPr="0005623F">
        <w:rPr>
          <w:rFonts w:ascii="GHEA Grapalat" w:hAnsi="GHEA Grapalat"/>
          <w:color w:val="000000"/>
          <w:sz w:val="20"/>
          <w:szCs w:val="20"/>
        </w:rPr>
        <w:t>երջնական</w:t>
      </w:r>
      <w:r w:rsidRPr="0005623F">
        <w:rPr>
          <w:rFonts w:ascii="GHEA Grapalat" w:hAnsi="GHEA Grapalat"/>
          <w:sz w:val="20"/>
          <w:szCs w:val="20"/>
        </w:rPr>
        <w:t xml:space="preserve"> </w:t>
      </w:r>
      <w:r w:rsidR="00262A0B" w:rsidRPr="0005623F">
        <w:rPr>
          <w:rFonts w:ascii="GHEA Grapalat" w:hAnsi="GHEA Grapalat"/>
          <w:color w:val="000000"/>
          <w:sz w:val="20"/>
          <w:szCs w:val="20"/>
        </w:rPr>
        <w:t>հ</w:t>
      </w:r>
      <w:r w:rsidRPr="0005623F">
        <w:rPr>
          <w:rFonts w:ascii="GHEA Grapalat" w:hAnsi="GHEA Grapalat"/>
          <w:color w:val="000000"/>
          <w:sz w:val="20"/>
          <w:szCs w:val="20"/>
        </w:rPr>
        <w:t>աշվետվությունը:</w:t>
      </w:r>
    </w:p>
  </w:footnote>
  <w:footnote w:id="5">
    <w:p w14:paraId="5D286B34" w14:textId="0A12EFE6" w:rsidR="00D61C0E" w:rsidRPr="0005623F" w:rsidRDefault="00D61C0E" w:rsidP="00D61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  <w:r w:rsidRPr="0005623F">
        <w:rPr>
          <w:rStyle w:val="FootnoteReference"/>
          <w:rFonts w:ascii="GHEA Grapalat" w:hAnsi="GHEA Grapalat"/>
        </w:rPr>
        <w:footnoteRef/>
      </w:r>
      <w:r w:rsidRPr="0005623F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F4927" w:rsidRPr="0005623F">
        <w:rPr>
          <w:rFonts w:ascii="GHEA Grapalat" w:hAnsi="GHEA Grapalat"/>
          <w:color w:val="000000"/>
          <w:sz w:val="20"/>
          <w:szCs w:val="20"/>
        </w:rPr>
        <w:t>Տե</w:t>
      </w:r>
      <w:r w:rsidR="000F4927" w:rsidRPr="0005623F">
        <w:rPr>
          <w:rFonts w:ascii="Courier New" w:hAnsi="Courier New" w:cs="Courier New"/>
          <w:color w:val="000000"/>
          <w:sz w:val="20"/>
          <w:szCs w:val="20"/>
        </w:rPr>
        <w:t>́</w:t>
      </w:r>
      <w:r w:rsidR="000F4927" w:rsidRPr="0005623F">
        <w:rPr>
          <w:rFonts w:ascii="GHEA Grapalat" w:hAnsi="GHEA Grapalat"/>
          <w:color w:val="000000"/>
          <w:sz w:val="20"/>
          <w:szCs w:val="20"/>
        </w:rPr>
        <w:t xml:space="preserve">ս </w:t>
      </w:r>
      <w:r w:rsidRPr="0005623F">
        <w:rPr>
          <w:rFonts w:ascii="GHEA Grapalat" w:hAnsi="GHEA Grapalat"/>
          <w:color w:val="000000"/>
          <w:sz w:val="20"/>
          <w:szCs w:val="20"/>
        </w:rPr>
        <w:t>մասնավորապես ՌԴ Գերագույն դատարանի 23.04.2019 թ. N АКПИ19-112 որոշումը,</w:t>
      </w:r>
    </w:p>
  </w:footnote>
  <w:footnote w:id="6">
    <w:p w14:paraId="72A5A093" w14:textId="2661C3F7" w:rsidR="00D61C0E" w:rsidRPr="0005623F" w:rsidRDefault="00D61C0E" w:rsidP="00D61C0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HEA Grapalat" w:hAnsi="GHEA Grapalat"/>
          <w:color w:val="000000"/>
          <w:sz w:val="20"/>
          <w:szCs w:val="20"/>
        </w:rPr>
      </w:pPr>
      <w:r w:rsidRPr="0005623F">
        <w:rPr>
          <w:rStyle w:val="FootnoteReference"/>
          <w:rFonts w:ascii="GHEA Grapalat" w:hAnsi="GHEA Grapalat"/>
        </w:rPr>
        <w:footnoteRef/>
      </w:r>
      <w:r w:rsidRPr="0005623F">
        <w:rPr>
          <w:rFonts w:ascii="GHEA Grapalat" w:hAnsi="GHEA Grapalat"/>
          <w:color w:val="000000"/>
          <w:sz w:val="20"/>
          <w:szCs w:val="20"/>
        </w:rPr>
        <w:t xml:space="preserve"> </w:t>
      </w:r>
      <w:r w:rsidR="000F4927" w:rsidRPr="0005623F">
        <w:rPr>
          <w:rFonts w:ascii="GHEA Grapalat" w:hAnsi="GHEA Grapalat"/>
          <w:color w:val="000000"/>
          <w:sz w:val="20"/>
          <w:szCs w:val="20"/>
        </w:rPr>
        <w:t>Տե</w:t>
      </w:r>
      <w:r w:rsidR="000F4927" w:rsidRPr="0005623F">
        <w:rPr>
          <w:rFonts w:ascii="Courier New" w:hAnsi="Courier New" w:cs="Courier New"/>
          <w:color w:val="000000"/>
          <w:sz w:val="20"/>
          <w:szCs w:val="20"/>
        </w:rPr>
        <w:t>́</w:t>
      </w:r>
      <w:r w:rsidR="000F4927" w:rsidRPr="0005623F">
        <w:rPr>
          <w:rFonts w:ascii="GHEA Grapalat" w:hAnsi="GHEA Grapalat"/>
          <w:color w:val="000000"/>
          <w:sz w:val="20"/>
          <w:szCs w:val="20"/>
        </w:rPr>
        <w:t xml:space="preserve">ս </w:t>
      </w:r>
      <w:r w:rsidRPr="0005623F">
        <w:rPr>
          <w:rFonts w:ascii="GHEA Grapalat" w:hAnsi="GHEA Grapalat"/>
          <w:color w:val="000000"/>
          <w:sz w:val="20"/>
          <w:szCs w:val="20"/>
        </w:rPr>
        <w:t xml:space="preserve">մասնավորապես Ղազախստանի Հանրապետության «Պետական գնումների մասին» օրենքի 45-րդ հոդվածը,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B04B1"/>
    <w:multiLevelType w:val="multilevel"/>
    <w:tmpl w:val="C9E03E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1FE1E64"/>
    <w:multiLevelType w:val="hybridMultilevel"/>
    <w:tmpl w:val="36501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8307D"/>
    <w:multiLevelType w:val="multilevel"/>
    <w:tmpl w:val="5BDA3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8150E9D"/>
    <w:multiLevelType w:val="multilevel"/>
    <w:tmpl w:val="3E26B8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D30BA"/>
    <w:multiLevelType w:val="hybridMultilevel"/>
    <w:tmpl w:val="F77017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774C6"/>
    <w:multiLevelType w:val="multilevel"/>
    <w:tmpl w:val="A0042C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59E45D6"/>
    <w:multiLevelType w:val="multilevel"/>
    <w:tmpl w:val="A0042CE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61A3CDC"/>
    <w:multiLevelType w:val="multilevel"/>
    <w:tmpl w:val="902EB64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F712E3"/>
    <w:multiLevelType w:val="multilevel"/>
    <w:tmpl w:val="C9E03E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981279E"/>
    <w:multiLevelType w:val="multilevel"/>
    <w:tmpl w:val="3E26B8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C25D2"/>
    <w:multiLevelType w:val="multilevel"/>
    <w:tmpl w:val="3E26B8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B482B"/>
    <w:multiLevelType w:val="multilevel"/>
    <w:tmpl w:val="3E26B856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94A9F"/>
    <w:multiLevelType w:val="multilevel"/>
    <w:tmpl w:val="208285A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0466A45"/>
    <w:multiLevelType w:val="hybridMultilevel"/>
    <w:tmpl w:val="4B6A8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789479">
    <w:abstractNumId w:val="10"/>
  </w:num>
  <w:num w:numId="2" w16cid:durableId="1666133016">
    <w:abstractNumId w:val="7"/>
  </w:num>
  <w:num w:numId="3" w16cid:durableId="1375277637">
    <w:abstractNumId w:val="4"/>
  </w:num>
  <w:num w:numId="4" w16cid:durableId="2146505127">
    <w:abstractNumId w:val="13"/>
  </w:num>
  <w:num w:numId="5" w16cid:durableId="1932273752">
    <w:abstractNumId w:val="1"/>
  </w:num>
  <w:num w:numId="6" w16cid:durableId="454911424">
    <w:abstractNumId w:val="9"/>
  </w:num>
  <w:num w:numId="7" w16cid:durableId="1067072177">
    <w:abstractNumId w:val="3"/>
  </w:num>
  <w:num w:numId="8" w16cid:durableId="1180316877">
    <w:abstractNumId w:val="11"/>
  </w:num>
  <w:num w:numId="9" w16cid:durableId="828524191">
    <w:abstractNumId w:val="0"/>
  </w:num>
  <w:num w:numId="10" w16cid:durableId="1530798019">
    <w:abstractNumId w:val="8"/>
  </w:num>
  <w:num w:numId="11" w16cid:durableId="145971867">
    <w:abstractNumId w:val="6"/>
  </w:num>
  <w:num w:numId="12" w16cid:durableId="1912888259">
    <w:abstractNumId w:val="5"/>
  </w:num>
  <w:num w:numId="13" w16cid:durableId="741559513">
    <w:abstractNumId w:val="12"/>
  </w:num>
  <w:num w:numId="14" w16cid:durableId="1384913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9D8"/>
    <w:rsid w:val="000436CD"/>
    <w:rsid w:val="0005352E"/>
    <w:rsid w:val="0005623F"/>
    <w:rsid w:val="000F4927"/>
    <w:rsid w:val="001004DA"/>
    <w:rsid w:val="00166662"/>
    <w:rsid w:val="00193686"/>
    <w:rsid w:val="00260641"/>
    <w:rsid w:val="00262A0B"/>
    <w:rsid w:val="0028015E"/>
    <w:rsid w:val="00295C2C"/>
    <w:rsid w:val="002E4FBD"/>
    <w:rsid w:val="003059D8"/>
    <w:rsid w:val="003C1ABB"/>
    <w:rsid w:val="003C1E3A"/>
    <w:rsid w:val="003C5A0C"/>
    <w:rsid w:val="004967FA"/>
    <w:rsid w:val="004C2F7B"/>
    <w:rsid w:val="006134EB"/>
    <w:rsid w:val="006E0E16"/>
    <w:rsid w:val="00700BE4"/>
    <w:rsid w:val="007704CE"/>
    <w:rsid w:val="007859A4"/>
    <w:rsid w:val="00794692"/>
    <w:rsid w:val="008A042B"/>
    <w:rsid w:val="0097093C"/>
    <w:rsid w:val="009A7721"/>
    <w:rsid w:val="009C6496"/>
    <w:rsid w:val="009F3E37"/>
    <w:rsid w:val="009F7E41"/>
    <w:rsid w:val="00AF14B2"/>
    <w:rsid w:val="00B36767"/>
    <w:rsid w:val="00B54D55"/>
    <w:rsid w:val="00BB27B0"/>
    <w:rsid w:val="00BD202B"/>
    <w:rsid w:val="00CA56BB"/>
    <w:rsid w:val="00CF1F4A"/>
    <w:rsid w:val="00D61C0E"/>
    <w:rsid w:val="00D810EC"/>
    <w:rsid w:val="00DA5F3B"/>
    <w:rsid w:val="00DE16D8"/>
    <w:rsid w:val="00E200D1"/>
    <w:rsid w:val="00E56D17"/>
    <w:rsid w:val="00E864A6"/>
    <w:rsid w:val="00F6424B"/>
    <w:rsid w:val="00FB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DD6A07"/>
  <w15:chartTrackingRefBased/>
  <w15:docId w15:val="{5C27A96D-7C69-41B6-8DAA-FA60F69F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C0E"/>
    <w:rPr>
      <w:rFonts w:ascii="Calibri" w:eastAsia="Calibri" w:hAnsi="Calibri" w:cs="Calibri"/>
      <w:kern w:val="0"/>
      <w:lang w:val="hy-AM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D61C0E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61C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61C0E"/>
    <w:rPr>
      <w:rFonts w:ascii="Calibri" w:eastAsia="Calibri" w:hAnsi="Calibri" w:cs="Calibri"/>
      <w:kern w:val="0"/>
      <w:sz w:val="20"/>
      <w:szCs w:val="20"/>
      <w:lang w:val="hy-AM"/>
      <w14:ligatures w14:val="none"/>
    </w:rPr>
  </w:style>
  <w:style w:type="paragraph" w:styleId="ListParagraph">
    <w:name w:val="List Paragraph"/>
    <w:basedOn w:val="Normal"/>
    <w:uiPriority w:val="34"/>
    <w:qFormat/>
    <w:rsid w:val="006E0E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3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686"/>
    <w:rPr>
      <w:rFonts w:ascii="Segoe UI" w:eastAsia="Calibri" w:hAnsi="Segoe UI" w:cs="Segoe UI"/>
      <w:kern w:val="0"/>
      <w:sz w:val="18"/>
      <w:szCs w:val="18"/>
      <w:lang w:val="hy-AM"/>
      <w14:ligatures w14:val="none"/>
    </w:rPr>
  </w:style>
  <w:style w:type="paragraph" w:styleId="Revision">
    <w:name w:val="Revision"/>
    <w:hidden/>
    <w:uiPriority w:val="99"/>
    <w:semiHidden/>
    <w:rsid w:val="00295C2C"/>
    <w:pPr>
      <w:spacing w:after="0" w:line="240" w:lineRule="auto"/>
    </w:pPr>
    <w:rPr>
      <w:rFonts w:ascii="Calibri" w:eastAsia="Calibri" w:hAnsi="Calibri" w:cs="Calibri"/>
      <w:kern w:val="0"/>
      <w:lang w:val="hy-A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ecd.org/south-east-europe/programme/OECD-Public-Procurement-Policy-Briefing-Not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861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S. Hovhannisyan</dc:creator>
  <cp:keywords/>
  <dc:description/>
  <cp:lastModifiedBy>Anahit S. Hovhannisyan</cp:lastModifiedBy>
  <cp:revision>10</cp:revision>
  <dcterms:created xsi:type="dcterms:W3CDTF">2023-09-29T11:30:00Z</dcterms:created>
  <dcterms:modified xsi:type="dcterms:W3CDTF">2024-05-30T12:35:00Z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bf133b01971a26fd6e02557045834b2c0f64c4162fcbb832c2a7157d0299da10</vt:lpwstr>
  </property>
</Properties>
</file>