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142EE2" w:rsidRDefault="004B6F0A" w:rsidP="00142EE2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56CF9283" w:rsidR="004B6F0A" w:rsidRPr="00596A7E" w:rsidRDefault="004B6F0A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596A7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B03C89" w:rsidRPr="00596A7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</w:t>
      </w:r>
      <w:r w:rsidR="00830D45" w:rsidRPr="00596A7E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ԿԱՌԱՎԱՐՈՒԹՅԱՆ 2019 ԹՎԱԿԱՆԻ </w:t>
      </w:r>
      <w:r w:rsidR="00596A7E" w:rsidRPr="00596A7E">
        <w:rPr>
          <w:rFonts w:ascii="GHEA Grapalat" w:hAnsi="GHEA Grapalat"/>
          <w:b/>
          <w:color w:val="000000"/>
          <w:sz w:val="24"/>
          <w:szCs w:val="24"/>
          <w:lang w:val="hy-AM"/>
        </w:rPr>
        <w:t>ՀՈԿՏԵՄԲԵՐԻ</w:t>
      </w:r>
      <w:r w:rsidR="00830D45" w:rsidRPr="00596A7E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 </w:t>
      </w:r>
      <w:r w:rsidR="00596A7E" w:rsidRPr="00596A7E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10</w:t>
      </w:r>
      <w:r w:rsidR="00830D45" w:rsidRPr="00596A7E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-Ի N </w:t>
      </w:r>
      <w:r w:rsidR="00596A7E" w:rsidRPr="00596A7E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1423</w:t>
      </w:r>
      <w:r w:rsidR="00830D45" w:rsidRPr="00596A7E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-Ն </w:t>
      </w:r>
      <w:r w:rsidR="006C0C8B" w:rsidRPr="00596A7E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ՈՐՈՇ</w:t>
      </w:r>
      <w:r w:rsidR="00E96BAF" w:rsidRPr="00596A7E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6C0C8B" w:rsidRPr="00596A7E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ԱՆ ՄԵՋ</w:t>
      </w:r>
      <w:r w:rsidR="00E96BAF" w:rsidRPr="00596A7E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96A7E" w:rsidRPr="00596A7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ՓՈՓՈԽՈՒԹՅՈՒՆՆԵՐ</w:t>
      </w:r>
      <w:r w:rsidR="00596A7E" w:rsidRPr="00596A7E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 </w:t>
      </w:r>
      <w:r w:rsidR="00830D45" w:rsidRPr="00596A7E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ԿԱՏԱՐԵԼՈՒ ՄԱՍԻՆ</w:t>
      </w:r>
      <w:r w:rsidRPr="00596A7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596A7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596A7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596A7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478626B1" w14:textId="77777777" w:rsidR="00006E33" w:rsidRPr="00142EE2" w:rsidRDefault="00006E33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7A35E331" w14:textId="66EA5E4D" w:rsidR="004B6F0A" w:rsidRPr="006345FA" w:rsidRDefault="00473BDF" w:rsidP="00C75FF6">
      <w:pPr>
        <w:pStyle w:val="ListParagraph"/>
        <w:numPr>
          <w:ilvl w:val="0"/>
          <w:numId w:val="16"/>
        </w:numPr>
        <w:tabs>
          <w:tab w:val="left" w:pos="142"/>
        </w:tabs>
        <w:spacing w:after="0" w:line="360" w:lineRule="auto"/>
        <w:ind w:hanging="65"/>
        <w:jc w:val="both"/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</w:pPr>
      <w:r w:rsidRPr="006345FA"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5AA7801A" w14:textId="09E4EA95" w:rsidR="006345FA" w:rsidRPr="002B6A14" w:rsidRDefault="006345FA" w:rsidP="00A04873">
      <w:pPr>
        <w:pStyle w:val="ListParagraph"/>
        <w:tabs>
          <w:tab w:val="left" w:pos="993"/>
        </w:tabs>
        <w:spacing w:after="0" w:line="360" w:lineRule="auto"/>
        <w:ind w:left="-709" w:firstLine="851"/>
        <w:jc w:val="both"/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</w:pP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«Հայաստանի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Հանրապետությունում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ստուգումների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կազմակերպման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և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անցկացման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մասին»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օրենքի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3-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րդ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հոդվածի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1.1-</w:t>
      </w:r>
      <w:r w:rsidR="000058D0"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ին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մասի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համաձայն՝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բոլոր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ստուգումները</w:t>
      </w:r>
      <w:r w:rsidRPr="002B6A14">
        <w:rPr>
          <w:rFonts w:ascii="GHEA Grapalat" w:eastAsia="Times New Roman" w:hAnsi="GHEA Grapalat" w:cs="Calibri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անցկացվում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2B6A14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ե</w:t>
      </w:r>
      <w:r w:rsidRPr="002B6A14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ն բացառապես ստուգաթերթերի հիման վրա, որոնք հաստատում է Հայաստանի Հանրապետության կառավարությունը:</w:t>
      </w:r>
    </w:p>
    <w:p w14:paraId="113B3538" w14:textId="69D7698D" w:rsidR="002B6A14" w:rsidRDefault="00B610E9" w:rsidP="00E13995">
      <w:pPr>
        <w:tabs>
          <w:tab w:val="left" w:pos="142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="00E13995" w:rsidRPr="0008045C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կառավարության 2024</w:t>
      </w:r>
      <w:r w:rsidR="00596A7E"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հունվարի 4-ի N </w:t>
      </w:r>
      <w:r w:rsidR="00E1399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    </w:t>
      </w:r>
      <w:r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9</w:t>
      </w:r>
      <w:r w:rsidR="00596A7E"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-Ն որոշման </w:t>
      </w:r>
      <w:r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1-ին</w:t>
      </w:r>
      <w:r w:rsidR="00596A7E"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կետի համաձայն՝</w:t>
      </w:r>
      <w:r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2024 թվականի հուլիսի 1</w:t>
      </w:r>
      <w:r w:rsid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-ից ուժը կորցրած է</w:t>
      </w:r>
      <w:r w:rsidR="00596A7E"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ճանաչվելու </w:t>
      </w:r>
      <w:r w:rsidR="002B6A14"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կառավարության 1999 թվականի ապրիլի 22-ի «Մթնոլորտային օդի վրա վնասակար ներգործությունների պետական հաշվառման կարգը հաստատելու մասին» N 259 որոշումը</w:t>
      </w:r>
      <w:r w:rsidR="001D769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1D7692" w:rsidRP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</w:t>
      </w:r>
      <w:r w:rsidR="001D769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այսուհետև՝ Որոշում</w:t>
      </w:r>
      <w:r w:rsidR="001D7692" w:rsidRP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)</w:t>
      </w:r>
      <w:r w:rsidR="002B6A14"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</w:p>
    <w:p w14:paraId="650EFB27" w14:textId="593EEBE9" w:rsidR="005052FF" w:rsidRDefault="003C4377" w:rsidP="003C4377">
      <w:pPr>
        <w:tabs>
          <w:tab w:val="left" w:pos="142"/>
        </w:tabs>
        <w:spacing w:after="0" w:line="360" w:lineRule="auto"/>
        <w:ind w:left="-72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="00E1399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Բնապահպանության և ընդերքի տեսչական մարմինը </w:t>
      </w:r>
      <w:r w:rsidR="00E13995" w:rsidRP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</w:t>
      </w:r>
      <w:r w:rsidR="00E1399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այսուհետև՝</w:t>
      </w:r>
      <w:r w:rsidR="00E13995" w:rsidRPr="00E1399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E1399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Տեսչական մարմինը</w:t>
      </w:r>
      <w:r w:rsidR="00E13995" w:rsidRPr="007F50C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)</w:t>
      </w:r>
      <w:r w:rsidR="00E1399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7E64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Որոշմամբ</w:t>
      </w:r>
      <w:r w:rsidR="005052F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սահմանված պահանջների նկատմամբ վերահսկողություն</w:t>
      </w:r>
      <w:r w:rsidR="007E64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ը </w:t>
      </w:r>
      <w:r w:rsidR="005052F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7E64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իրականաց</w:t>
      </w:r>
      <w:r w:rsidR="00C95DC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նո</w:t>
      </w:r>
      <w:r w:rsidR="007E64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ւմ</w:t>
      </w:r>
      <w:r w:rsidR="005052F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է </w:t>
      </w:r>
      <w:r w:rsidR="00E13995" w:rsidRPr="0008045C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E13995">
        <w:rPr>
          <w:rFonts w:ascii="GHEA Grapalat" w:hAnsi="GHEA Grapalat" w:cs="Arial"/>
          <w:sz w:val="24"/>
          <w:szCs w:val="24"/>
          <w:lang w:val="hy-AM"/>
        </w:rPr>
        <w:t>կ</w:t>
      </w:r>
      <w:r w:rsidR="005052F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առավարության </w:t>
      </w:r>
      <w:r w:rsidR="005052FF" w:rsidRPr="00E9367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2019 թվականի </w:t>
      </w:r>
      <w:r w:rsidR="005052F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հոկտեմբերի 10</w:t>
      </w:r>
      <w:r w:rsidR="005052FF" w:rsidRPr="00E9367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-ի</w:t>
      </w:r>
      <w:r w:rsidR="005052F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C82A22" w:rsidRPr="00A0487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«</w:t>
      </w:r>
      <w:r w:rsidR="00C82A2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բնապահպանության և ընդերքի տեսչական մարմնի կողմից անցկացվող ստուգումների ստուգաթերթերը հաստատելու և Հայաստանի Հանրապետության կառավարության 2017 թվականի հոկտեմբերի 19-ի թիվ 1343-Ն որոշումն ուժը կորցրած ճանաչելու մասին</w:t>
      </w:r>
      <w:r w:rsidR="00C82A22" w:rsidRPr="00A0487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C82A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052F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1423</w:t>
      </w:r>
      <w:r w:rsidR="005052FF" w:rsidRPr="00E9367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-Ն </w:t>
      </w:r>
      <w:r w:rsidR="00C82A2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որոշ</w:t>
      </w:r>
      <w:r w:rsidR="005052FF" w:rsidRPr="00E9367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ման N </w:t>
      </w:r>
      <w:r w:rsidR="001D769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1-ին, 2-րդ, 3-րդ, 4-րդ</w:t>
      </w:r>
      <w:r w:rsidR="000717A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5052F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հավելվածներով սահմանված ստուգաթերթ</w:t>
      </w:r>
      <w:r w:rsidR="001B1B4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եր</w:t>
      </w:r>
      <w:r w:rsidR="005052F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ի հիման վրա</w:t>
      </w:r>
      <w:r w:rsidR="004915F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։ </w:t>
      </w:r>
      <w:r w:rsidR="00347AF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</w:t>
      </w:r>
      <w:r w:rsidR="001D769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րոշման </w:t>
      </w:r>
      <w:r w:rsidR="005052FF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ուժը կորցրած ճանաչելու արդյունքում ուժը կորցրած կճանաչվեն նաև </w:t>
      </w:r>
      <w:r w:rsidR="005052F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նշված ստուգաթերթի հարցաշարում նորմատիվ իրավական </w:t>
      </w:r>
      <w:r w:rsidR="00C82A2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ակտերով</w:t>
      </w:r>
      <w:r w:rsidR="005052F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սահմանված հղումները</w:t>
      </w:r>
      <w:r w:rsidR="007E64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, </w:t>
      </w:r>
      <w:r w:rsidR="005052FF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ինչի արդյունքում </w:t>
      </w:r>
      <w:r w:rsidR="007E64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համապատասխան հարցերի մասով հնարավոր չի լինի իրականացնել վերահսկողություն:</w:t>
      </w:r>
    </w:p>
    <w:p w14:paraId="2AA8BDA5" w14:textId="3C8B7F80" w:rsidR="007E6474" w:rsidRPr="00941A24" w:rsidRDefault="00C82A22" w:rsidP="00B52A90">
      <w:pPr>
        <w:spacing w:after="0" w:line="360" w:lineRule="auto"/>
        <w:ind w:left="-709" w:firstLine="851"/>
        <w:jc w:val="both"/>
        <w:rPr>
          <w:rFonts w:ascii="GHEA Grapalat" w:eastAsia="Times New Roman" w:hAnsi="GHEA Grapalat" w:cs="Sylfaen"/>
          <w:sz w:val="24"/>
          <w:szCs w:val="24"/>
          <w:lang w:val="hy-AM" w:eastAsia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Հարկ է </w:t>
      </w:r>
      <w:r w:rsidR="007E64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նաև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նկատի ունենալ</w:t>
      </w:r>
      <w:r w:rsidR="007E64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347AF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որ </w:t>
      </w:r>
      <w:r w:rsidR="007E64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2024 թվականի հուլիսի 1-ից ուժի մեջ </w:t>
      </w:r>
      <w:r w:rsidR="00C95DC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է </w:t>
      </w:r>
      <w:r w:rsidR="007E64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մտնելու </w:t>
      </w:r>
      <w:r w:rsidR="00347AFE" w:rsidRPr="0008045C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7E64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կառավարության </w:t>
      </w:r>
      <w:r w:rsidR="007E6474" w:rsidRPr="002B6A1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2024 թվականի հունվարի 4-ի</w:t>
      </w:r>
      <w:r w:rsidR="007E6474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7E6474" w:rsidRPr="007F50C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lastRenderedPageBreak/>
        <w:t>«</w:t>
      </w:r>
      <w:r w:rsidR="007E6474">
        <w:rPr>
          <w:rFonts w:ascii="GHEA Grapalat" w:eastAsia="Times New Roman" w:hAnsi="GHEA Grapalat" w:cs="Sylfaen"/>
          <w:sz w:val="24"/>
          <w:szCs w:val="24"/>
          <w:lang w:val="hy-AM" w:eastAsia="hy-AM"/>
        </w:rPr>
        <w:t>Մ</w:t>
      </w:r>
      <w:r w:rsidR="007E6474" w:rsidRPr="001D7692">
        <w:rPr>
          <w:rFonts w:ascii="GHEA Grapalat" w:eastAsia="Times New Roman" w:hAnsi="GHEA Grapalat" w:cs="Sylfaen"/>
          <w:sz w:val="24"/>
          <w:szCs w:val="24"/>
          <w:lang w:val="hy-AM" w:eastAsia="hy-AM"/>
        </w:rPr>
        <w:t>թնոլորտային</w:t>
      </w:r>
      <w:r w:rsidR="007E6474" w:rsidRPr="001D7692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E6474" w:rsidRPr="001D7692">
        <w:rPr>
          <w:rFonts w:ascii="GHEA Grapalat" w:eastAsia="Times New Roman" w:hAnsi="GHEA Grapalat" w:cs="Sylfaen"/>
          <w:sz w:val="24"/>
          <w:szCs w:val="24"/>
          <w:lang w:val="hy-AM" w:eastAsia="hy-AM"/>
        </w:rPr>
        <w:t>օդն աղտոտող</w:t>
      </w:r>
      <w:r w:rsidR="007E6474" w:rsidRPr="001D7692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E6474" w:rsidRPr="001D7692">
        <w:rPr>
          <w:rFonts w:ascii="GHEA Grapalat" w:eastAsia="Times New Roman" w:hAnsi="GHEA Grapalat" w:cs="Sylfaen"/>
          <w:sz w:val="24"/>
          <w:szCs w:val="24"/>
          <w:lang w:val="hy-AM" w:eastAsia="hy-AM"/>
        </w:rPr>
        <w:t>(վնասակար)</w:t>
      </w:r>
      <w:r w:rsidR="007E6474" w:rsidRPr="001D7692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E6474" w:rsidRPr="001D7692">
        <w:rPr>
          <w:rFonts w:ascii="GHEA Grapalat" w:eastAsia="Times New Roman" w:hAnsi="GHEA Grapalat" w:cs="Sylfaen"/>
          <w:sz w:val="24"/>
          <w:szCs w:val="24"/>
          <w:lang w:val="hy-AM" w:eastAsia="hy-AM"/>
        </w:rPr>
        <w:t>նյութերի արտանետումների պետական</w:t>
      </w:r>
      <w:r w:rsidR="007E6474" w:rsidRPr="001D7692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E6474" w:rsidRPr="001D7692">
        <w:rPr>
          <w:rFonts w:ascii="GHEA Grapalat" w:eastAsia="Times New Roman" w:hAnsi="GHEA Grapalat" w:cs="Sylfaen"/>
          <w:sz w:val="24"/>
          <w:szCs w:val="24"/>
          <w:lang w:val="hy-AM" w:eastAsia="hy-AM"/>
        </w:rPr>
        <w:t>հաշվառման</w:t>
      </w:r>
      <w:r w:rsidR="007E6474" w:rsidRPr="001D7692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և հաշվառման վերաբերյալ տեղեկատվության ամփոփման, վերլուծման և </w:t>
      </w:r>
      <w:proofErr w:type="spellStart"/>
      <w:r w:rsidR="007E6474" w:rsidRPr="001D7692">
        <w:rPr>
          <w:rFonts w:ascii="GHEA Grapalat" w:eastAsia="Times New Roman" w:hAnsi="GHEA Grapalat"/>
          <w:sz w:val="24"/>
          <w:szCs w:val="24"/>
          <w:lang w:val="hy-AM" w:eastAsia="hy-AM"/>
        </w:rPr>
        <w:t>արխիվացման</w:t>
      </w:r>
      <w:proofErr w:type="spellEnd"/>
      <w:r w:rsidR="007E6474" w:rsidRPr="001D7692">
        <w:rPr>
          <w:rFonts w:ascii="GHEA Grapalat" w:eastAsia="Times New Roman" w:hAnsi="GHEA Grapalat"/>
          <w:sz w:val="24"/>
          <w:szCs w:val="24"/>
          <w:lang w:val="hy-AM" w:eastAsia="hy-AM"/>
        </w:rPr>
        <w:t xml:space="preserve"> </w:t>
      </w:r>
      <w:r w:rsidR="007E6474" w:rsidRPr="001D7692">
        <w:rPr>
          <w:rFonts w:ascii="GHEA Grapalat" w:hAnsi="GHEA Grapalat" w:cs="Sylfaen"/>
          <w:color w:val="000000"/>
          <w:sz w:val="24"/>
          <w:szCs w:val="24"/>
          <w:lang w:val="hy-AM"/>
        </w:rPr>
        <w:t>կարգը</w:t>
      </w:r>
      <w:r w:rsidR="007E6474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» N 23-Ն որոշումը, որ</w:t>
      </w:r>
      <w:r w:rsidR="00C95DC5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ով</w:t>
      </w:r>
      <w:r w:rsidR="00347AFE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</w:t>
      </w:r>
      <w:r w:rsidR="00C95DC5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սահմանվելու է</w:t>
      </w:r>
      <w:r w:rsidR="007E6474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Որոշմամբ ուժը կորցրած ընթացակարգերին փոխարինող նորմեր</w:t>
      </w:r>
      <w:r w:rsidR="0050157E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ը</w:t>
      </w:r>
      <w:r w:rsidR="007E6474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:</w:t>
      </w:r>
    </w:p>
    <w:p w14:paraId="1DD1CC94" w14:textId="1032392D" w:rsidR="000717AE" w:rsidRPr="00941A24" w:rsidRDefault="001D7692" w:rsidP="00B52A90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 w:cs="Sylfaen"/>
          <w:sz w:val="24"/>
          <w:szCs w:val="24"/>
          <w:lang w:val="hy-AM" w:eastAsia="hy-AM"/>
        </w:rPr>
      </w:pPr>
      <w:r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ab/>
      </w:r>
      <w:r w:rsidR="000B5475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Հաշվի առնելով վերոգրյալը՝ անհրաժեշտություն է առաջացել </w:t>
      </w:r>
      <w:r w:rsidR="00190B2D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փոփոխություններ  </w:t>
      </w:r>
      <w:r w:rsidR="000B5475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կատարել </w:t>
      </w:r>
      <w:r w:rsidR="00C81F37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Հայաստանի Հանրապետության կառավարության </w:t>
      </w:r>
      <w:r w:rsidR="000B5475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2019 թվականի </w:t>
      </w:r>
      <w:r w:rsidR="00190B2D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հոկտեմբերի </w:t>
      </w:r>
      <w:r w:rsidR="00463429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        </w:t>
      </w:r>
      <w:r w:rsidR="00190B2D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10</w:t>
      </w:r>
      <w:r w:rsidR="000B5475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-ի </w:t>
      </w:r>
      <w:r w:rsidR="00190B2D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N 1423</w:t>
      </w:r>
      <w:r w:rsidR="000B5475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-Ն որոշման</w:t>
      </w:r>
      <w:r w:rsidR="00C75FF6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մեջ</w:t>
      </w:r>
      <w:r w:rsidR="009117E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՝ </w:t>
      </w:r>
      <w:r w:rsidR="002E3CBB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որոշ</w:t>
      </w:r>
      <w:r w:rsidR="00190B2D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ման N </w:t>
      </w:r>
      <w:r w:rsidR="000717AE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1-ին, 2-րդ, 3-րդ, 4-րդ </w:t>
      </w:r>
      <w:r w:rsidR="00190B2D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հավելված</w:t>
      </w:r>
      <w:r w:rsidR="000717AE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ներ</w:t>
      </w:r>
      <w:r w:rsidR="00C95DC5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ով հաստատված</w:t>
      </w:r>
      <w:r w:rsidR="00190B2D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ստուգաթերթ</w:t>
      </w:r>
      <w:r w:rsidR="001B1B4A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եր</w:t>
      </w:r>
      <w:r w:rsidR="007E6474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ում փոխարինելով</w:t>
      </w:r>
      <w:r w:rsidR="00190B2D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</w:t>
      </w:r>
      <w:r w:rsidR="007E6474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խնդրո առարկա հանդիսացող</w:t>
      </w:r>
      <w:r w:rsidR="00190B2D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հղումները</w:t>
      </w:r>
      <w:r w:rsidR="007E6474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:</w:t>
      </w:r>
    </w:p>
    <w:p w14:paraId="2D370DE9" w14:textId="46A919FE" w:rsidR="00F7380A" w:rsidRPr="00941A24" w:rsidRDefault="00F7380A" w:rsidP="00B52A90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hy-AM"/>
        </w:rPr>
      </w:pPr>
      <w:r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Հարկ է նշել, </w:t>
      </w:r>
      <w:r w:rsidR="00B52A9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որ</w:t>
      </w:r>
      <w:r w:rsidR="00B52A9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</w:t>
      </w:r>
      <w:r w:rsidR="00B52A9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Հայաստանի Հանրապետության </w:t>
      </w:r>
      <w:r w:rsidR="00B52A9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կ</w:t>
      </w:r>
      <w:r w:rsidR="00B52A9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առավարության 2019 թվականի հոկտեմբերի 10-ի N 1423-Ն </w:t>
      </w:r>
      <w:r w:rsidR="00B52A9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որոշմամբ</w:t>
      </w:r>
      <w:r w:rsidR="00B52A9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հաստատված N 1</w:t>
      </w:r>
      <w:r w:rsidR="00B52A9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0 հավելվածում</w:t>
      </w:r>
      <w:r w:rsidR="00B52A9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առկա են </w:t>
      </w:r>
      <w:r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տեխնիկական բնույթի </w:t>
      </w:r>
      <w:r w:rsidR="00B52A9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խնդ</w:t>
      </w:r>
      <w:r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ի</w:t>
      </w:r>
      <w:r w:rsidR="00B52A90"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րներ</w:t>
      </w:r>
      <w:r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, որի առկայությունը նվազեցնում է ոլորտի նկատմամբ արդյունավետ վերահսկողություն իրականացնելու հնարավորությունը։ </w:t>
      </w:r>
    </w:p>
    <w:p w14:paraId="1C703F27" w14:textId="77777777" w:rsidR="00B52A90" w:rsidRPr="00941A24" w:rsidRDefault="00B52A90" w:rsidP="00B52A90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hy-AM"/>
        </w:rPr>
      </w:pPr>
      <w:r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Սույն Նախագծի ընդունումը նպատակ է հետապնդում կատարելագործել գործող </w:t>
      </w:r>
      <w:proofErr w:type="spellStart"/>
      <w:r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>ստուգաթերթերը</w:t>
      </w:r>
      <w:proofErr w:type="spellEnd"/>
      <w:r w:rsidRPr="00941A24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և առավել արդյունավետ դարձնել իրականացվող ստուգումները։</w:t>
      </w:r>
    </w:p>
    <w:p w14:paraId="51BA91F9" w14:textId="77777777" w:rsidR="009117E0" w:rsidRPr="00941A24" w:rsidRDefault="009117E0" w:rsidP="004915F3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 w:cs="Sylfaen"/>
          <w:sz w:val="24"/>
          <w:szCs w:val="24"/>
          <w:lang w:val="hy-AM" w:eastAsia="hy-AM"/>
        </w:rPr>
      </w:pPr>
    </w:p>
    <w:p w14:paraId="1F84F39E" w14:textId="32990D2A" w:rsidR="00E75571" w:rsidRPr="00A04873" w:rsidRDefault="004B6F0A" w:rsidP="00A0487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A04873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A04873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bookmarkStart w:id="0" w:name="_GoBack"/>
      <w:bookmarkEnd w:id="0"/>
    </w:p>
    <w:p w14:paraId="388AB533" w14:textId="6932FCBA" w:rsidR="001B1B4A" w:rsidRDefault="00463429" w:rsidP="001B1B4A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Նախագծի ընդունման նպատակն է </w:t>
      </w:r>
      <w:proofErr w:type="spellStart"/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լրամշակել</w:t>
      </w:r>
      <w:proofErr w:type="spellEnd"/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2E3CBB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2019 թվականի </w:t>
      </w:r>
      <w:r w:rsidR="002E3CB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հոկտեմբերի 10</w:t>
      </w:r>
      <w:r w:rsidR="002E3CBB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-ի</w:t>
      </w:r>
      <w:r w:rsidR="002E3CBB" w:rsidRPr="00A0487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E3CB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 1423-Ն որոշմա</w:t>
      </w:r>
      <w:r w:rsidR="001B1B4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</w:t>
      </w:r>
      <w:r w:rsidR="001B1B4A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1B1B4A" w:rsidRPr="00E9367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N </w:t>
      </w:r>
      <w:r w:rsidR="001B1B4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1-ին, 2-րդ, 3-րդ, 4-րդ հավելվածներով սահմանված ստուգաթերթերի</w:t>
      </w:r>
      <w:r w:rsidR="001B1B4A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1B1B4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համապատասխան հղումները</w:t>
      </w:r>
      <w:r w:rsidR="007E64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 դրանք</w:t>
      </w:r>
      <w:r w:rsidR="001B1B4A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1B1B4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համապատասխանեցնելով Կառավարության կողմից ընդունված նոր որոշմա</w:t>
      </w:r>
      <w:r w:rsidR="007E64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ն </w:t>
      </w:r>
      <w:r w:rsidR="00F7380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անվանմանը, ինչպես </w:t>
      </w:r>
      <w:r w:rsidR="00606DDD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նաև </w:t>
      </w:r>
      <w:r w:rsidR="00F7380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կկատարվի տեխնիկական բնույթի փոփոխություն</w:t>
      </w:r>
      <w:r w:rsidR="00B52A90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ներ</w:t>
      </w:r>
      <w:r w:rsidR="00F7380A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:</w:t>
      </w:r>
    </w:p>
    <w:p w14:paraId="7A5DDFA0" w14:textId="7207F810" w:rsidR="00CE27AF" w:rsidRPr="00A04873" w:rsidRDefault="009F4205" w:rsidP="00A04873">
      <w:pPr>
        <w:tabs>
          <w:tab w:val="left" w:pos="-142"/>
        </w:tabs>
        <w:spacing w:after="0" w:line="360" w:lineRule="auto"/>
        <w:ind w:left="-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</w:p>
    <w:p w14:paraId="1FC88AB0" w14:textId="7372B3DA" w:rsidR="004B6F0A" w:rsidRPr="00A04873" w:rsidRDefault="000D1140" w:rsidP="00A0487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7BE3FC39" w14:textId="31F285EA" w:rsidR="00DA0663" w:rsidRPr="00A04873" w:rsidRDefault="00BA0B64" w:rsidP="00190B2D">
      <w:pPr>
        <w:tabs>
          <w:tab w:val="left" w:pos="990"/>
        </w:tabs>
        <w:spacing w:after="0" w:line="360" w:lineRule="auto"/>
        <w:ind w:left="-720" w:firstLine="578"/>
        <w:jc w:val="both"/>
        <w:rPr>
          <w:rFonts w:ascii="GHEA Grapalat" w:hAnsi="GHEA Grapalat"/>
          <w:sz w:val="24"/>
          <w:lang w:val="hy-AM"/>
        </w:rPr>
      </w:pP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արդյունքում ակնկալվում է ապահովել «Հայաստանի Հանրապետությունում ստուգումների կազմակերպման և անցկացման մասին» օրենքի </w:t>
      </w:r>
      <w:r w:rsidR="000058D0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3-րդ հոդվածի 1.1-ին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մասով սահմանված պահանջի կատարումը՝ ապահովելով համապատասխան ոլորտում</w:t>
      </w:r>
      <w:r w:rsidRPr="00A04873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ստուգում իրականացնելու համար անհրաժեշտ և արդիական ստուգաթերթի </w:t>
      </w:r>
      <w:r w:rsidR="009117E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առկայությունը</w:t>
      </w:r>
      <w:r w:rsidR="00085B74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  <w:r w:rsidR="0063176D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3F1D822B" w14:textId="2223A0AD" w:rsidR="004B6F0A" w:rsidRPr="00A04873" w:rsidRDefault="0050157E" w:rsidP="00A04873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br w:type="column"/>
      </w:r>
      <w:r w:rsidR="000D1140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4</w:t>
      </w:r>
      <w:r w:rsidR="004B6F0A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A0487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A0487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2F0E7437" w:rsidR="004B6F0A" w:rsidRDefault="004B6F0A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 w:cs="Arial Unicode"/>
          <w:sz w:val="24"/>
          <w:szCs w:val="24"/>
          <w:shd w:val="clear" w:color="auto" w:fill="FFFFFF"/>
          <w:lang w:val="hy-AM"/>
        </w:rPr>
      </w:pPr>
      <w:r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454F72" w:rsidRPr="00A04873">
        <w:rPr>
          <w:rFonts w:ascii="GHEA Grapalat" w:eastAsia="Times New Roman" w:hAnsi="GHEA Grapalat" w:cs="Arial Unicode"/>
          <w:sz w:val="24"/>
          <w:szCs w:val="24"/>
          <w:shd w:val="clear" w:color="auto" w:fill="FFFFFF"/>
          <w:lang w:val="hy-AM"/>
        </w:rPr>
        <w:t>կողմից:</w:t>
      </w:r>
    </w:p>
    <w:p w14:paraId="588D2531" w14:textId="77777777" w:rsidR="0050157E" w:rsidRPr="00A04873" w:rsidRDefault="0050157E" w:rsidP="00A04873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248D045A" w14:textId="4EEC4116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A04873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039DBDF0" w:rsidR="00A15A05" w:rsidRDefault="00A15A05" w:rsidP="008935B7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ավելացման կամ նվազեցման չի հանգեցն</w:t>
      </w:r>
      <w:r w:rsidR="00AB3B88"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558C4175" w14:textId="77777777" w:rsidR="009117E0" w:rsidRPr="00A04873" w:rsidRDefault="009117E0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101F2675" w:rsidR="00C95195" w:rsidRPr="00A04873" w:rsidRDefault="00C9519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2E52F28E" w:rsidR="004B6F0A" w:rsidRDefault="00E60EE1" w:rsidP="008935B7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lang w:val="hy-AM"/>
        </w:rPr>
      </w:pPr>
      <w:r w:rsidRPr="00A04873">
        <w:rPr>
          <w:rFonts w:ascii="GHEA Grapalat" w:hAnsi="GHEA Grapalat"/>
          <w:sz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A04873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A04873">
        <w:rPr>
          <w:rFonts w:ascii="GHEA Grapalat" w:hAnsi="GHEA Grapalat"/>
          <w:sz w:val="24"/>
          <w:lang w:val="hy-AM"/>
        </w:rPr>
        <w:t>։</w:t>
      </w:r>
      <w:r w:rsidR="002151B7" w:rsidRPr="00A04873">
        <w:rPr>
          <w:rFonts w:ascii="GHEA Grapalat" w:hAnsi="GHEA Grapalat"/>
          <w:sz w:val="24"/>
          <w:lang w:val="hy-AM"/>
        </w:rPr>
        <w:t xml:space="preserve"> </w:t>
      </w:r>
    </w:p>
    <w:sectPr w:rsidR="004B6F0A" w:rsidSect="00347AFE">
      <w:pgSz w:w="12240" w:h="15840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8300ECF"/>
    <w:multiLevelType w:val="hybridMultilevel"/>
    <w:tmpl w:val="9B101BA2"/>
    <w:lvl w:ilvl="0" w:tplc="995E4932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9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58D0"/>
    <w:rsid w:val="00006E33"/>
    <w:rsid w:val="0001022F"/>
    <w:rsid w:val="0004330F"/>
    <w:rsid w:val="00052EBE"/>
    <w:rsid w:val="00054F08"/>
    <w:rsid w:val="000717AE"/>
    <w:rsid w:val="0008045C"/>
    <w:rsid w:val="00085B74"/>
    <w:rsid w:val="00095F40"/>
    <w:rsid w:val="0009748B"/>
    <w:rsid w:val="000A7804"/>
    <w:rsid w:val="000B27B1"/>
    <w:rsid w:val="000B5475"/>
    <w:rsid w:val="000D1140"/>
    <w:rsid w:val="000D1BFE"/>
    <w:rsid w:val="000D6E33"/>
    <w:rsid w:val="000E7E81"/>
    <w:rsid w:val="00102B81"/>
    <w:rsid w:val="0011213E"/>
    <w:rsid w:val="001222C1"/>
    <w:rsid w:val="001249BC"/>
    <w:rsid w:val="0013162F"/>
    <w:rsid w:val="00132DD0"/>
    <w:rsid w:val="00142EE2"/>
    <w:rsid w:val="00154130"/>
    <w:rsid w:val="00155381"/>
    <w:rsid w:val="001640F8"/>
    <w:rsid w:val="00173EDB"/>
    <w:rsid w:val="00175B3B"/>
    <w:rsid w:val="00190B2D"/>
    <w:rsid w:val="001B1B4A"/>
    <w:rsid w:val="001D0111"/>
    <w:rsid w:val="001D543F"/>
    <w:rsid w:val="001D7692"/>
    <w:rsid w:val="001F2C9C"/>
    <w:rsid w:val="00204BA0"/>
    <w:rsid w:val="002151B7"/>
    <w:rsid w:val="002223A9"/>
    <w:rsid w:val="00250385"/>
    <w:rsid w:val="002621AC"/>
    <w:rsid w:val="00281E0D"/>
    <w:rsid w:val="002856EE"/>
    <w:rsid w:val="002B6A14"/>
    <w:rsid w:val="002C665A"/>
    <w:rsid w:val="002D24F2"/>
    <w:rsid w:val="002E3CBB"/>
    <w:rsid w:val="00303FE8"/>
    <w:rsid w:val="00312216"/>
    <w:rsid w:val="00322C83"/>
    <w:rsid w:val="00347AFE"/>
    <w:rsid w:val="00353943"/>
    <w:rsid w:val="00353C0A"/>
    <w:rsid w:val="00360346"/>
    <w:rsid w:val="003759FF"/>
    <w:rsid w:val="00375C33"/>
    <w:rsid w:val="00383BD8"/>
    <w:rsid w:val="003B6405"/>
    <w:rsid w:val="003C4377"/>
    <w:rsid w:val="003D7D3D"/>
    <w:rsid w:val="003F1CF6"/>
    <w:rsid w:val="003F2193"/>
    <w:rsid w:val="003F66B9"/>
    <w:rsid w:val="00412D31"/>
    <w:rsid w:val="00412F93"/>
    <w:rsid w:val="00416B04"/>
    <w:rsid w:val="004220A2"/>
    <w:rsid w:val="004231C5"/>
    <w:rsid w:val="00425E8A"/>
    <w:rsid w:val="00443CBC"/>
    <w:rsid w:val="004450B4"/>
    <w:rsid w:val="00451EE7"/>
    <w:rsid w:val="00453C84"/>
    <w:rsid w:val="00454F72"/>
    <w:rsid w:val="00463429"/>
    <w:rsid w:val="0046524C"/>
    <w:rsid w:val="00471F2A"/>
    <w:rsid w:val="00473735"/>
    <w:rsid w:val="00473BDF"/>
    <w:rsid w:val="004814F2"/>
    <w:rsid w:val="004915F3"/>
    <w:rsid w:val="00494A01"/>
    <w:rsid w:val="00495257"/>
    <w:rsid w:val="004A1A4D"/>
    <w:rsid w:val="004B039A"/>
    <w:rsid w:val="004B35C5"/>
    <w:rsid w:val="004B6F0A"/>
    <w:rsid w:val="004C725C"/>
    <w:rsid w:val="004E230E"/>
    <w:rsid w:val="004E4B69"/>
    <w:rsid w:val="004E500F"/>
    <w:rsid w:val="0050157E"/>
    <w:rsid w:val="005052FF"/>
    <w:rsid w:val="005106B7"/>
    <w:rsid w:val="005330CD"/>
    <w:rsid w:val="0053545D"/>
    <w:rsid w:val="005474E0"/>
    <w:rsid w:val="00562066"/>
    <w:rsid w:val="00567CDF"/>
    <w:rsid w:val="00580A33"/>
    <w:rsid w:val="00591539"/>
    <w:rsid w:val="00594990"/>
    <w:rsid w:val="00596A7E"/>
    <w:rsid w:val="005C1789"/>
    <w:rsid w:val="005D19CD"/>
    <w:rsid w:val="005E3CE0"/>
    <w:rsid w:val="005E4272"/>
    <w:rsid w:val="005F4DD3"/>
    <w:rsid w:val="00601E68"/>
    <w:rsid w:val="00606A3A"/>
    <w:rsid w:val="00606DDD"/>
    <w:rsid w:val="00614B3D"/>
    <w:rsid w:val="00616624"/>
    <w:rsid w:val="0063176D"/>
    <w:rsid w:val="0063182D"/>
    <w:rsid w:val="006345FA"/>
    <w:rsid w:val="00636C1E"/>
    <w:rsid w:val="00641304"/>
    <w:rsid w:val="0065531F"/>
    <w:rsid w:val="0065583E"/>
    <w:rsid w:val="00662B06"/>
    <w:rsid w:val="006968C9"/>
    <w:rsid w:val="00696ABF"/>
    <w:rsid w:val="006B4940"/>
    <w:rsid w:val="006C0C8B"/>
    <w:rsid w:val="006C3CC4"/>
    <w:rsid w:val="006C7173"/>
    <w:rsid w:val="006C77C2"/>
    <w:rsid w:val="006D4664"/>
    <w:rsid w:val="006D5F10"/>
    <w:rsid w:val="006D7E9C"/>
    <w:rsid w:val="006E14A2"/>
    <w:rsid w:val="006F7784"/>
    <w:rsid w:val="00714BE0"/>
    <w:rsid w:val="00715BA5"/>
    <w:rsid w:val="007215E5"/>
    <w:rsid w:val="007269AB"/>
    <w:rsid w:val="00747F8F"/>
    <w:rsid w:val="0075170A"/>
    <w:rsid w:val="00765AF0"/>
    <w:rsid w:val="00792122"/>
    <w:rsid w:val="00792BFE"/>
    <w:rsid w:val="007B4A33"/>
    <w:rsid w:val="007C0377"/>
    <w:rsid w:val="007C0F0E"/>
    <w:rsid w:val="007C5A56"/>
    <w:rsid w:val="007C7047"/>
    <w:rsid w:val="007D581D"/>
    <w:rsid w:val="007E6474"/>
    <w:rsid w:val="007F50CE"/>
    <w:rsid w:val="007F6485"/>
    <w:rsid w:val="007F693B"/>
    <w:rsid w:val="00800634"/>
    <w:rsid w:val="00801FD3"/>
    <w:rsid w:val="008137A8"/>
    <w:rsid w:val="00824803"/>
    <w:rsid w:val="008262EB"/>
    <w:rsid w:val="00830D45"/>
    <w:rsid w:val="008324E0"/>
    <w:rsid w:val="00833476"/>
    <w:rsid w:val="00841359"/>
    <w:rsid w:val="00854099"/>
    <w:rsid w:val="008572C8"/>
    <w:rsid w:val="008935B7"/>
    <w:rsid w:val="008A4464"/>
    <w:rsid w:val="008A564D"/>
    <w:rsid w:val="008E29F2"/>
    <w:rsid w:val="008E5805"/>
    <w:rsid w:val="009056A1"/>
    <w:rsid w:val="009117E0"/>
    <w:rsid w:val="009138BA"/>
    <w:rsid w:val="00925DD8"/>
    <w:rsid w:val="00930607"/>
    <w:rsid w:val="00941A24"/>
    <w:rsid w:val="00942AA1"/>
    <w:rsid w:val="009464BF"/>
    <w:rsid w:val="00954E18"/>
    <w:rsid w:val="0096628E"/>
    <w:rsid w:val="0097389F"/>
    <w:rsid w:val="00983456"/>
    <w:rsid w:val="009852EE"/>
    <w:rsid w:val="00995F39"/>
    <w:rsid w:val="009B2386"/>
    <w:rsid w:val="009B27CD"/>
    <w:rsid w:val="009B2965"/>
    <w:rsid w:val="009B3D97"/>
    <w:rsid w:val="009C7643"/>
    <w:rsid w:val="009E23C0"/>
    <w:rsid w:val="009F4205"/>
    <w:rsid w:val="009F6C3B"/>
    <w:rsid w:val="00A01F81"/>
    <w:rsid w:val="00A04873"/>
    <w:rsid w:val="00A15A05"/>
    <w:rsid w:val="00A23F41"/>
    <w:rsid w:val="00A252F8"/>
    <w:rsid w:val="00A316CB"/>
    <w:rsid w:val="00A317DB"/>
    <w:rsid w:val="00A43EA1"/>
    <w:rsid w:val="00A53872"/>
    <w:rsid w:val="00A61CD8"/>
    <w:rsid w:val="00A82E1D"/>
    <w:rsid w:val="00A8328D"/>
    <w:rsid w:val="00A86EB4"/>
    <w:rsid w:val="00AA4580"/>
    <w:rsid w:val="00AB2D48"/>
    <w:rsid w:val="00AB3B88"/>
    <w:rsid w:val="00AC51CB"/>
    <w:rsid w:val="00AD2139"/>
    <w:rsid w:val="00AD4F21"/>
    <w:rsid w:val="00AE1E8A"/>
    <w:rsid w:val="00AF16E0"/>
    <w:rsid w:val="00AF259E"/>
    <w:rsid w:val="00B02553"/>
    <w:rsid w:val="00B03C89"/>
    <w:rsid w:val="00B10D00"/>
    <w:rsid w:val="00B1324F"/>
    <w:rsid w:val="00B21D11"/>
    <w:rsid w:val="00B22629"/>
    <w:rsid w:val="00B2440A"/>
    <w:rsid w:val="00B35BAF"/>
    <w:rsid w:val="00B52A90"/>
    <w:rsid w:val="00B610E9"/>
    <w:rsid w:val="00B70074"/>
    <w:rsid w:val="00B710C5"/>
    <w:rsid w:val="00BA0035"/>
    <w:rsid w:val="00BA0B64"/>
    <w:rsid w:val="00BD258A"/>
    <w:rsid w:val="00BD7CD7"/>
    <w:rsid w:val="00BD7E67"/>
    <w:rsid w:val="00C209B4"/>
    <w:rsid w:val="00C21520"/>
    <w:rsid w:val="00C22D77"/>
    <w:rsid w:val="00C25091"/>
    <w:rsid w:val="00C53AA7"/>
    <w:rsid w:val="00C63A67"/>
    <w:rsid w:val="00C75A55"/>
    <w:rsid w:val="00C75FF6"/>
    <w:rsid w:val="00C814E2"/>
    <w:rsid w:val="00C81F37"/>
    <w:rsid w:val="00C82A22"/>
    <w:rsid w:val="00C94D63"/>
    <w:rsid w:val="00C95195"/>
    <w:rsid w:val="00C95DC5"/>
    <w:rsid w:val="00CA43D0"/>
    <w:rsid w:val="00CA54E0"/>
    <w:rsid w:val="00CD78A8"/>
    <w:rsid w:val="00CE27AF"/>
    <w:rsid w:val="00CE5C24"/>
    <w:rsid w:val="00CE79AD"/>
    <w:rsid w:val="00CF6BB2"/>
    <w:rsid w:val="00D252A4"/>
    <w:rsid w:val="00D25A13"/>
    <w:rsid w:val="00D30AE5"/>
    <w:rsid w:val="00D40E35"/>
    <w:rsid w:val="00D42A30"/>
    <w:rsid w:val="00DA0663"/>
    <w:rsid w:val="00DA1A6D"/>
    <w:rsid w:val="00DB3E79"/>
    <w:rsid w:val="00DB607E"/>
    <w:rsid w:val="00DC2424"/>
    <w:rsid w:val="00DC7454"/>
    <w:rsid w:val="00DD4F1F"/>
    <w:rsid w:val="00DF78EB"/>
    <w:rsid w:val="00E13995"/>
    <w:rsid w:val="00E142D3"/>
    <w:rsid w:val="00E267F1"/>
    <w:rsid w:val="00E32830"/>
    <w:rsid w:val="00E47FBD"/>
    <w:rsid w:val="00E510FC"/>
    <w:rsid w:val="00E5306C"/>
    <w:rsid w:val="00E56523"/>
    <w:rsid w:val="00E60EE1"/>
    <w:rsid w:val="00E75571"/>
    <w:rsid w:val="00E76D92"/>
    <w:rsid w:val="00E8144F"/>
    <w:rsid w:val="00E84817"/>
    <w:rsid w:val="00E85DCA"/>
    <w:rsid w:val="00E85FA2"/>
    <w:rsid w:val="00E87960"/>
    <w:rsid w:val="00E87F3C"/>
    <w:rsid w:val="00E96BAF"/>
    <w:rsid w:val="00EA5FA3"/>
    <w:rsid w:val="00EB0FBD"/>
    <w:rsid w:val="00EC2154"/>
    <w:rsid w:val="00F125BA"/>
    <w:rsid w:val="00F161CF"/>
    <w:rsid w:val="00F25BA7"/>
    <w:rsid w:val="00F2700B"/>
    <w:rsid w:val="00F3340D"/>
    <w:rsid w:val="00F536B7"/>
    <w:rsid w:val="00F57540"/>
    <w:rsid w:val="00F60EA0"/>
    <w:rsid w:val="00F647E7"/>
    <w:rsid w:val="00F649D5"/>
    <w:rsid w:val="00F65215"/>
    <w:rsid w:val="00F7380A"/>
    <w:rsid w:val="00F841D8"/>
    <w:rsid w:val="00F84366"/>
    <w:rsid w:val="00F84B9C"/>
    <w:rsid w:val="00F85DB6"/>
    <w:rsid w:val="00F93BFA"/>
    <w:rsid w:val="00F94625"/>
    <w:rsid w:val="00FA5AF2"/>
    <w:rsid w:val="00FD1245"/>
    <w:rsid w:val="00FD1534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Arusyak Aghajanyan</cp:lastModifiedBy>
  <cp:revision>13</cp:revision>
  <dcterms:created xsi:type="dcterms:W3CDTF">2024-02-23T12:18:00Z</dcterms:created>
  <dcterms:modified xsi:type="dcterms:W3CDTF">2024-03-01T11:55:00Z</dcterms:modified>
</cp:coreProperties>
</file>