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1BA77" w14:textId="097B651C" w:rsidR="00197339" w:rsidRPr="003E00FE" w:rsidRDefault="00352CE2" w:rsidP="003E00FE">
      <w:pPr>
        <w:tabs>
          <w:tab w:val="left" w:pos="851"/>
        </w:tabs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3E00FE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14:paraId="327B2D11" w14:textId="31C4B812" w:rsidR="00197339" w:rsidRPr="003E00FE" w:rsidRDefault="00352CE2" w:rsidP="003E00FE">
      <w:pPr>
        <w:tabs>
          <w:tab w:val="left" w:pos="851"/>
        </w:tabs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3E00FE">
        <w:rPr>
          <w:rFonts w:ascii="GHEA Grapalat" w:eastAsia="Calibri" w:hAnsi="GHEA Grapalat" w:cs="Times New Roman"/>
          <w:b/>
          <w:sz w:val="24"/>
          <w:szCs w:val="24"/>
          <w:lang w:val="hy-AM"/>
        </w:rPr>
        <w:t></w:t>
      </w:r>
      <w:r w:rsidRPr="003E00F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ԿԱՌԱՎԱՐՈՒԹՅԱՆ 2022 ԹՎԱԿԱՆԻ ՄԱՐՏԻ 10-Ի N 312-Լ ՈՐՈՇՄԱՆ ՄԵՋ ԼՐԱՑՈՒՄ</w:t>
      </w:r>
      <w:r w:rsidR="00182BD4" w:rsidRPr="003E00F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ՆԵՐ ԵՎ ՓՈՓՈԽՈՒԹՅՈՒՆ </w:t>
      </w:r>
      <w:r w:rsidRPr="003E00F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ԿԱՏԱՐԵԼՈՒ ԵՎ ՀԱՅԱՍՏԱՆԻ ՀԱՆՐԱՊԵՏՈՒԹՅԱՆ ԿԱՌԱՎԱՐՈՒԹՅԱՆ 2020 ԹՎԱԿԱՆԻ ԴԵԿՏԵՄԲԵՐԻ 28-Ի N 2195-Լ ՈՐՈՇՈՒՄՆ ՈՒԺԸ ԿՈՐՑՐԱԾ ՃԱՆԱՉԵԼՈՒ ՄԱՍԻՆ</w:t>
      </w:r>
      <w:r w:rsidRPr="003E00F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ՀԱՅԱՍՏԱՆԻ ՀԱՆՐԱՊԵՏՈՒԹՅԱՆ ԿԱՌԱՎԱՐՈՒԹՅԱՆ ՈՐՈՇ</w:t>
      </w:r>
      <w:r w:rsidR="00EB4644" w:rsidRPr="003E00FE">
        <w:rPr>
          <w:rFonts w:ascii="GHEA Grapalat" w:eastAsia="Calibri" w:hAnsi="GHEA Grapalat" w:cs="Times New Roman"/>
          <w:b/>
          <w:sz w:val="24"/>
          <w:szCs w:val="24"/>
          <w:lang w:val="hy-AM"/>
        </w:rPr>
        <w:t>ՄԱՆ</w:t>
      </w:r>
      <w:r w:rsidRPr="003E00F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ՆԱԽԱԳԾԻ ԸՆԴՈՒՆՄԱՆ</w:t>
      </w:r>
    </w:p>
    <w:p w14:paraId="46D52DB9" w14:textId="77777777" w:rsidR="003A4991" w:rsidRPr="003E00FE" w:rsidRDefault="003A4991" w:rsidP="003E00FE">
      <w:pPr>
        <w:shd w:val="clear" w:color="auto" w:fill="FFFFFF"/>
        <w:spacing w:after="0" w:line="360" w:lineRule="auto"/>
        <w:ind w:right="-720"/>
        <w:jc w:val="center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14:paraId="7B47DE1B" w14:textId="77777777" w:rsidR="003A4991" w:rsidRPr="003E00FE" w:rsidRDefault="003A4991" w:rsidP="003E00FE">
      <w:pPr>
        <w:numPr>
          <w:ilvl w:val="0"/>
          <w:numId w:val="15"/>
        </w:numPr>
        <w:shd w:val="clear" w:color="auto" w:fill="FFFFFF"/>
        <w:tabs>
          <w:tab w:val="left" w:pos="1080"/>
        </w:tabs>
        <w:spacing w:after="0" w:line="360" w:lineRule="auto"/>
        <w:ind w:left="0" w:right="-720"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</w:pPr>
      <w:r w:rsidRPr="003E00FE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Կարգավորման ենթակա խնդիրը.</w:t>
      </w:r>
    </w:p>
    <w:p w14:paraId="0F20B217" w14:textId="356060F4" w:rsidR="003A4991" w:rsidRPr="003E00FE" w:rsidRDefault="00352CE2" w:rsidP="003E00FE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Հայաստանի Հանրապետության կառավարության 2022 թվականի մարտի 10-ի </w:t>
      </w:r>
      <w:r w:rsidRPr="003E00FE">
        <w:rPr>
          <w:rFonts w:ascii="GHEA Grapalat" w:eastAsia="Times New Roman" w:hAnsi="GHEA Grapalat" w:cs="Sylfaen"/>
          <w:sz w:val="24"/>
          <w:szCs w:val="24"/>
          <w:lang w:val="fr-FR"/>
        </w:rPr>
        <w:t>N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312-Ն որոշման մեջ լրացում</w:t>
      </w:r>
      <w:r w:rsidR="00182BD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ներ և փոփոխություն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կատարելու և Հայաստանի Հանրապետության կառավարության 2020 թվականի դեկտեմբերի 28-ի </w:t>
      </w:r>
      <w:r w:rsidRPr="003E00FE">
        <w:rPr>
          <w:rFonts w:ascii="GHEA Grapalat" w:eastAsia="Times New Roman" w:hAnsi="GHEA Grapalat" w:cs="Sylfaen"/>
          <w:sz w:val="24"/>
          <w:szCs w:val="24"/>
          <w:lang w:val="fr-FR"/>
        </w:rPr>
        <w:t>N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2195-Լ որոշումն ուժը կորցրած ճանաչելու մասին </w:t>
      </w:r>
      <w:r w:rsidR="0004578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կառավարության որոշ</w:t>
      </w:r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ման</w:t>
      </w:r>
      <w:r w:rsidR="00045784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նախագծով </w:t>
      </w:r>
      <w:r w:rsidR="00045784" w:rsidRPr="003E00FE">
        <w:rPr>
          <w:rFonts w:ascii="GHEA Grapalat" w:eastAsia="Times New Roman" w:hAnsi="GHEA Grapalat" w:cs="Sylfaen"/>
          <w:sz w:val="24"/>
          <w:szCs w:val="24"/>
          <w:lang w:val="fr-FR"/>
        </w:rPr>
        <w:t>(</w:t>
      </w:r>
      <w:r w:rsidR="0004578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այսուհետ՝ Նախագ</w:t>
      </w:r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="00045784" w:rsidRPr="003E00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) </w:t>
      </w:r>
      <w:r w:rsidR="0004578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ւժը կորցրած </w:t>
      </w:r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ճանաչվում Հայաստանի Հանրապետության կառավարության 2020 թվականի դեկտեմբերի 28-ի N 2195-Լ որոշումը</w:t>
      </w:r>
      <w:r w:rsidRPr="003E00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`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հաշվի առնելով 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>ՀՀ կառավարության 2022 թվականի մարտի 10-ի N 312-Լ որոշ</w:t>
      </w:r>
      <w:r w:rsidR="0004578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մամբ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proofErr w:type="spellStart"/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Եվրասիական</w:t>
      </w:r>
      <w:proofErr w:type="spellEnd"/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տնտեսական միությունում ապրանքների նույնականացման միջոցներով դրոշմավորման մասին» համաձայնագրով սահմանված </w:t>
      </w:r>
      <w:proofErr w:type="spellStart"/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Եվրասիական</w:t>
      </w:r>
      <w:proofErr w:type="spellEnd"/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տնտեսական միության շրջանակներում նույնականացման միջոցներով ապրանքների դրոշմավորման ազգային օպերատոր սահմանված լինելու հանգամանքը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Միաժամանակ, ՀՀ կառավարության 2022 թվականի մարտի 10-ի N 312-Լ որոշման մեջ լրացումներ են կատար</w:t>
      </w:r>
      <w:r w:rsidR="009A2148">
        <w:rPr>
          <w:rFonts w:ascii="GHEA Grapalat" w:eastAsia="Times New Roman" w:hAnsi="GHEA Grapalat" w:cs="Sylfaen"/>
          <w:sz w:val="24"/>
          <w:szCs w:val="24"/>
          <w:lang w:val="hy-AM"/>
        </w:rPr>
        <w:t>ելով</w:t>
      </w:r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՝ սահման</w:t>
      </w:r>
      <w:r w:rsidR="009A21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վում են </w:t>
      </w:r>
      <w:bookmarkStart w:id="0" w:name="_GoBack"/>
      <w:bookmarkEnd w:id="0"/>
      <w:proofErr w:type="spellStart"/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Եվրասիական</w:t>
      </w:r>
      <w:proofErr w:type="spellEnd"/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տնտեսական միությունում նույնականացման միջոցներով ապրանքների դրոշմավորման լիազորված մարմին, լիազորված մարմնի կողմից </w:t>
      </w:r>
      <w:proofErr w:type="spellStart"/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Եվրասիական</w:t>
      </w:r>
      <w:proofErr w:type="spellEnd"/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տնտեսական միության շրջանակներում նույնականացման միջոցներով ապրանքների դրոշմավորման ազգային օպերատոր «Հեռանկարային տեխնոլոգիաների զարգացման կենտրոն-Արմենիա» ՍՊԸ-ի հետ պայմանագիր կնքելու հետ կապված </w:t>
      </w:r>
      <w:proofErr w:type="spellStart"/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կանոնակարգումներ</w:t>
      </w:r>
      <w:proofErr w:type="spellEnd"/>
      <w:r w:rsidR="00EB4644" w:rsidRPr="003E00FE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745CCEA1" w14:textId="77777777" w:rsidR="003A4991" w:rsidRPr="003E00FE" w:rsidRDefault="003A4991" w:rsidP="003E00FE">
      <w:pPr>
        <w:spacing w:after="0" w:line="360" w:lineRule="auto"/>
        <w:jc w:val="both"/>
        <w:rPr>
          <w:rFonts w:ascii="GHEA Grapalat" w:eastAsia="Calibri" w:hAnsi="GHEA Grapalat" w:cs="Cambria Math"/>
          <w:b/>
          <w:bCs/>
          <w:sz w:val="24"/>
          <w:szCs w:val="24"/>
          <w:lang w:val="hy-AM"/>
        </w:rPr>
      </w:pPr>
      <w:r w:rsidRPr="003E00FE">
        <w:rPr>
          <w:rFonts w:ascii="Calibri" w:eastAsia="Calibri" w:hAnsi="Calibri" w:cs="Calibri"/>
          <w:color w:val="000000"/>
          <w:sz w:val="24"/>
          <w:szCs w:val="24"/>
          <w:lang w:val="hy-AM"/>
        </w:rPr>
        <w:t>  </w:t>
      </w:r>
      <w:r w:rsidRPr="003E00FE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 xml:space="preserve"> </w:t>
      </w:r>
      <w:r w:rsidRPr="003E00FE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ab/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</w:t>
      </w:r>
      <w:r w:rsidRPr="003E00FE">
        <w:rPr>
          <w:rFonts w:ascii="Cambria Math" w:eastAsia="Calibri" w:hAnsi="Cambria Math" w:cs="Cambria Math"/>
          <w:b/>
          <w:bCs/>
          <w:sz w:val="24"/>
          <w:szCs w:val="24"/>
          <w:lang w:val="hy-AM"/>
        </w:rPr>
        <w:t>․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Ընթացիկ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իրավիճակը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և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իրավական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ակտի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ընդունման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fr-FR"/>
        </w:rPr>
        <w:t xml:space="preserve"> </w:t>
      </w:r>
      <w:r w:rsidRPr="003E00F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անհրաժեշտությունը</w:t>
      </w:r>
      <w:r w:rsidRPr="003E00FE">
        <w:rPr>
          <w:rFonts w:ascii="Cambria Math" w:eastAsia="Calibri" w:hAnsi="Cambria Math" w:cs="Cambria Math"/>
          <w:b/>
          <w:bCs/>
          <w:sz w:val="24"/>
          <w:szCs w:val="24"/>
          <w:lang w:val="hy-AM"/>
        </w:rPr>
        <w:t>․</w:t>
      </w:r>
    </w:p>
    <w:p w14:paraId="60DE823F" w14:textId="7BB10012" w:rsidR="003A4991" w:rsidRPr="003E00FE" w:rsidRDefault="003A4991" w:rsidP="003E00FE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Եվրասիական տնտեսական հանձնաժողովի խորհրդի </w:t>
      </w:r>
      <w:r w:rsidRPr="003E00F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2019 թվականի օգոստոսի 8-ի «Նույնականացման միջոցներով</w:t>
      </w:r>
      <w:r w:rsidRPr="003E00F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կոշկեղենի դրոշմավորում սահմանելու մասին» N 72 որոշման </w:t>
      </w:r>
      <w:r w:rsidR="00E74041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(այսուհետ՝ Որոշում)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2-րդ կետի երկրորդ պարբերության </w:t>
      </w:r>
      <w:r w:rsidR="00352CE2" w:rsidRPr="003E00FE">
        <w:rPr>
          <w:rFonts w:ascii="GHEA Grapalat" w:eastAsia="Times New Roman" w:hAnsi="GHEA Grapalat" w:cs="Sylfaen"/>
          <w:sz w:val="24"/>
          <w:szCs w:val="24"/>
          <w:lang w:val="hy-AM"/>
        </w:rPr>
        <w:t>հիմքով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անդամ պետությունները նույնականացման միջոցներով դրոշմավորված կոշկեղենի անարգել շրջանառությունն ապահովելու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նպատակներով </w:t>
      </w:r>
      <w:r w:rsidRPr="003E00FE">
        <w:rPr>
          <w:rFonts w:ascii="GHEA Grapalat" w:eastAsia="Times New Roman" w:hAnsi="GHEA Grapalat" w:cs="Sylfaen"/>
          <w:b/>
          <w:sz w:val="24"/>
          <w:szCs w:val="24"/>
          <w:lang w:val="hy-AM"/>
        </w:rPr>
        <w:t>սահմանում կամ նշանակում են ազգային օպերատորների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։ Վերոնշյալ կետի ապահովման համար ՀՀ կառավարության կողմից ընդունվել են ՀՀ կառավարության 2020 թվականի դեկտեմբերի 28-ի N 2195-Լ և ՀՀ կառավարության 2020 թվականի սեպտեմբերի 24-ի N 1565-Ն որոշումները։ </w:t>
      </w:r>
    </w:p>
    <w:p w14:paraId="496E16C4" w14:textId="222AFDFF" w:rsidR="00E74041" w:rsidRPr="003E00FE" w:rsidRDefault="001C5D74" w:rsidP="003E00FE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Հաշվի առնելով այն հանգամանքը, որ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Եվրասիական տնտեսական հանձնաժողովի խորհրդի 2019 թվականի օգոստոսի 8-ի N 72 որոշումը սահմանում է միայն կոշկեղենի դրոշմավորումը, </w:t>
      </w:r>
      <w:r w:rsidR="006D7F4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միաժամանակ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Որոշման համաձայն</w:t>
      </w:r>
      <w:r w:rsidR="006D7F4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անդամ պետությունները ազգային օպերատորներին սահմանում կամ նշանակում են, այսինքն՝ ազգային օպերատորները չեն  ընտրվում մրցույթի արդյունքների հիման վրա, </w:t>
      </w:r>
      <w:r w:rsidR="006D7F4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ինչը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նախատեսված չէ նաև Եվրասիական տնտեսական միության անդամ պետությունների օրենսդրությամբ, </w:t>
      </w:r>
      <w:r w:rsidR="006D7F4F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միևնույն ժամանակ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2022 թվականի մարտի 10-ի N 312-Լ որոշման 3-րդ կետով </w:t>
      </w:r>
      <w:r w:rsidR="006D7F4F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արդեն իսկ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սահմանվել է «Եվրասիական տնտեսական միությունում ապրանքների նույնականացման միջոցներով դրոշմավորման մասին» համաձայնագրով սահմանված Եվրասիական տնտեսական միության շրջանակներում նույնականացման միջոցներով ապրանքների դրոշմավորման ազգային օպերատոր («Հեռանկարային տեխնոլոգիաների զարգացման կենտրոն-Արմենիա» ՍՊԸ)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հետևաբար </w:t>
      </w:r>
      <w:r w:rsidR="00A01D8A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նշված պայ</w:t>
      </w:r>
      <w:r w:rsidR="006D7F4F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մաններում </w:t>
      </w:r>
      <w:r w:rsidR="00EB4DD6" w:rsidRPr="003E00FE">
        <w:rPr>
          <w:rFonts w:ascii="GHEA Grapalat" w:eastAsia="Times New Roman" w:hAnsi="GHEA Grapalat" w:cs="Sylfaen"/>
          <w:sz w:val="24"/>
          <w:szCs w:val="24"/>
          <w:lang w:val="hy-AM"/>
        </w:rPr>
        <w:t>բացակայում է Հայաստանի Հանրապետության կառավարության 2020 թվականի դեկտեմբերի 28-ի N 2195-Լ որոշ</w:t>
      </w:r>
      <w:r w:rsidR="0033177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ման</w:t>
      </w:r>
      <w:r w:rsidR="00EB4DD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52CE2" w:rsidRPr="003E00FE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</w:t>
      </w:r>
      <w:r w:rsidR="00EB4DD6" w:rsidRPr="003E00FE">
        <w:rPr>
          <w:rFonts w:ascii="GHEA Grapalat" w:eastAsia="Times New Roman" w:hAnsi="GHEA Grapalat" w:cs="Sylfaen"/>
          <w:sz w:val="24"/>
          <w:szCs w:val="24"/>
          <w:lang w:val="hy-AM"/>
        </w:rPr>
        <w:t>ը, ուստի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52CE2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Նախագծով 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ուժը կորցրած </w:t>
      </w:r>
      <w:r w:rsidR="0033177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EB4DD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>ճանաչ</w:t>
      </w:r>
      <w:r w:rsidR="00EB4DD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վում նշված որոշումը։ </w:t>
      </w:r>
      <w:r w:rsidR="003A4991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6C14B196" w14:textId="7F491A7D" w:rsidR="00352CE2" w:rsidRPr="003E00FE" w:rsidRDefault="0082416E" w:rsidP="003E00FE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Հարկ ենք համարում նշել, որ 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Հայաստանի Հանրապետության կառավարության 2022 թվականի մարտի 10-ի N 312-Ն որոշման մեջ լրացում կատարելու և Հայաստանի Հանրապետության կառավարության 2020 թվականի դեկտեմբերի 28-ի N 2195-Լ որոշումն ուժը կորցրած ճանաչելու մասին Հայաստանի Հանրապետության կառավարության որոշման նախագծով </w:t>
      </w:r>
      <w:r w:rsidR="00352CE2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2022 թվականի մարտի 10-ի N 312-Լ որոշման 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352CE2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>րացում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կատարվում՝ սահմանելով 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Եվրասիական տնտեսական միությունում նույնականացման միջոցներով ապրանքների դրոշմավորման լիազոր</w:t>
      </w:r>
      <w:r w:rsidR="00727E73" w:rsidRPr="003E00FE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մարմին, 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="00727E73" w:rsidRPr="003E00FE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մարմնի կողմից Եվրասիական տնտեսական միության շրջանակներում նույնականացման միջոցներով ապրանքների դրոշմավորման ազգային օպերատոր «Հեռանկարային տեխնոլոգիաների զարգացման կենտրոն-Արմենիա» ՍՊԸ-ի հետ պայմանագիր կ</w:t>
      </w:r>
      <w:r w:rsidR="00B72803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նքելու հետ կապված կա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նոնակարգում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2F9349E7" w14:textId="77777777" w:rsidR="003A4991" w:rsidRPr="003E00FE" w:rsidRDefault="003A4991" w:rsidP="003E00FE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r w:rsidRPr="003E00F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3</w:t>
      </w:r>
      <w:r w:rsidRPr="003E00FE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3E00F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Առաջարկվող</w:t>
      </w:r>
      <w:r w:rsidRPr="003E00FE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3E00F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կարգավորման</w:t>
      </w:r>
      <w:r w:rsidRPr="003E00FE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3E00F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բնույթը</w:t>
      </w:r>
      <w:r w:rsidRPr="003E00FE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.</w:t>
      </w:r>
    </w:p>
    <w:p w14:paraId="4086EFCB" w14:textId="4093AAEA" w:rsidR="003A4991" w:rsidRPr="003E00FE" w:rsidRDefault="003A4991" w:rsidP="003E00FE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E00FE">
        <w:rPr>
          <w:rFonts w:ascii="GHEA Grapalat" w:eastAsia="Times New Roman" w:hAnsi="GHEA Grapalat" w:cs="Sylfaen"/>
          <w:sz w:val="24"/>
          <w:szCs w:val="24"/>
          <w:lang w:val="af-ZA"/>
        </w:rPr>
        <w:t xml:space="preserve">Հաշվի առնելով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«Նորմատիվ իրավական ակտերի մասին» ՀՀ օրենքի 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34-րդ հոդվածի 2-րդ մասը, այն է՝ նորմատիվ իրավական ակտում փոփոխություն կամ լրացում կարող է կատարվել միայն 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նույն տեսակի և բնույթի նորմատիվ իրավական ակտով և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6E0FA9" w:rsidRPr="003E00FE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հոդվածի </w:t>
      </w:r>
      <w:r w:rsidR="006E0FA9" w:rsidRPr="003E00FE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6E0FA9" w:rsidRPr="003E00FE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մասը, այն է՝ </w:t>
      </w:r>
      <w:r w:rsidR="006E0FA9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նորմատիվ իրավական ակտը, բացառությամբ Սահմանադրության, ուժը կորցրած է ճանաչվում իրավաստեղծ մարմնի, դրա իրավահաջորդի կամ համապատասխան լիազորություններով օժտված մարմնի որոշմամբ</w:t>
      </w:r>
      <w:r w:rsidRPr="003E00FE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մշակվել</w:t>
      </w:r>
      <w:r w:rsidRPr="003E00F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</w:t>
      </w:r>
      <w:r w:rsidR="00A309A7" w:rsidRPr="003E00FE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ծը</w:t>
      </w:r>
      <w:r w:rsidRPr="003E00FE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14:paraId="13AA2686" w14:textId="77777777" w:rsidR="003A4991" w:rsidRPr="003E00FE" w:rsidRDefault="003A4991" w:rsidP="003E00FE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Sylfaen"/>
          <w:b/>
          <w:sz w:val="24"/>
          <w:szCs w:val="24"/>
          <w:lang w:val="hy-AM"/>
        </w:rPr>
        <w:t>4</w:t>
      </w:r>
      <w:r w:rsidRPr="003E00FE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3E00F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Նախագծի մշակման գործընթացում ներգրավված ինստիտուտները և անձինք.</w:t>
      </w:r>
    </w:p>
    <w:p w14:paraId="0194AC1D" w14:textId="656FEB2C" w:rsidR="003A4991" w:rsidRPr="003E00FE" w:rsidRDefault="003A4991" w:rsidP="003E00FE">
      <w:pPr>
        <w:shd w:val="clear" w:color="auto" w:fill="FFFFFF"/>
        <w:spacing w:after="0" w:line="360" w:lineRule="auto"/>
        <w:ind w:right="-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Նախագ</w:t>
      </w:r>
      <w:r w:rsidR="00A309A7" w:rsidRPr="003E00FE">
        <w:rPr>
          <w:rFonts w:ascii="GHEA Grapalat" w:eastAsia="Times New Roman" w:hAnsi="GHEA Grapalat" w:cs="Sylfaen"/>
          <w:sz w:val="24"/>
          <w:szCs w:val="24"/>
          <w:lang w:val="hy-AM"/>
        </w:rPr>
        <w:t>իծ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 մշակվել </w:t>
      </w:r>
      <w:r w:rsidR="00A309A7" w:rsidRPr="003E00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ՀՀ ՊԵԿ կողմից:</w:t>
      </w:r>
    </w:p>
    <w:p w14:paraId="3F9B8850" w14:textId="77777777" w:rsidR="003A4991" w:rsidRPr="003E00FE" w:rsidRDefault="003A4991" w:rsidP="003E00FE">
      <w:pPr>
        <w:tabs>
          <w:tab w:val="left" w:pos="1620"/>
        </w:tabs>
        <w:spacing w:after="0" w:line="360" w:lineRule="auto"/>
        <w:ind w:right="-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5. </w:t>
      </w:r>
      <w:r w:rsidRPr="003E00F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CC92C3F" w14:textId="7212B5C6" w:rsidR="003A4991" w:rsidRPr="003E00FE" w:rsidRDefault="003A4991" w:rsidP="003E00FE">
      <w:pPr>
        <w:autoSpaceDE w:val="0"/>
        <w:autoSpaceDN w:val="0"/>
        <w:adjustRightInd w:val="0"/>
        <w:spacing w:after="0" w:line="360" w:lineRule="auto"/>
        <w:ind w:right="5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Arial"/>
          <w:sz w:val="24"/>
          <w:szCs w:val="24"/>
          <w:lang w:val="hy-AM"/>
        </w:rPr>
        <w:t>Նախագծ</w:t>
      </w:r>
      <w:r w:rsidR="00132646" w:rsidRPr="003E00F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3E00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E00FE">
        <w:rPr>
          <w:rFonts w:ascii="GHEA Grapalat" w:eastAsia="Times New Roman" w:hAnsi="GHEA Grapalat" w:cs="Arial"/>
          <w:sz w:val="24"/>
          <w:szCs w:val="24"/>
          <w:lang w:val="hy-AM"/>
        </w:rPr>
        <w:t>ընդունումը</w:t>
      </w:r>
      <w:r w:rsidRPr="003E00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E00FE">
        <w:rPr>
          <w:rFonts w:ascii="GHEA Grapalat" w:eastAsia="Times New Roman" w:hAnsi="GHEA Grapalat" w:cs="Arial"/>
          <w:sz w:val="24"/>
          <w:szCs w:val="24"/>
          <w:lang w:val="hy-AM"/>
        </w:rPr>
        <w:t>անմիջականորեն</w:t>
      </w:r>
      <w:r w:rsidRPr="003E00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E00FE">
        <w:rPr>
          <w:rFonts w:ascii="GHEA Grapalat" w:eastAsia="Times New Roman" w:hAnsi="GHEA Grapalat" w:cs="Arial"/>
          <w:sz w:val="24"/>
          <w:szCs w:val="24"/>
          <w:lang w:val="hy-AM"/>
        </w:rPr>
        <w:t>չի</w:t>
      </w:r>
      <w:r w:rsidRPr="003E00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E00FE">
        <w:rPr>
          <w:rFonts w:ascii="GHEA Grapalat" w:eastAsia="Times New Roman" w:hAnsi="GHEA Grapalat" w:cs="Arial"/>
          <w:sz w:val="24"/>
          <w:szCs w:val="24"/>
          <w:lang w:val="hy-AM"/>
        </w:rPr>
        <w:t>բխում</w:t>
      </w:r>
      <w:r w:rsidRPr="003E00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E00FE">
        <w:rPr>
          <w:rFonts w:ascii="GHEA Grapalat" w:eastAsia="Times New Roman" w:hAnsi="GHEA Grapalat" w:cs="Arial"/>
          <w:sz w:val="24"/>
          <w:szCs w:val="24"/>
          <w:lang w:val="hy-AM"/>
        </w:rPr>
        <w:t>ռազմավարություններից։</w:t>
      </w:r>
    </w:p>
    <w:p w14:paraId="5CB34141" w14:textId="77777777" w:rsidR="003A4991" w:rsidRPr="003E00FE" w:rsidRDefault="003A4991" w:rsidP="003E00FE">
      <w:pPr>
        <w:tabs>
          <w:tab w:val="left" w:pos="1620"/>
        </w:tabs>
        <w:spacing w:after="0" w:line="360" w:lineRule="auto"/>
        <w:ind w:right="-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    6</w:t>
      </w:r>
      <w:r w:rsidRPr="003E00FE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3E00F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Նպատակը և ակնկալվող արդյունքը.</w:t>
      </w:r>
    </w:p>
    <w:p w14:paraId="63DB48AE" w14:textId="1A21BC4C" w:rsidR="003A4991" w:rsidRPr="003E00FE" w:rsidRDefault="003A4991" w:rsidP="003E00FE">
      <w:pPr>
        <w:tabs>
          <w:tab w:val="left" w:pos="720"/>
        </w:tabs>
        <w:spacing w:after="0" w:line="360" w:lineRule="auto"/>
        <w:ind w:left="90" w:right="-720" w:hanging="9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6E0FA9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Նախագծի ընդունման նպատակ</w:t>
      </w:r>
      <w:r w:rsidR="006D7F4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 է</w:t>
      </w:r>
      <w:r w:rsidR="006E0FA9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ապահովել </w:t>
      </w:r>
      <w:r w:rsidR="006E0FA9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Եվրասիական տնտեսական միությունում ապրանքների նույնականացման միջոցներով դրոշմավորման մասին» համաձայնագրով սահմանված Եվրասիական տնտեսական միության շրջանակներում նույնականացման բոլոր ապրանքների դրոշմավորման համար ազգային օպերատորի առկայություն։ </w:t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Նախագծի ընդունման արդյունքում նախատեսվում է </w:t>
      </w:r>
      <w:r w:rsidR="006E0FA9" w:rsidRPr="003E00FE">
        <w:rPr>
          <w:rFonts w:ascii="GHEA Grapalat" w:eastAsia="Times New Roman" w:hAnsi="GHEA Grapalat" w:cs="Sylfaen"/>
          <w:sz w:val="24"/>
          <w:szCs w:val="24"/>
          <w:lang w:val="hy-AM"/>
        </w:rPr>
        <w:t>ուժը կորցրած ճանաչել Հայաստանի Հանրապետության կառավարության 2020 թվականի դեկտեմբերի 28-ի N 2195-Լ որոշումը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>, ի</w:t>
      </w:r>
      <w:r w:rsidR="002C00EB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չպես նաև </w:t>
      </w:r>
      <w:r w:rsidR="002C00EB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լրացում կատարել 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2022 թվականի մարտի 10-ի N 312-Լ որոշման 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2C00EB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սահմանելով 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="004F1E4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մարմին, 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="004F1E44" w:rsidRPr="003E00FE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մարմնի կողմից Եվրասիական տնտեսական միության շրջանակներում նույնականացման միջոցներով ապրանքների դրոշմավորման ազգային օպերատոր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հետ պայմանագիր կնքելու հետ կապված կանոնակարգում</w:t>
      </w:r>
      <w:r w:rsidR="005B16EF" w:rsidRPr="003E00FE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132646" w:rsidRPr="003E00FE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6E8034E4" w14:textId="77777777" w:rsidR="003A4991" w:rsidRPr="003E00FE" w:rsidRDefault="003A4991" w:rsidP="003E00FE">
      <w:pPr>
        <w:tabs>
          <w:tab w:val="left" w:pos="720"/>
        </w:tabs>
        <w:spacing w:after="0" w:line="360" w:lineRule="auto"/>
        <w:ind w:left="90" w:right="-720" w:hanging="9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3E00FE">
        <w:rPr>
          <w:rFonts w:ascii="GHEA Grapalat" w:eastAsia="Times New Roman" w:hAnsi="GHEA Grapalat" w:cs="Sylfaen"/>
          <w:b/>
          <w:sz w:val="24"/>
          <w:szCs w:val="24"/>
          <w:lang w:val="hy-AM"/>
        </w:rPr>
        <w:t>7. Պետական բյուջեի եկամուտներում և ծախսերում սպասվելիք փոփոխությունների վերաբերյալ.</w:t>
      </w:r>
    </w:p>
    <w:p w14:paraId="7E8AD2E6" w14:textId="1B416124" w:rsidR="003A4991" w:rsidRPr="003E00FE" w:rsidRDefault="003A4991" w:rsidP="003E00FE">
      <w:pPr>
        <w:spacing w:after="0" w:line="360" w:lineRule="auto"/>
        <w:ind w:left="-187" w:right="-634" w:firstLine="907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3E00FE">
        <w:rPr>
          <w:rFonts w:ascii="GHEA Grapalat" w:eastAsia="Times New Roman" w:hAnsi="GHEA Grapalat" w:cs="Sylfaen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  <w:r w:rsidR="00D3620C" w:rsidRPr="003E00FE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</w:p>
    <w:p w14:paraId="0A4C618F" w14:textId="2F475F66" w:rsidR="003A4991" w:rsidRPr="003E00FE" w:rsidRDefault="003A4991" w:rsidP="003E00FE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sectPr w:rsidR="003A4991" w:rsidRPr="003E00FE" w:rsidSect="00E97E21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72059A" w16cex:dateUtc="2023-07-31T06:04:00Z"/>
  <w16cex:commentExtensible w16cex:durableId="1E6D9445" w16cex:dateUtc="2023-09-25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D5E237" w16cid:durableId="2872059A"/>
  <w16cid:commentId w16cid:paraId="41A6B280" w16cid:durableId="1E6D94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7C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280632C"/>
    <w:multiLevelType w:val="hybridMultilevel"/>
    <w:tmpl w:val="478671C0"/>
    <w:lvl w:ilvl="0" w:tplc="443040D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A0E2A"/>
    <w:multiLevelType w:val="hybridMultilevel"/>
    <w:tmpl w:val="2276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60F2B"/>
    <w:multiLevelType w:val="hybridMultilevel"/>
    <w:tmpl w:val="1966B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21BD"/>
    <w:multiLevelType w:val="hybridMultilevel"/>
    <w:tmpl w:val="5F9434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71B0E"/>
    <w:multiLevelType w:val="hybridMultilevel"/>
    <w:tmpl w:val="6C6AA0FC"/>
    <w:lvl w:ilvl="0" w:tplc="C6809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C7222"/>
    <w:multiLevelType w:val="hybridMultilevel"/>
    <w:tmpl w:val="B6A8D15E"/>
    <w:lvl w:ilvl="0" w:tplc="7ABC0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3FA5487"/>
    <w:multiLevelType w:val="hybridMultilevel"/>
    <w:tmpl w:val="33743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B2DB3"/>
    <w:multiLevelType w:val="hybridMultilevel"/>
    <w:tmpl w:val="BA5E4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32670"/>
    <w:multiLevelType w:val="hybridMultilevel"/>
    <w:tmpl w:val="562C4208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71118"/>
    <w:multiLevelType w:val="hybridMultilevel"/>
    <w:tmpl w:val="D31A2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44DB9"/>
    <w:multiLevelType w:val="hybridMultilevel"/>
    <w:tmpl w:val="E14E2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D4F4F"/>
    <w:multiLevelType w:val="hybridMultilevel"/>
    <w:tmpl w:val="A2C259E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  <w:num w:numId="12">
    <w:abstractNumId w:val="14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CB"/>
    <w:rsid w:val="00014B29"/>
    <w:rsid w:val="00045784"/>
    <w:rsid w:val="00056734"/>
    <w:rsid w:val="0008474A"/>
    <w:rsid w:val="00095849"/>
    <w:rsid w:val="00095BCF"/>
    <w:rsid w:val="000E0EF0"/>
    <w:rsid w:val="000E5849"/>
    <w:rsid w:val="00132646"/>
    <w:rsid w:val="001753F9"/>
    <w:rsid w:val="00177E06"/>
    <w:rsid w:val="00182BD4"/>
    <w:rsid w:val="00197339"/>
    <w:rsid w:val="001C5D74"/>
    <w:rsid w:val="001F20DE"/>
    <w:rsid w:val="001F57D3"/>
    <w:rsid w:val="0020203E"/>
    <w:rsid w:val="00226070"/>
    <w:rsid w:val="00230BB2"/>
    <w:rsid w:val="0024133D"/>
    <w:rsid w:val="002A4CF1"/>
    <w:rsid w:val="002A50C5"/>
    <w:rsid w:val="002C00EB"/>
    <w:rsid w:val="002D1CDD"/>
    <w:rsid w:val="00331774"/>
    <w:rsid w:val="00352CE2"/>
    <w:rsid w:val="00357CFD"/>
    <w:rsid w:val="00362974"/>
    <w:rsid w:val="003A21FF"/>
    <w:rsid w:val="003A4991"/>
    <w:rsid w:val="003D2822"/>
    <w:rsid w:val="003D603D"/>
    <w:rsid w:val="003E00FE"/>
    <w:rsid w:val="00401DF2"/>
    <w:rsid w:val="00406408"/>
    <w:rsid w:val="0041761A"/>
    <w:rsid w:val="004507CB"/>
    <w:rsid w:val="00457859"/>
    <w:rsid w:val="00487F0F"/>
    <w:rsid w:val="00496D71"/>
    <w:rsid w:val="004A292A"/>
    <w:rsid w:val="004A6CAE"/>
    <w:rsid w:val="004C13AD"/>
    <w:rsid w:val="004F1E44"/>
    <w:rsid w:val="004F3BE0"/>
    <w:rsid w:val="004F3FE8"/>
    <w:rsid w:val="004F64B0"/>
    <w:rsid w:val="00507797"/>
    <w:rsid w:val="00507D67"/>
    <w:rsid w:val="00525AD8"/>
    <w:rsid w:val="00531915"/>
    <w:rsid w:val="0054729A"/>
    <w:rsid w:val="00547AF7"/>
    <w:rsid w:val="00562B07"/>
    <w:rsid w:val="00563423"/>
    <w:rsid w:val="00565514"/>
    <w:rsid w:val="005A2EDE"/>
    <w:rsid w:val="005B16EF"/>
    <w:rsid w:val="00603350"/>
    <w:rsid w:val="0061213E"/>
    <w:rsid w:val="006B2A2D"/>
    <w:rsid w:val="006B399E"/>
    <w:rsid w:val="006D7F4F"/>
    <w:rsid w:val="006E0FA9"/>
    <w:rsid w:val="006E1C6B"/>
    <w:rsid w:val="00727E73"/>
    <w:rsid w:val="00760DCE"/>
    <w:rsid w:val="00787F46"/>
    <w:rsid w:val="007917AA"/>
    <w:rsid w:val="007B43CB"/>
    <w:rsid w:val="007C0A45"/>
    <w:rsid w:val="007E6629"/>
    <w:rsid w:val="007F042A"/>
    <w:rsid w:val="0080416A"/>
    <w:rsid w:val="00820550"/>
    <w:rsid w:val="0082416E"/>
    <w:rsid w:val="00850844"/>
    <w:rsid w:val="008923FC"/>
    <w:rsid w:val="008A550F"/>
    <w:rsid w:val="008C421E"/>
    <w:rsid w:val="00904F77"/>
    <w:rsid w:val="009413DD"/>
    <w:rsid w:val="0095194D"/>
    <w:rsid w:val="00956A56"/>
    <w:rsid w:val="00981EEF"/>
    <w:rsid w:val="00984049"/>
    <w:rsid w:val="0098419B"/>
    <w:rsid w:val="0099227C"/>
    <w:rsid w:val="00996689"/>
    <w:rsid w:val="009A2148"/>
    <w:rsid w:val="00A01D8A"/>
    <w:rsid w:val="00A309A7"/>
    <w:rsid w:val="00A73CB0"/>
    <w:rsid w:val="00AA27C1"/>
    <w:rsid w:val="00AA35C5"/>
    <w:rsid w:val="00AD596D"/>
    <w:rsid w:val="00B00A2D"/>
    <w:rsid w:val="00B14580"/>
    <w:rsid w:val="00B247D8"/>
    <w:rsid w:val="00B3564C"/>
    <w:rsid w:val="00B72803"/>
    <w:rsid w:val="00B92946"/>
    <w:rsid w:val="00BA6C2F"/>
    <w:rsid w:val="00BE440F"/>
    <w:rsid w:val="00BF766F"/>
    <w:rsid w:val="00C3053F"/>
    <w:rsid w:val="00C512BC"/>
    <w:rsid w:val="00C51F75"/>
    <w:rsid w:val="00C5603A"/>
    <w:rsid w:val="00C63613"/>
    <w:rsid w:val="00C744BA"/>
    <w:rsid w:val="00C803B6"/>
    <w:rsid w:val="00CA2E96"/>
    <w:rsid w:val="00CC0F05"/>
    <w:rsid w:val="00CD6AE4"/>
    <w:rsid w:val="00CD7AB3"/>
    <w:rsid w:val="00CE1997"/>
    <w:rsid w:val="00D02A70"/>
    <w:rsid w:val="00D10350"/>
    <w:rsid w:val="00D3620C"/>
    <w:rsid w:val="00D438D2"/>
    <w:rsid w:val="00DC1AE8"/>
    <w:rsid w:val="00DE3A57"/>
    <w:rsid w:val="00DF7D52"/>
    <w:rsid w:val="00E0157A"/>
    <w:rsid w:val="00E21EFF"/>
    <w:rsid w:val="00E35DE8"/>
    <w:rsid w:val="00E74041"/>
    <w:rsid w:val="00E971C7"/>
    <w:rsid w:val="00EA73D6"/>
    <w:rsid w:val="00EB4644"/>
    <w:rsid w:val="00EB4DD6"/>
    <w:rsid w:val="00EC4DC8"/>
    <w:rsid w:val="00F176D3"/>
    <w:rsid w:val="00F22F4C"/>
    <w:rsid w:val="00F34D0F"/>
    <w:rsid w:val="00F42082"/>
    <w:rsid w:val="00F4497D"/>
    <w:rsid w:val="00F5083A"/>
    <w:rsid w:val="00F511F8"/>
    <w:rsid w:val="00F57BC6"/>
    <w:rsid w:val="00F810A2"/>
    <w:rsid w:val="00F825E9"/>
    <w:rsid w:val="00F95CC8"/>
    <w:rsid w:val="00FB4272"/>
    <w:rsid w:val="00FD58A3"/>
    <w:rsid w:val="00FE7C37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567B"/>
  <w15:chartTrackingRefBased/>
  <w15:docId w15:val="{77F65DBA-088E-4C88-9CF3-CC9F8CE1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689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689"/>
    <w:pPr>
      <w:keepNext/>
      <w:keepLines/>
      <w:numPr>
        <w:numId w:val="2"/>
      </w:numPr>
      <w:tabs>
        <w:tab w:val="left" w:pos="288"/>
      </w:tabs>
      <w:spacing w:before="480" w:after="240" w:line="240" w:lineRule="auto"/>
      <w:outlineLvl w:val="0"/>
    </w:pPr>
    <w:rPr>
      <w:rFonts w:ascii="GHEA Grapalat" w:eastAsiaTheme="majorEastAsia" w:hAnsi="GHEA Grapalat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689"/>
    <w:pPr>
      <w:keepNext/>
      <w:keepLines/>
      <w:numPr>
        <w:ilvl w:val="1"/>
        <w:numId w:val="2"/>
      </w:numPr>
      <w:tabs>
        <w:tab w:val="left" w:pos="288"/>
        <w:tab w:val="left" w:pos="720"/>
      </w:tabs>
      <w:spacing w:before="240" w:after="200" w:line="240" w:lineRule="auto"/>
      <w:outlineLvl w:val="1"/>
    </w:pPr>
    <w:rPr>
      <w:rFonts w:ascii="GHEA Grapalat" w:eastAsiaTheme="majorEastAsia" w:hAnsi="GHEA Grapalat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689"/>
    <w:pPr>
      <w:keepNext/>
      <w:keepLines/>
      <w:numPr>
        <w:ilvl w:val="2"/>
        <w:numId w:val="2"/>
      </w:numPr>
      <w:tabs>
        <w:tab w:val="left" w:pos="288"/>
      </w:tabs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689"/>
    <w:pPr>
      <w:keepNext/>
      <w:keepLines/>
      <w:numPr>
        <w:ilvl w:val="3"/>
        <w:numId w:val="2"/>
      </w:numPr>
      <w:tabs>
        <w:tab w:val="left" w:pos="288"/>
      </w:tabs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689"/>
    <w:pPr>
      <w:keepNext/>
      <w:keepLines/>
      <w:numPr>
        <w:ilvl w:val="4"/>
        <w:numId w:val="2"/>
      </w:numPr>
      <w:tabs>
        <w:tab w:val="left" w:pos="288"/>
      </w:tabs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689"/>
    <w:pPr>
      <w:keepNext/>
      <w:keepLines/>
      <w:numPr>
        <w:ilvl w:val="5"/>
        <w:numId w:val="2"/>
      </w:numPr>
      <w:tabs>
        <w:tab w:val="left" w:pos="288"/>
      </w:tabs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689"/>
    <w:pPr>
      <w:keepNext/>
      <w:keepLines/>
      <w:numPr>
        <w:ilvl w:val="6"/>
        <w:numId w:val="2"/>
      </w:numPr>
      <w:tabs>
        <w:tab w:val="left" w:pos="288"/>
      </w:tabs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689"/>
    <w:pPr>
      <w:keepNext/>
      <w:keepLines/>
      <w:numPr>
        <w:ilvl w:val="7"/>
        <w:numId w:val="2"/>
      </w:numPr>
      <w:tabs>
        <w:tab w:val="left" w:pos="288"/>
      </w:tabs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689"/>
    <w:pPr>
      <w:keepNext/>
      <w:keepLines/>
      <w:numPr>
        <w:ilvl w:val="8"/>
        <w:numId w:val="2"/>
      </w:numPr>
      <w:tabs>
        <w:tab w:val="left" w:pos="288"/>
      </w:tabs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89"/>
    <w:rPr>
      <w:rFonts w:eastAsiaTheme="majorEastAsi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6689"/>
    <w:rPr>
      <w:rFonts w:eastAsiaTheme="majorEastAsia" w:cstheme="majorBidi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68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689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689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689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689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966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3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FE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FE8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Vardanyan</dc:creator>
  <cp:keywords>https://mul2-taxservice.gov.am/tasks/2638529/oneclick/Emark_konsorcium_voroshum.docx?token=d4f61a1ae37a87f5f92e7e6ef6872d63</cp:keywords>
  <dc:description/>
  <cp:lastModifiedBy>Mariam Ilanjyan</cp:lastModifiedBy>
  <cp:revision>44</cp:revision>
  <dcterms:created xsi:type="dcterms:W3CDTF">2023-10-04T06:40:00Z</dcterms:created>
  <dcterms:modified xsi:type="dcterms:W3CDTF">2024-05-16T07:45:00Z</dcterms:modified>
</cp:coreProperties>
</file>