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00" w:rsidRDefault="00BF0800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2123B6" w:rsidRPr="00BF0800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B40F59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DD07B7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</w:t>
      </w:r>
      <w:r w:rsidR="00B371DF" w:rsidRPr="00B371DF">
        <w:rPr>
          <w:rFonts w:ascii="GHEA Grapalat" w:hAnsi="GHEA Grapalat"/>
          <w:b/>
          <w:sz w:val="24"/>
          <w:szCs w:val="24"/>
        </w:rPr>
        <w:t>Հայաստանի Հանրապետության հանրային ծառայությունները կարգավորող հանձնաժողովի 2016 թվականի մայիսի 25-ի №122-ն որոշման մեջ փոփոխություն կատարելու մասին</w:t>
      </w:r>
      <w:r w:rsidR="00296272" w:rsidRPr="00DD07B7">
        <w:rPr>
          <w:rFonts w:ascii="GHEA Grapalat" w:hAnsi="GHEA Grapalat" w:cs="Sylfaen"/>
          <w:b/>
          <w:sz w:val="24"/>
          <w:szCs w:val="24"/>
        </w:rPr>
        <w:t>»</w:t>
      </w:r>
      <w:r w:rsidR="00D202CE" w:rsidRPr="00DD0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035411" w:rsidRPr="0003541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10"/>
          <w:szCs w:val="10"/>
          <w:lang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2C2BDA" w:rsidRPr="002C2BDA" w:rsidRDefault="00AE68BB" w:rsidP="00EF6444">
      <w:pPr>
        <w:pStyle w:val="namak"/>
        <w:spacing w:line="336" w:lineRule="auto"/>
        <w:rPr>
          <w:rFonts w:cs="Sylfaen"/>
          <w:lang w:val="hy-AM"/>
        </w:rPr>
      </w:pPr>
      <w:r w:rsidRPr="00AE68BB">
        <w:rPr>
          <w:b/>
          <w:bCs/>
          <w:iCs/>
          <w:color w:val="000000"/>
          <w:lang w:val="hy-AM" w:eastAsia="en-GB"/>
        </w:rPr>
        <w:t>«</w:t>
      </w:r>
      <w:r w:rsidR="00776EC9" w:rsidRPr="00776EC9">
        <w:rPr>
          <w:lang w:val="hy-AM"/>
        </w:rPr>
        <w:t>Հայաստանի Հանրապետության հանրային ծառայությունները կարգավորող հանձնաժողովի 2016 թվականի մայիսի 25-ի №122-ն որոշման մեջ փոփոխություն կատարելու մասին</w:t>
      </w:r>
      <w:r w:rsidRPr="00AE68BB">
        <w:rPr>
          <w:lang w:val="hy-AM"/>
        </w:rPr>
        <w:t xml:space="preserve">» ՀՀ հանրային ծառայությունները կարգավորող հանձնաժողովի </w:t>
      </w:r>
      <w:r w:rsidR="00672F8B" w:rsidRPr="002D4BF4">
        <w:rPr>
          <w:lang w:val="hy-AM"/>
        </w:rPr>
        <w:t>(այսուհետ՝ Հանձնաժողով)</w:t>
      </w:r>
      <w:r w:rsidR="002876D6" w:rsidRPr="002876D6">
        <w:rPr>
          <w:lang w:val="hy-AM"/>
        </w:rPr>
        <w:t xml:space="preserve"> </w:t>
      </w:r>
      <w:r w:rsidRPr="00AE68BB">
        <w:rPr>
          <w:lang w:val="hy-AM"/>
        </w:rPr>
        <w:t>որոշման</w:t>
      </w:r>
      <w:r w:rsidRPr="00196174">
        <w:rPr>
          <w:lang w:val="hy-AM"/>
        </w:rPr>
        <w:t xml:space="preserve"> </w:t>
      </w:r>
      <w:r w:rsidR="00196174" w:rsidRPr="00196174">
        <w:rPr>
          <w:lang w:val="hy-AM"/>
        </w:rPr>
        <w:t>Ն</w:t>
      </w:r>
      <w:r w:rsidR="00EF6444">
        <w:rPr>
          <w:lang w:val="hy-AM"/>
        </w:rPr>
        <w:t>ախագծի մշակումը</w:t>
      </w:r>
      <w:r w:rsidR="00196174" w:rsidRPr="00196174">
        <w:rPr>
          <w:lang w:val="hy-AM"/>
        </w:rPr>
        <w:t xml:space="preserve"> </w:t>
      </w:r>
      <w:r w:rsidR="00196174" w:rsidRPr="00EF6444">
        <w:rPr>
          <w:lang w:val="hy-AM"/>
        </w:rPr>
        <w:t>պայմանավորված է</w:t>
      </w:r>
      <w:r w:rsidR="002876D6">
        <w:rPr>
          <w:lang w:val="hy-AM"/>
        </w:rPr>
        <w:t xml:space="preserve"> նշված</w:t>
      </w:r>
      <w:r w:rsidR="002876D6" w:rsidRPr="002876D6">
        <w:rPr>
          <w:lang w:val="hy-AM"/>
        </w:rPr>
        <w:t xml:space="preserve"> որոշման</w:t>
      </w:r>
      <w:r w:rsidR="00D07DD7" w:rsidRPr="00EF6444">
        <w:rPr>
          <w:lang w:val="hy-AM"/>
        </w:rPr>
        <w:t xml:space="preserve"> </w:t>
      </w:r>
      <w:r w:rsidR="00EF6444" w:rsidRPr="00EF6444">
        <w:rPr>
          <w:lang w:val="hy-AM"/>
        </w:rPr>
        <w:t>դրույթների գործնական կիրառության ընթացքում առաջացած լրամշակման անհրաժեշտությամբ: Մասնավորապես,</w:t>
      </w:r>
      <w:r w:rsidR="002C2BDA" w:rsidRPr="002C2BDA">
        <w:rPr>
          <w:lang w:val="hy-AM"/>
        </w:rPr>
        <w:t xml:space="preserve"> անհրաժեշտություն է առաջացել</w:t>
      </w:r>
      <w:r w:rsidR="00EF6444" w:rsidRPr="00EF6444">
        <w:rPr>
          <w:lang w:val="hy-AM"/>
        </w:rPr>
        <w:t xml:space="preserve"> </w:t>
      </w:r>
      <w:r w:rsidR="002876D6" w:rsidRPr="002C2BDA">
        <w:rPr>
          <w:rFonts w:cs="Sylfaen"/>
          <w:lang w:val="hy-AM"/>
        </w:rPr>
        <w:t>արդիականացնել և հստակեցնել</w:t>
      </w:r>
      <w:r w:rsidR="002876D6" w:rsidRPr="002C2BDA">
        <w:rPr>
          <w:rFonts w:cs="Sylfaen"/>
          <w:lang w:val="hy-AM"/>
        </w:rPr>
        <w:t xml:space="preserve"> </w:t>
      </w:r>
      <w:r w:rsidR="002C2BDA" w:rsidRPr="002C2BDA">
        <w:rPr>
          <w:rFonts w:cs="Sylfaen"/>
          <w:lang w:val="hy-AM"/>
        </w:rPr>
        <w:t>հանրային էլեկտրոնային հաղորդակցության ցանցերի օպերատորների կողմից միջազգային կապուղիների կամ տվյալների հոսքերի վարձակալման կամ ձեռքբերման դեպքում</w:t>
      </w:r>
      <w:r w:rsidR="002876D6">
        <w:rPr>
          <w:rFonts w:cs="Sylfaen"/>
          <w:lang w:val="hy-AM"/>
        </w:rPr>
        <w:t>,</w:t>
      </w:r>
      <w:r w:rsidR="002C2BDA" w:rsidRPr="002C2BDA">
        <w:rPr>
          <w:rFonts w:cs="Sylfaen"/>
          <w:lang w:val="hy-AM"/>
        </w:rPr>
        <w:t xml:space="preserve"> դրանց աշխարհագրական երթուղիների</w:t>
      </w:r>
      <w:r w:rsidR="002876D6" w:rsidRPr="002876D6">
        <w:rPr>
          <w:rFonts w:cs="Sylfaen"/>
          <w:lang w:val="hy-AM"/>
        </w:rPr>
        <w:t xml:space="preserve"> կազմակերպման՝</w:t>
      </w:r>
      <w:r w:rsidR="002C2BDA" w:rsidRPr="002C2BDA">
        <w:rPr>
          <w:lang w:val="hy-AM"/>
        </w:rPr>
        <w:t xml:space="preserve"> </w:t>
      </w:r>
      <w:r w:rsidR="00672F8B" w:rsidRPr="00672F8B">
        <w:rPr>
          <w:lang w:val="hy-AM"/>
        </w:rPr>
        <w:t>Հ</w:t>
      </w:r>
      <w:r w:rsidR="002C2BDA" w:rsidRPr="00776EC9">
        <w:rPr>
          <w:lang w:val="hy-AM"/>
        </w:rPr>
        <w:t>անձնաժողովի</w:t>
      </w:r>
      <w:r w:rsidR="002C2BDA" w:rsidRPr="002C2BDA">
        <w:rPr>
          <w:lang w:val="hy-AM"/>
        </w:rPr>
        <w:t xml:space="preserve"> հետ</w:t>
      </w:r>
      <w:r w:rsidR="002C2BDA" w:rsidRPr="002C2BDA">
        <w:rPr>
          <w:rFonts w:cs="Sylfaen"/>
          <w:lang w:val="hy-AM"/>
        </w:rPr>
        <w:t xml:space="preserve"> նախապես համաձայնեցման վերաբերյալ</w:t>
      </w:r>
      <w:r w:rsidR="002C2BDA" w:rsidRPr="002C2BDA">
        <w:rPr>
          <w:lang w:val="hy-AM"/>
        </w:rPr>
        <w:t xml:space="preserve"> </w:t>
      </w:r>
      <w:r w:rsidR="002C2BDA" w:rsidRPr="002C2BDA">
        <w:rPr>
          <w:rFonts w:cs="Sylfaen"/>
          <w:lang w:val="hy-AM"/>
        </w:rPr>
        <w:t>հանրային կամ ազգային անվտանգության շահերից բխող կարգավորումներ</w:t>
      </w:r>
      <w:r w:rsidR="002876D6">
        <w:rPr>
          <w:rFonts w:cs="Sylfaen"/>
          <w:lang w:val="hy-AM"/>
        </w:rPr>
        <w:t>ը</w:t>
      </w:r>
      <w:r w:rsidR="002C2BDA" w:rsidRPr="002C2BDA">
        <w:rPr>
          <w:rFonts w:cs="Sylfaen"/>
          <w:lang w:val="hy-AM"/>
        </w:rPr>
        <w:t>:</w:t>
      </w:r>
    </w:p>
    <w:p w:rsidR="007F3085" w:rsidRPr="009C00A8" w:rsidRDefault="007F3085" w:rsidP="007F3085">
      <w:pPr>
        <w:pStyle w:val="namak"/>
        <w:spacing w:line="336" w:lineRule="auto"/>
        <w:rPr>
          <w:sz w:val="4"/>
          <w:szCs w:val="4"/>
          <w:highlight w:val="yellow"/>
          <w:lang w:val="hy-AM"/>
        </w:rPr>
      </w:pPr>
    </w:p>
    <w:p w:rsidR="007735A3" w:rsidRPr="00EF6444" w:rsidRDefault="00426B6C" w:rsidP="007735A3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EF6444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EF6444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2D4BF4" w:rsidRPr="007735A3" w:rsidRDefault="00DD07B7" w:rsidP="007735A3">
      <w:pPr>
        <w:pStyle w:val="namak"/>
        <w:spacing w:line="336" w:lineRule="auto"/>
        <w:rPr>
          <w:lang w:val="hy-AM"/>
        </w:rPr>
      </w:pPr>
      <w:r w:rsidRPr="007735A3">
        <w:rPr>
          <w:lang w:val="hy-AM"/>
        </w:rPr>
        <w:t>Նախագծով առաջարկվում է</w:t>
      </w:r>
      <w:r w:rsidR="00CF1A54" w:rsidRPr="007735A3">
        <w:rPr>
          <w:lang w:val="hy-AM"/>
        </w:rPr>
        <w:t xml:space="preserve"> սահմանել</w:t>
      </w:r>
      <w:r w:rsidR="00E65257" w:rsidRPr="007735A3">
        <w:rPr>
          <w:lang w:val="hy-AM"/>
        </w:rPr>
        <w:t>, որ</w:t>
      </w:r>
      <w:r w:rsidRPr="007735A3">
        <w:rPr>
          <w:lang w:val="hy-AM"/>
        </w:rPr>
        <w:t xml:space="preserve"> </w:t>
      </w:r>
      <w:r w:rsidR="002D4BF4" w:rsidRPr="002D4BF4">
        <w:rPr>
          <w:lang w:val="hy-AM"/>
        </w:rPr>
        <w:t xml:space="preserve">Հանձնաժողովը Երթուղու կազմակերպման վերաբերյալ Օպերատորի </w:t>
      </w:r>
      <w:r w:rsidR="00675694" w:rsidRPr="004B1C17">
        <w:rPr>
          <w:lang w:val="af-ZA"/>
        </w:rPr>
        <w:t xml:space="preserve">դիմումը ստանալուց 3 աշխատանքային օրվա ընթացքում </w:t>
      </w:r>
      <w:r w:rsidR="002D4BF4" w:rsidRPr="002D4BF4">
        <w:rPr>
          <w:lang w:val="hy-AM"/>
        </w:rPr>
        <w:t>դիրքորոշում ստանալու նպատակով այն ներկայացնում է էլեկտրոնային հաղորդակ</w:t>
      </w:r>
      <w:r w:rsidR="002D4BF4">
        <w:rPr>
          <w:lang w:val="hy-AM"/>
        </w:rPr>
        <w:t>ցության ոլորտի իրավասու մարմնին</w:t>
      </w:r>
      <w:r w:rsidR="007F3085" w:rsidRPr="007735A3">
        <w:rPr>
          <w:lang w:val="hy-AM"/>
        </w:rPr>
        <w:t>։</w:t>
      </w:r>
      <w:r w:rsidR="00675694" w:rsidRPr="00675694">
        <w:rPr>
          <w:lang w:val="hy-AM"/>
        </w:rPr>
        <w:t xml:space="preserve"> Նախատեսվում է, որ իրավասու մարմինը Հանձնաժողովի կողմից Երթուղու կազմակերպման վերաբերյալ Օպերատորի դիմումը ստանալուց հետո, քսան աշխատանքային օրվա ընթացքում դրա վերաբերյալ դիրքորոշումն ուղարկում է Հանձնաժողով:</w:t>
      </w:r>
      <w:r w:rsidR="008B4429">
        <w:rPr>
          <w:lang w:val="hy-AM"/>
        </w:rPr>
        <w:t xml:space="preserve"> </w:t>
      </w:r>
      <w:r w:rsidR="008B4429" w:rsidRPr="008B4429">
        <w:rPr>
          <w:lang w:val="hy-AM"/>
        </w:rPr>
        <w:t>Սահմանվել է նաև</w:t>
      </w:r>
      <w:r w:rsidR="00217053" w:rsidRPr="00217053">
        <w:rPr>
          <w:lang w:val="hy-AM"/>
        </w:rPr>
        <w:t xml:space="preserve"> </w:t>
      </w:r>
      <w:r w:rsidR="008B4429" w:rsidRPr="00675694">
        <w:rPr>
          <w:lang w:val="hy-AM"/>
        </w:rPr>
        <w:t>Հանձնաժողովի</w:t>
      </w:r>
      <w:r w:rsidR="008B4429" w:rsidRPr="008B4429">
        <w:rPr>
          <w:lang w:val="af-ZA"/>
        </w:rPr>
        <w:t xml:space="preserve"> համաձայնությունը ստանալու պահից միջազգային կապուղիների կամ տվյալների հոսքերի երթուղու կազմակերպման վերաբերյալ գործարքի կնքման տևողությունը (վեցամսյա ժամկետ)</w:t>
      </w:r>
      <w:r w:rsidR="002D4BF4">
        <w:rPr>
          <w:lang w:val="af-ZA"/>
        </w:rPr>
        <w:t>:</w:t>
      </w:r>
      <w:r w:rsidR="00675694">
        <w:rPr>
          <w:lang w:val="af-ZA"/>
        </w:rPr>
        <w:t xml:space="preserve"> Նախատեսվել է նաև </w:t>
      </w:r>
      <w:r w:rsidR="00675694" w:rsidRPr="00675694">
        <w:rPr>
          <w:lang w:val="af-ZA"/>
        </w:rPr>
        <w:t>Հանձնաժողով</w:t>
      </w:r>
      <w:r w:rsidR="00675694">
        <w:rPr>
          <w:lang w:val="af-ZA"/>
        </w:rPr>
        <w:t>ի կողմից</w:t>
      </w:r>
      <w:r w:rsidR="00675694" w:rsidRPr="00675694">
        <w:rPr>
          <w:lang w:val="af-ZA"/>
        </w:rPr>
        <w:t xml:space="preserve"> Երթուղու կազմակերպման վերաբերյալ </w:t>
      </w:r>
      <w:r w:rsidR="00675694">
        <w:rPr>
          <w:lang w:val="af-ZA"/>
        </w:rPr>
        <w:t>համաձայնության տրամադրման մերժման հնարավորություն՝</w:t>
      </w:r>
      <w:r w:rsidR="00675694" w:rsidRPr="00675694">
        <w:rPr>
          <w:lang w:val="af-ZA"/>
        </w:rPr>
        <w:t xml:space="preserve"> Երթուղու կազմակերպումը</w:t>
      </w:r>
      <w:r w:rsidR="00675694" w:rsidRPr="004B1C17">
        <w:rPr>
          <w:lang w:val="af-ZA"/>
        </w:rPr>
        <w:t xml:space="preserve"> իրավասու մարմնի գնահատմամբ</w:t>
      </w:r>
      <w:r w:rsidR="00675694" w:rsidRPr="00675694">
        <w:rPr>
          <w:lang w:val="af-ZA"/>
        </w:rPr>
        <w:t xml:space="preserve"> հանրային կամ</w:t>
      </w:r>
      <w:r w:rsidR="00675694" w:rsidRPr="004B1C17">
        <w:rPr>
          <w:lang w:val="hy-AM"/>
        </w:rPr>
        <w:t xml:space="preserve"> ազգային անվտանգության շահերին</w:t>
      </w:r>
      <w:r w:rsidR="00273C2F" w:rsidRPr="00273C2F">
        <w:rPr>
          <w:lang w:val="hy-AM"/>
        </w:rPr>
        <w:t xml:space="preserve"> հակասելու դեպքում:</w:t>
      </w:r>
      <w:r w:rsidR="00217053">
        <w:rPr>
          <w:lang w:val="af-ZA"/>
        </w:rPr>
        <w:t xml:space="preserve"> Բացի այդ նախատեսվում է </w:t>
      </w:r>
      <w:r w:rsidR="00217053">
        <w:rPr>
          <w:lang w:val="af-ZA"/>
        </w:rPr>
        <w:lastRenderedPageBreak/>
        <w:t xml:space="preserve">սահմանել, որ Երթուղու կազմակերպման վերաբերյալ գործարքի կնքումից հետո երկշաբաթյա ժամկետում </w:t>
      </w:r>
      <w:r w:rsidR="007B7056" w:rsidRPr="007B7056">
        <w:rPr>
          <w:lang w:val="af-ZA"/>
        </w:rPr>
        <w:t>հանրային էլեկտրոնային հաղորդակցության ցանցերի օպերատորները Հանձնաժողով են ներկայացնում որոշումն ուժի մեջ մտնելու պահին գործող միջազգային կապուղիների կամ տվյալների հոսքերի երթուղիների կազմակերպման վերաբերյալ գործարքների կնքումը հավաստող համապատասխան փաստաթղթերի (այդ թվում՝ պայմա</w:t>
      </w:r>
      <w:r w:rsidR="007B7056">
        <w:rPr>
          <w:lang w:val="af-ZA"/>
        </w:rPr>
        <w:t>նագիր, համաձայնագիր)</w:t>
      </w:r>
      <w:r w:rsidR="00684964">
        <w:rPr>
          <w:lang w:val="af-ZA"/>
        </w:rPr>
        <w:t xml:space="preserve"> և դրանց</w:t>
      </w:r>
      <w:bookmarkStart w:id="0" w:name="_GoBack"/>
      <w:bookmarkEnd w:id="0"/>
      <w:r w:rsidR="007B7056">
        <w:rPr>
          <w:lang w:val="af-ZA"/>
        </w:rPr>
        <w:t xml:space="preserve"> </w:t>
      </w:r>
      <w:r w:rsidR="002876D6">
        <w:rPr>
          <w:lang w:val="af-ZA"/>
        </w:rPr>
        <w:t>պատշաճ վավերացված հայերեն թարգմանությունները</w:t>
      </w:r>
      <w:r w:rsidR="00217053">
        <w:rPr>
          <w:lang w:val="hy-AM"/>
        </w:rPr>
        <w:t>։</w:t>
      </w:r>
    </w:p>
    <w:p w:rsidR="00E70989" w:rsidRPr="00E70989" w:rsidRDefault="00E70989" w:rsidP="00D3706D">
      <w:pPr>
        <w:pStyle w:val="namak"/>
        <w:spacing w:line="360" w:lineRule="auto"/>
        <w:ind w:firstLine="360"/>
        <w:rPr>
          <w:sz w:val="10"/>
          <w:lang w:val="hy-AM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7735A3" w:rsidP="007735A3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8B4429" w:rsidRPr="008B4429">
        <w:rPr>
          <w:rFonts w:ascii="GHEA Grapalat" w:eastAsia="Times New Roman" w:hAnsi="GHEA Grapalat" w:cs="Times New Roman"/>
          <w:sz w:val="24"/>
          <w:szCs w:val="24"/>
          <w:lang w:eastAsia="ru-RU"/>
        </w:rPr>
        <w:t>ՀՀ ազգային անվտանգության ծառայության և ՀՀ բարձր տեխնոլոգիական արդյունաբերության նախարարության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7735A3" w:rsidRPr="007735A3" w:rsidRDefault="0059001C" w:rsidP="007735A3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EE7C12" w:rsidRPr="00EE7C12" w:rsidRDefault="007735A3" w:rsidP="00EE7C12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ab/>
      </w:r>
      <w:r w:rsidR="00E457C8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Նախագծի ընդունումը կնպաստի</w:t>
      </w:r>
      <w:r w:rsidR="00CE3E24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հանրային էլեկտրոնային հաղորդակցության ցանց</w:t>
      </w:r>
      <w:proofErr w:type="spellStart"/>
      <w:r w:rsidR="00EE7C12">
        <w:rPr>
          <w:rFonts w:ascii="GHEA Grapalat" w:eastAsia="Times New Roman" w:hAnsi="GHEA Grapalat" w:cs="Sylfaen"/>
          <w:sz w:val="24"/>
          <w:szCs w:val="24"/>
          <w:lang w:val="en-US" w:eastAsia="ru-RU"/>
        </w:rPr>
        <w:t>եր</w:t>
      </w:r>
      <w:proofErr w:type="spellEnd"/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ի օպերատորների կողմից միջազգային կապուղիների կամ տվյալների հոսքերի վարձակալման կամ ձեռքբերման դեպքում</w:t>
      </w:r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,</w:t>
      </w:r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2876D6">
        <w:rPr>
          <w:rFonts w:ascii="GHEA Grapalat" w:eastAsia="Times New Roman" w:hAnsi="GHEA Grapalat" w:cs="Sylfaen"/>
          <w:sz w:val="24"/>
          <w:szCs w:val="24"/>
          <w:lang w:eastAsia="ru-RU"/>
        </w:rPr>
        <w:t>դրանց</w:t>
      </w:r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կազմակերպման</w:t>
      </w:r>
      <w:proofErr w:type="spellEnd"/>
      <w:r w:rsidR="002876D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աշխարհագրական երթուղիների՝ 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Հանձնաժողովի</w:t>
      </w:r>
      <w:proofErr w:type="spellEnd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հետ</w:t>
      </w:r>
      <w:proofErr w:type="spellEnd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C81277">
        <w:rPr>
          <w:rFonts w:ascii="GHEA Grapalat" w:eastAsia="Times New Roman" w:hAnsi="GHEA Grapalat" w:cs="Sylfaen"/>
          <w:sz w:val="24"/>
          <w:szCs w:val="24"/>
          <w:lang w:val="en-US" w:eastAsia="ru-RU"/>
        </w:rPr>
        <w:t>նախապես</w:t>
      </w:r>
      <w:proofErr w:type="spellEnd"/>
      <w:r w:rsidR="00C81277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համաձայնեցման</w:t>
      </w:r>
      <w:r w:rsidR="00450C8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վերաբերյալ</w:t>
      </w:r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գործընթացի</w:t>
      </w:r>
      <w:proofErr w:type="spellEnd"/>
      <w:r w:rsidR="00444F3C" w:rsidRPr="00444F3C">
        <w:t xml:space="preserve"> 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առավել</w:t>
      </w:r>
      <w:proofErr w:type="spellEnd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կանոնակարգված</w:t>
      </w:r>
      <w:proofErr w:type="spellEnd"/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և</w:t>
      </w:r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հստակեց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ված</w:t>
      </w:r>
      <w:proofErr w:type="spellEnd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2876D6">
        <w:rPr>
          <w:rFonts w:ascii="GHEA Grapalat" w:eastAsia="Times New Roman" w:hAnsi="GHEA Grapalat" w:cs="Sylfaen"/>
          <w:sz w:val="24"/>
          <w:szCs w:val="24"/>
          <w:lang w:val="en-US" w:eastAsia="ru-RU"/>
        </w:rPr>
        <w:t>լինելուն</w:t>
      </w:r>
      <w:proofErr w:type="spellEnd"/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:</w:t>
      </w:r>
    </w:p>
    <w:p w:rsidR="00D62528" w:rsidRPr="00EE7C12" w:rsidRDefault="00D62528" w:rsidP="007735A3">
      <w:pPr>
        <w:tabs>
          <w:tab w:val="left" w:pos="360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</w:p>
    <w:sectPr w:rsidR="00D62528" w:rsidRPr="00EE7C12" w:rsidSect="007735A3">
      <w:pgSz w:w="11906" w:h="16838"/>
      <w:pgMar w:top="709" w:right="74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5411"/>
    <w:rsid w:val="00063CE0"/>
    <w:rsid w:val="000C0256"/>
    <w:rsid w:val="000C2CFD"/>
    <w:rsid w:val="000E446F"/>
    <w:rsid w:val="00125FBC"/>
    <w:rsid w:val="00196174"/>
    <w:rsid w:val="002123B6"/>
    <w:rsid w:val="002139B3"/>
    <w:rsid w:val="00217053"/>
    <w:rsid w:val="0023632D"/>
    <w:rsid w:val="002568C2"/>
    <w:rsid w:val="00273C2F"/>
    <w:rsid w:val="002876D6"/>
    <w:rsid w:val="00296272"/>
    <w:rsid w:val="002C2BDA"/>
    <w:rsid w:val="002D4BF4"/>
    <w:rsid w:val="00332CBC"/>
    <w:rsid w:val="003378FE"/>
    <w:rsid w:val="00356898"/>
    <w:rsid w:val="003574B5"/>
    <w:rsid w:val="00366248"/>
    <w:rsid w:val="003D5C64"/>
    <w:rsid w:val="004014F1"/>
    <w:rsid w:val="00426B6C"/>
    <w:rsid w:val="00444F3C"/>
    <w:rsid w:val="00450C88"/>
    <w:rsid w:val="004B4968"/>
    <w:rsid w:val="004D5800"/>
    <w:rsid w:val="004F3182"/>
    <w:rsid w:val="0059001C"/>
    <w:rsid w:val="005A4D44"/>
    <w:rsid w:val="005D4816"/>
    <w:rsid w:val="006646FA"/>
    <w:rsid w:val="00672F8B"/>
    <w:rsid w:val="00675694"/>
    <w:rsid w:val="00684964"/>
    <w:rsid w:val="006961E7"/>
    <w:rsid w:val="00717198"/>
    <w:rsid w:val="00731F3C"/>
    <w:rsid w:val="007735A3"/>
    <w:rsid w:val="00776EC9"/>
    <w:rsid w:val="007958EB"/>
    <w:rsid w:val="007B7056"/>
    <w:rsid w:val="007F3085"/>
    <w:rsid w:val="00821364"/>
    <w:rsid w:val="00836D74"/>
    <w:rsid w:val="008918DC"/>
    <w:rsid w:val="008B4429"/>
    <w:rsid w:val="008F01C7"/>
    <w:rsid w:val="008F4CAF"/>
    <w:rsid w:val="00917C30"/>
    <w:rsid w:val="009879D7"/>
    <w:rsid w:val="009A2C75"/>
    <w:rsid w:val="009B0E13"/>
    <w:rsid w:val="009C00A8"/>
    <w:rsid w:val="00A268ED"/>
    <w:rsid w:val="00A46EC1"/>
    <w:rsid w:val="00A758D8"/>
    <w:rsid w:val="00AE2029"/>
    <w:rsid w:val="00AE68BB"/>
    <w:rsid w:val="00B10223"/>
    <w:rsid w:val="00B266AE"/>
    <w:rsid w:val="00B34C5C"/>
    <w:rsid w:val="00B371DF"/>
    <w:rsid w:val="00B40F59"/>
    <w:rsid w:val="00B52E1B"/>
    <w:rsid w:val="00B84821"/>
    <w:rsid w:val="00B875DD"/>
    <w:rsid w:val="00BE094B"/>
    <w:rsid w:val="00BF0800"/>
    <w:rsid w:val="00C7354F"/>
    <w:rsid w:val="00C75761"/>
    <w:rsid w:val="00C81277"/>
    <w:rsid w:val="00CB649D"/>
    <w:rsid w:val="00CE3E24"/>
    <w:rsid w:val="00CF1A54"/>
    <w:rsid w:val="00D07DD7"/>
    <w:rsid w:val="00D202CE"/>
    <w:rsid w:val="00D3706D"/>
    <w:rsid w:val="00D62528"/>
    <w:rsid w:val="00D74697"/>
    <w:rsid w:val="00D760F6"/>
    <w:rsid w:val="00D91A0F"/>
    <w:rsid w:val="00DB6C84"/>
    <w:rsid w:val="00DD07B7"/>
    <w:rsid w:val="00DD2F5B"/>
    <w:rsid w:val="00E457C8"/>
    <w:rsid w:val="00E5637F"/>
    <w:rsid w:val="00E65257"/>
    <w:rsid w:val="00E65899"/>
    <w:rsid w:val="00E70989"/>
    <w:rsid w:val="00E717EF"/>
    <w:rsid w:val="00E72D1E"/>
    <w:rsid w:val="00E7647F"/>
    <w:rsid w:val="00EA7CAB"/>
    <w:rsid w:val="00EE50C1"/>
    <w:rsid w:val="00EE7C12"/>
    <w:rsid w:val="00EF6444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2B74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Naira Mirzoyan</cp:lastModifiedBy>
  <cp:revision>79</cp:revision>
  <cp:lastPrinted>2024-05-10T07:32:00Z</cp:lastPrinted>
  <dcterms:created xsi:type="dcterms:W3CDTF">2017-11-07T05:41:00Z</dcterms:created>
  <dcterms:modified xsi:type="dcterms:W3CDTF">2024-05-10T08:05:00Z</dcterms:modified>
</cp:coreProperties>
</file>