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2FC8" w14:textId="77777777" w:rsidR="00950154" w:rsidRPr="008F3469" w:rsidRDefault="00674884" w:rsidP="00700CF4">
      <w:pPr>
        <w:shd w:val="clear" w:color="auto" w:fill="FFFFFF"/>
        <w:spacing w:after="0" w:line="360" w:lineRule="auto"/>
        <w:ind w:left="0" w:firstLine="360"/>
        <w:jc w:val="center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8F3469">
        <w:rPr>
          <w:rFonts w:ascii="GHEA Grapalat" w:hAnsi="GHEA Grapalat" w:cs="Arial"/>
          <w:b/>
          <w:bCs/>
          <w:sz w:val="24"/>
          <w:szCs w:val="24"/>
          <w:lang w:val="hy-AM"/>
        </w:rPr>
        <w:t>ՀԻՄՆԱՎՈՐՈՒՄ</w:t>
      </w:r>
    </w:p>
    <w:p w14:paraId="7F97F9CC" w14:textId="6739F07C" w:rsidR="00950154" w:rsidRPr="008F3469" w:rsidRDefault="00367E73" w:rsidP="00700CF4">
      <w:pPr>
        <w:shd w:val="clear" w:color="auto" w:fill="FFFFFF"/>
        <w:spacing w:after="0" w:line="360" w:lineRule="auto"/>
        <w:ind w:left="0" w:firstLine="360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bookmarkStart w:id="0" w:name="_Hlk135653829"/>
      <w:r w:rsidRPr="00367E73">
        <w:rPr>
          <w:rFonts w:ascii="GHEA Grapalat" w:eastAsia="Times New Roman" w:hAnsi="GHEA Grapalat"/>
          <w:b/>
          <w:bCs/>
          <w:sz w:val="24"/>
          <w:szCs w:val="24"/>
          <w:lang w:val="hy-AM"/>
        </w:rPr>
        <w:t>ՍԿՍՆԱԿ ԵՎ ՓՈՔՐ ՁԵՌՆԵՐԵՑՆԵՐԻՆ ԱՋԱԿՑՈՒԹՅԱՆ ՄԻՋՈՑԱՌՈՒՄՆԵՐԸ ՀԱՍՏԱՏԵԼՈՒ ՎԵՐԱԲԵՐՅԱԼ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bookmarkEnd w:id="0"/>
      <w:r w:rsidR="00674884" w:rsidRPr="008F3469">
        <w:rPr>
          <w:rFonts w:ascii="GHEA Grapalat" w:hAnsi="GHEA Grapalat" w:cs="Arial"/>
          <w:b/>
          <w:bCs/>
          <w:sz w:val="24"/>
          <w:szCs w:val="24"/>
          <w:lang w:val="hy-AM"/>
        </w:rPr>
        <w:t>ՀԱՅԱՍՏԱՆԻ ՀԱՆՐԱՊԵՏՈՒԹՅԱՆ ԿԱՌԱՎԱՐՈՒԹՅԱՆ ՈՐՈՇՄԱՆ ՆԱԽԱԳԾԻ</w:t>
      </w:r>
    </w:p>
    <w:p w14:paraId="045707EA" w14:textId="77777777" w:rsidR="00FF5ADD" w:rsidRPr="008F3469" w:rsidRDefault="00FF5ADD" w:rsidP="00700CF4">
      <w:pPr>
        <w:shd w:val="clear" w:color="auto" w:fill="FFFFFF"/>
        <w:spacing w:after="0" w:line="360" w:lineRule="auto"/>
        <w:ind w:left="0" w:firstLine="360"/>
        <w:rPr>
          <w:rFonts w:ascii="GHEA Grapalat" w:hAnsi="GHEA Grapalat" w:cs="Arial"/>
          <w:b/>
          <w:sz w:val="24"/>
          <w:szCs w:val="24"/>
          <w:lang w:val="hy-AM"/>
        </w:rPr>
      </w:pPr>
    </w:p>
    <w:p w14:paraId="19D758C7" w14:textId="5BB12DA0" w:rsidR="00FF5ADD" w:rsidRPr="008F3469" w:rsidRDefault="00FF5ADD" w:rsidP="00700CF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360"/>
        <w:rPr>
          <w:rFonts w:ascii="GHEA Grapalat" w:hAnsi="GHEA Grapalat" w:cs="Arial"/>
          <w:b/>
          <w:sz w:val="24"/>
          <w:szCs w:val="24"/>
          <w:lang w:val="hy-AM"/>
        </w:rPr>
      </w:pPr>
      <w:r w:rsidRPr="008F3469">
        <w:rPr>
          <w:rFonts w:ascii="GHEA Grapalat" w:hAnsi="GHEA Grapalat" w:cs="Arial"/>
          <w:b/>
          <w:sz w:val="24"/>
          <w:szCs w:val="24"/>
          <w:lang w:val="hy-AM"/>
        </w:rPr>
        <w:t>Անհրաժեշտությունը</w:t>
      </w:r>
    </w:p>
    <w:p w14:paraId="37C4B7E9" w14:textId="71AB28A9" w:rsidR="00A85561" w:rsidRPr="008F3469" w:rsidRDefault="00670DF4" w:rsidP="00700CF4">
      <w:pPr>
        <w:shd w:val="clear" w:color="auto" w:fill="FFFFFF"/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Առաջարկվող նախագծի ընդունումը կապված է Կառավարության 202</w:t>
      </w:r>
      <w:r w:rsidR="004A119F" w:rsidRPr="008F3469">
        <w:rPr>
          <w:rFonts w:ascii="GHEA Grapalat" w:hAnsi="GHEA Grapalat" w:cs="Arial"/>
          <w:sz w:val="24"/>
          <w:szCs w:val="24"/>
          <w:lang w:val="hy-AM"/>
        </w:rPr>
        <w:t>1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թվականի 1902-Լ որոշման 1-ին հավելվածով հաստատված Էկոնոմիկայի նախարարության բաժնի 4</w:t>
      </w:r>
      <w:r w:rsidR="004A119F" w:rsidRPr="008F3469">
        <w:rPr>
          <w:rFonts w:ascii="GHEA Grapalat" w:hAnsi="GHEA Grapalat" w:cs="Arial"/>
          <w:sz w:val="24"/>
          <w:szCs w:val="24"/>
          <w:lang w:val="hy-AM"/>
        </w:rPr>
        <w:t xml:space="preserve">-րդ կետով սահմանված նպատակի՝ </w:t>
      </w:r>
      <w:r w:rsidR="00904FCA" w:rsidRPr="008F3469">
        <w:rPr>
          <w:rFonts w:ascii="GHEA Grapalat" w:hAnsi="GHEA Grapalat" w:cs="Arial"/>
          <w:sz w:val="24"/>
          <w:szCs w:val="24"/>
          <w:lang w:val="hy-AM"/>
        </w:rPr>
        <w:t>«</w:t>
      </w:r>
      <w:r w:rsidR="004A119F" w:rsidRPr="008F3469">
        <w:rPr>
          <w:rFonts w:ascii="GHEA Grapalat" w:hAnsi="GHEA Grapalat" w:cs="Arial"/>
          <w:sz w:val="24"/>
          <w:szCs w:val="24"/>
          <w:lang w:val="hy-AM"/>
        </w:rPr>
        <w:t>Փոքր և միջին ձեռնարկատիրության զարգացում, ՓՄՁ-ի մասնաբաժինը ՀՆԱ-ում՝ 55%</w:t>
      </w:r>
      <w:r w:rsidR="00904FCA" w:rsidRPr="008F3469">
        <w:rPr>
          <w:rFonts w:ascii="GHEA Grapalat" w:hAnsi="GHEA Grapalat" w:cs="Arial"/>
          <w:sz w:val="24"/>
          <w:szCs w:val="24"/>
          <w:lang w:val="hy-AM"/>
        </w:rPr>
        <w:t>»</w:t>
      </w:r>
      <w:r w:rsidR="004A119F" w:rsidRPr="008F3469">
        <w:rPr>
          <w:rFonts w:ascii="GHEA Grapalat" w:hAnsi="GHEA Grapalat" w:cs="Arial"/>
          <w:sz w:val="24"/>
          <w:szCs w:val="24"/>
          <w:lang w:val="hy-AM"/>
        </w:rPr>
        <w:t xml:space="preserve"> իրականացումն ապահովելու անհրաժեշտությամբ, </w:t>
      </w:r>
      <w:r w:rsidR="00A85561" w:rsidRPr="008F3469">
        <w:rPr>
          <w:rFonts w:ascii="GHEA Grapalat" w:hAnsi="GHEA Grapalat" w:cs="Arial"/>
          <w:sz w:val="24"/>
          <w:szCs w:val="24"/>
          <w:lang w:val="hy-AM"/>
        </w:rPr>
        <w:t>մասնավորապես</w:t>
      </w:r>
      <w:r w:rsidR="00ED51DE">
        <w:rPr>
          <w:rFonts w:ascii="GHEA Grapalat" w:hAnsi="GHEA Grapalat" w:cs="Arial"/>
          <w:sz w:val="24"/>
          <w:szCs w:val="24"/>
          <w:lang w:val="hy-AM"/>
        </w:rPr>
        <w:t>՝</w:t>
      </w:r>
      <w:r w:rsidR="00A85561" w:rsidRPr="008F3469">
        <w:rPr>
          <w:rFonts w:ascii="GHEA Grapalat" w:hAnsi="GHEA Grapalat" w:cs="Arial"/>
          <w:sz w:val="24"/>
          <w:szCs w:val="24"/>
          <w:lang w:val="hy-AM"/>
        </w:rPr>
        <w:t xml:space="preserve"> սահմանված են հետևյալ արդյունքային ցուցանիշները</w:t>
      </w:r>
      <w:r w:rsidR="00A85561" w:rsidRPr="008F3469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A1BA43F" w14:textId="21CEB823" w:rsidR="00540ACD" w:rsidRPr="008F3469" w:rsidRDefault="00540ACD" w:rsidP="00540ACD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սկսնակ և գործող ՓՄՁ աջակցության ծրագրե</w:t>
      </w:r>
      <w:r w:rsidR="00BD024C" w:rsidRPr="008F3469">
        <w:rPr>
          <w:rFonts w:ascii="GHEA Grapalat" w:hAnsi="GHEA Grapalat" w:cs="Arial"/>
          <w:sz w:val="24"/>
          <w:szCs w:val="24"/>
          <w:lang w:val="hy-AM"/>
        </w:rPr>
        <w:t>ր</w:t>
      </w:r>
      <w:r w:rsidRPr="008F3469">
        <w:rPr>
          <w:rFonts w:ascii="GHEA Grapalat" w:hAnsi="GHEA Grapalat" w:cs="Arial"/>
          <w:sz w:val="24"/>
          <w:szCs w:val="24"/>
          <w:lang w:val="hy-AM"/>
        </w:rPr>
        <w:t>ի շրջանակում տարեկան 2000 ՓՄՁ-ի ֆինանսական աջակցության տրամադրում</w:t>
      </w:r>
      <w:r w:rsidR="00E252A6">
        <w:rPr>
          <w:rFonts w:ascii="GHEA Grapalat" w:hAnsi="GHEA Grapalat" w:cs="Arial"/>
          <w:sz w:val="24"/>
          <w:szCs w:val="24"/>
          <w:lang w:val="hy-AM"/>
        </w:rPr>
        <w:t>՝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թիրախավորելով կանանց և առաջնահերթություն տալով  աճի ամենամեծ պոտենցիալը ունեցող ոլորտներին,</w:t>
      </w:r>
    </w:p>
    <w:p w14:paraId="086517DE" w14:textId="71D624A2" w:rsidR="00540ACD" w:rsidRPr="008F3469" w:rsidRDefault="00540ACD" w:rsidP="00540ACD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տարեկան 500 ձեռներեցների (կանանց և մարզային </w:t>
      </w:r>
      <w:r w:rsidR="009E24C1" w:rsidRPr="008F3469">
        <w:rPr>
          <w:rFonts w:ascii="GHEA Grapalat" w:hAnsi="GHEA Grapalat" w:cs="Arial"/>
          <w:sz w:val="24"/>
          <w:szCs w:val="24"/>
          <w:lang w:val="hy-AM"/>
        </w:rPr>
        <w:t>բնակչության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թիրախավորմամբ) ՓՄՁ ինկուբացիոն ծրագրի մասնակցություն։</w:t>
      </w:r>
    </w:p>
    <w:p w14:paraId="0B07A8FC" w14:textId="4CB94C05" w:rsidR="004A119F" w:rsidRPr="008F3469" w:rsidRDefault="00540ACD" w:rsidP="00540ACD">
      <w:pPr>
        <w:shd w:val="clear" w:color="auto" w:fill="FFFFFF"/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Ի</w:t>
      </w:r>
      <w:r w:rsidR="004A119F" w:rsidRPr="008F3469">
        <w:rPr>
          <w:rFonts w:ascii="GHEA Grapalat" w:hAnsi="GHEA Grapalat" w:cs="Arial"/>
          <w:sz w:val="24"/>
          <w:szCs w:val="24"/>
          <w:lang w:val="hy-AM"/>
        </w:rPr>
        <w:t>նչպես նաև</w:t>
      </w:r>
      <w:r w:rsidR="00ED51DE">
        <w:rPr>
          <w:rFonts w:ascii="GHEA Grapalat" w:hAnsi="GHEA Grapalat" w:cs="Arial"/>
          <w:sz w:val="24"/>
          <w:szCs w:val="24"/>
          <w:lang w:val="hy-AM"/>
        </w:rPr>
        <w:t>՝</w:t>
      </w:r>
      <w:r w:rsidR="004A119F" w:rsidRPr="008F3469">
        <w:rPr>
          <w:rFonts w:ascii="GHEA Grapalat" w:hAnsi="GHEA Grapalat" w:cs="Arial"/>
          <w:sz w:val="24"/>
          <w:szCs w:val="24"/>
          <w:lang w:val="hy-AM"/>
        </w:rPr>
        <w:t xml:space="preserve"> 2020 թվականի 1443-Լ որոշմամբ հաստատված </w:t>
      </w:r>
      <w:r w:rsidR="00ED51DE">
        <w:rPr>
          <w:rFonts w:ascii="GHEA Grapalat" w:hAnsi="GHEA Grapalat" w:cs="Arial"/>
          <w:sz w:val="24"/>
          <w:szCs w:val="24"/>
          <w:lang w:val="hy-AM"/>
        </w:rPr>
        <w:t xml:space="preserve">և </w:t>
      </w:r>
      <w:r w:rsidR="004A119F" w:rsidRPr="008F3469">
        <w:rPr>
          <w:rFonts w:ascii="GHEA Grapalat" w:hAnsi="GHEA Grapalat" w:cs="Arial"/>
          <w:sz w:val="24"/>
          <w:szCs w:val="24"/>
          <w:lang w:val="hy-AM"/>
        </w:rPr>
        <w:t>ՓՄՁ ռազմավարությամբ սահմանված թիրախներին հասնելու անհրաժեշտությամբ։</w:t>
      </w:r>
    </w:p>
    <w:p w14:paraId="73DFB3E1" w14:textId="2AB97812" w:rsidR="00670DF4" w:rsidRPr="008F3469" w:rsidRDefault="004A119F" w:rsidP="00700CF4">
      <w:pPr>
        <w:shd w:val="clear" w:color="auto" w:fill="FFFFFF"/>
        <w:spacing w:after="0"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Առաջարկվող նախագիծը կնպաստի ՀՀ-ում գործունեություն իրականացնող ՓՄՁ սուբյեկտների ձեռնարկատիրական գիտելիքների զարգացմանը, վերջիններիս գործունեության ընդլայնման նպատակով մատչելի ֆինանսական միջոցների հասանելիության ապահովմանը և ՓՄՁ սուբյեկտների մրցունակության բարձրացմանը։</w:t>
      </w:r>
      <w:r w:rsidR="00670DF4" w:rsidRPr="008F3469">
        <w:rPr>
          <w:rFonts w:ascii="GHEA Grapalat" w:hAnsi="GHEA Grapalat"/>
          <w:lang w:val="hy-AM"/>
        </w:rPr>
        <w:t xml:space="preserve"> </w:t>
      </w:r>
    </w:p>
    <w:p w14:paraId="392FCBAD" w14:textId="77777777" w:rsidR="00EF4C73" w:rsidRPr="008F3469" w:rsidRDefault="00EF4C73" w:rsidP="00700CF4">
      <w:pPr>
        <w:shd w:val="clear" w:color="auto" w:fill="FFFFFF"/>
        <w:spacing w:after="0" w:line="360" w:lineRule="auto"/>
        <w:ind w:left="0" w:firstLine="360"/>
        <w:rPr>
          <w:rFonts w:ascii="GHEA Grapalat" w:hAnsi="GHEA Grapalat" w:cs="Arial"/>
          <w:b/>
          <w:sz w:val="24"/>
          <w:szCs w:val="24"/>
          <w:lang w:val="hy-AM"/>
        </w:rPr>
      </w:pPr>
    </w:p>
    <w:p w14:paraId="79A5823D" w14:textId="58C79EB0" w:rsidR="00EF4C73" w:rsidRPr="008F3469" w:rsidRDefault="00EF4C73" w:rsidP="00700CF4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b/>
          <w:sz w:val="24"/>
          <w:szCs w:val="24"/>
          <w:lang w:val="hy-AM"/>
        </w:rPr>
        <w:t xml:space="preserve">Ընթացիկ իրավիճակը և </w:t>
      </w:r>
      <w:r w:rsidR="006A00E6" w:rsidRPr="008F3469">
        <w:rPr>
          <w:rFonts w:ascii="GHEA Grapalat" w:hAnsi="GHEA Grapalat" w:cs="Arial"/>
          <w:b/>
          <w:sz w:val="24"/>
          <w:szCs w:val="24"/>
          <w:lang w:val="hy-AM"/>
        </w:rPr>
        <w:t>խնդիրները</w:t>
      </w:r>
    </w:p>
    <w:p w14:paraId="366FD8E5" w14:textId="77EEF79E" w:rsidR="00A82650" w:rsidRPr="008F3469" w:rsidRDefault="00A82650" w:rsidP="00700CF4">
      <w:pPr>
        <w:pStyle w:val="ListParagraph"/>
        <w:shd w:val="clear" w:color="auto" w:fill="FFFFFF"/>
        <w:spacing w:after="0"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ՓՄՁ սուբյեկտները Հայաստանի տնտեսության մրցունակության բարձրացման, ներառականության և կայուն զարգացման ապահովման կարևորագույն գործոններից են: Կառավարության 2021 թվականի 1902-Լ որոշմամբ մեծապես կարևորվում է ՓՄՁ զարգացումը և ՓՄՁ սուբյեկտների մասնաբաժինը ՀՆԱ-ում։ </w:t>
      </w:r>
    </w:p>
    <w:p w14:paraId="10DA2585" w14:textId="4438FE74" w:rsidR="00E01A61" w:rsidRPr="008F3469" w:rsidRDefault="00E01A61" w:rsidP="00700CF4">
      <w:pPr>
        <w:pStyle w:val="ListParagraph"/>
        <w:shd w:val="clear" w:color="auto" w:fill="FFFFFF"/>
        <w:spacing w:after="0"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Հայաստանի Հանրապետությունում գործունեություն իրականացնող  ՓՄՁ ոլորտի տնտեսավարողների մեկ վարձու աշխատողի հաշվով ստեղծված ավելացված արժեքը 2021թ</w:t>
      </w:r>
      <w:r w:rsidRPr="008F3469">
        <w:rPr>
          <w:rFonts w:ascii="Cambria Math" w:hAnsi="Cambria Math" w:cs="Cambria Math"/>
          <w:sz w:val="24"/>
          <w:szCs w:val="24"/>
          <w:lang w:val="hy-AM"/>
        </w:rPr>
        <w:t>․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տարեկան կտրվածքով կազմել է շուրջ 8 մլն դրամ, ընդ որում դիտարկվող </w:t>
      </w:r>
      <w:r w:rsidRPr="008F3469">
        <w:rPr>
          <w:rFonts w:ascii="GHEA Grapalat" w:hAnsi="GHEA Grapalat" w:cs="Arial"/>
          <w:sz w:val="24"/>
          <w:szCs w:val="24"/>
          <w:lang w:val="hy-AM"/>
        </w:rPr>
        <w:lastRenderedPageBreak/>
        <w:t>ոլորտներում վարձու ա</w:t>
      </w:r>
      <w:r w:rsidR="009448E0" w:rsidRPr="008F3469">
        <w:rPr>
          <w:rFonts w:ascii="GHEA Grapalat" w:hAnsi="GHEA Grapalat" w:cs="Arial"/>
          <w:sz w:val="24"/>
          <w:szCs w:val="24"/>
          <w:lang w:val="hy-AM"/>
        </w:rPr>
        <w:t>շխատակիցների 69</w:t>
      </w:r>
      <w:r w:rsidR="009448E0" w:rsidRPr="008F3469">
        <w:rPr>
          <w:rFonts w:ascii="Cambria Math" w:hAnsi="Cambria Math" w:cs="Cambria Math"/>
          <w:sz w:val="24"/>
          <w:szCs w:val="24"/>
          <w:lang w:val="hy-AM"/>
        </w:rPr>
        <w:t>․</w:t>
      </w:r>
      <w:r w:rsidR="009448E0" w:rsidRPr="008F3469">
        <w:rPr>
          <w:rFonts w:ascii="GHEA Grapalat" w:hAnsi="GHEA Grapalat" w:cs="Arial"/>
          <w:sz w:val="24"/>
          <w:szCs w:val="24"/>
          <w:lang w:val="hy-AM"/>
        </w:rPr>
        <w:t>5%-ը ՓՄՁ սուբյեկտների աշխատակիցներ են, իսկ համախառն ավելացված արժեքի 63</w:t>
      </w:r>
      <w:r w:rsidR="009448E0" w:rsidRPr="008F3469">
        <w:rPr>
          <w:rFonts w:ascii="Cambria Math" w:hAnsi="Cambria Math" w:cs="Cambria Math"/>
          <w:sz w:val="24"/>
          <w:szCs w:val="24"/>
          <w:lang w:val="hy-AM"/>
        </w:rPr>
        <w:t>․</w:t>
      </w:r>
      <w:r w:rsidR="009448E0" w:rsidRPr="008F3469">
        <w:rPr>
          <w:rFonts w:ascii="GHEA Grapalat" w:hAnsi="GHEA Grapalat" w:cs="Arial"/>
          <w:sz w:val="24"/>
          <w:szCs w:val="24"/>
          <w:lang w:val="hy-AM"/>
        </w:rPr>
        <w:t>4%-ը ստեղծվել է ՓՄՁ սուբյեկտների կողմից</w:t>
      </w:r>
      <w:r w:rsidR="004F03F6" w:rsidRPr="008F3469">
        <w:rPr>
          <w:rStyle w:val="FootnoteReference"/>
          <w:rFonts w:ascii="GHEA Grapalat" w:hAnsi="GHEA Grapalat" w:cs="Arial"/>
          <w:sz w:val="24"/>
          <w:szCs w:val="24"/>
          <w:lang w:val="hy-AM"/>
        </w:rPr>
        <w:footnoteReference w:id="1"/>
      </w:r>
      <w:r w:rsidR="009448E0" w:rsidRPr="008F3469">
        <w:rPr>
          <w:rFonts w:ascii="GHEA Grapalat" w:hAnsi="GHEA Grapalat" w:cs="Arial"/>
          <w:sz w:val="24"/>
          <w:szCs w:val="24"/>
          <w:lang w:val="hy-AM"/>
        </w:rPr>
        <w:t xml:space="preserve">։ </w:t>
      </w:r>
    </w:p>
    <w:p w14:paraId="70A63FCB" w14:textId="77777777" w:rsidR="00FD59EA" w:rsidRPr="008F3469" w:rsidRDefault="009448E0" w:rsidP="00700CF4">
      <w:pPr>
        <w:pStyle w:val="ListParagraph"/>
        <w:shd w:val="clear" w:color="auto" w:fill="FFFFFF"/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Աճի ներուժ ունեցող ՓՄՁ սուբյեկտները հանդիսանում են տնտեսության շարժիչ ուժը</w:t>
      </w:r>
      <w:r w:rsidR="00FD59EA" w:rsidRPr="008F3469">
        <w:rPr>
          <w:rFonts w:ascii="GHEA Grapalat" w:hAnsi="GHEA Grapalat" w:cs="Arial"/>
          <w:sz w:val="24"/>
          <w:szCs w:val="24"/>
          <w:lang w:val="hy-AM"/>
        </w:rPr>
        <w:t>, մասնավորպես</w:t>
      </w:r>
      <w:r w:rsidR="00FD59EA" w:rsidRPr="008F3469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089A647" w14:textId="79E76710" w:rsidR="00FD59EA" w:rsidRPr="008F3469" w:rsidRDefault="004B4B35" w:rsidP="00FD59EA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EF00A1D" wp14:editId="70CCDF51">
            <wp:simplePos x="0" y="0"/>
            <wp:positionH relativeFrom="margin">
              <wp:align>right</wp:align>
            </wp:positionH>
            <wp:positionV relativeFrom="paragraph">
              <wp:posOffset>612775</wp:posOffset>
            </wp:positionV>
            <wp:extent cx="6292850" cy="3105150"/>
            <wp:effectExtent l="0" t="0" r="12700" b="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9DD5457-B5DA-48CE-87A0-A1D94B2676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9EA" w:rsidRPr="008F3469">
        <w:rPr>
          <w:rFonts w:ascii="GHEA Grapalat" w:hAnsi="GHEA Grapalat" w:cs="Arial"/>
          <w:sz w:val="24"/>
          <w:szCs w:val="24"/>
          <w:lang w:val="hy-AM"/>
        </w:rPr>
        <w:t>Համաձայն Աշխատանքի միջազգային կազմակերպության աշխարհի շատ երկրներում աշխատատեղերի 60-70%-ը ստեղծվում է ՓՄՁ-երի կողմից</w:t>
      </w:r>
      <w:r w:rsidRPr="008F3469">
        <w:rPr>
          <w:rStyle w:val="FootnoteReference"/>
          <w:rFonts w:ascii="GHEA Grapalat" w:hAnsi="GHEA Grapalat" w:cs="Arial"/>
          <w:sz w:val="24"/>
          <w:szCs w:val="24"/>
          <w:lang w:val="hy-AM"/>
        </w:rPr>
        <w:footnoteReference w:id="2"/>
      </w:r>
      <w:r w:rsidR="00FD59EA" w:rsidRPr="008F3469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031FCC5" w14:textId="3F94F5F0" w:rsidR="00FD59EA" w:rsidRPr="008F3469" w:rsidRDefault="00FD59EA" w:rsidP="004B4B35">
      <w:pPr>
        <w:shd w:val="clear" w:color="auto" w:fill="FFFFFF"/>
        <w:spacing w:after="0" w:line="360" w:lineRule="auto"/>
        <w:ind w:left="0" w:firstLine="448"/>
        <w:rPr>
          <w:rFonts w:ascii="GHEA Grapalat" w:hAnsi="GHEA Grapalat" w:cs="Arial"/>
          <w:sz w:val="24"/>
          <w:szCs w:val="24"/>
          <w:lang w:val="hy-AM"/>
        </w:rPr>
      </w:pPr>
    </w:p>
    <w:p w14:paraId="472AE537" w14:textId="61C04BE4" w:rsidR="004B4B35" w:rsidRPr="008F3469" w:rsidRDefault="004B4B35" w:rsidP="004B4B35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Եվրոպական միության երկրներում ՓՄՁ-երի տեսակարար կշիռը ՀՆԱ-ում մոտ 57% է,</w:t>
      </w:r>
    </w:p>
    <w:p w14:paraId="384EEEC6" w14:textId="7F8D6543" w:rsidR="004B4B35" w:rsidRPr="008F3469" w:rsidRDefault="004B4B35" w:rsidP="004B4B35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ՓՄՁ սուբյեկտները նպաստում են մարզային համաչափ զարգացմանը,</w:t>
      </w:r>
    </w:p>
    <w:p w14:paraId="6E72C9C7" w14:textId="61B6EC1D" w:rsidR="004B4B35" w:rsidRPr="008F3469" w:rsidRDefault="004B4B35" w:rsidP="004B4B35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ՓՄՁ սուբյեկտներում ներգրավված են կանայք և երիտասարդները,</w:t>
      </w:r>
    </w:p>
    <w:p w14:paraId="418CEFA7" w14:textId="6006C3F0" w:rsidR="004B4B35" w:rsidRPr="008F3469" w:rsidRDefault="004B4B35" w:rsidP="004B4B35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ՓՄՁ սուբյեկտները խթանում են նորարարության զարգացումը՝ հանդես գալով նոր գաղափարներով։</w:t>
      </w:r>
    </w:p>
    <w:p w14:paraId="72430DF1" w14:textId="468DD411" w:rsidR="00A82650" w:rsidRPr="008F3469" w:rsidRDefault="009448E0" w:rsidP="00FD59EA">
      <w:pPr>
        <w:shd w:val="clear" w:color="auto" w:fill="FFFFFF"/>
        <w:spacing w:after="0" w:line="360" w:lineRule="auto"/>
        <w:ind w:left="0" w:firstLine="448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Ա</w:t>
      </w:r>
      <w:r w:rsidR="004F03F6" w:rsidRPr="008F3469">
        <w:rPr>
          <w:rFonts w:ascii="GHEA Grapalat" w:hAnsi="GHEA Grapalat" w:cs="Arial"/>
          <w:sz w:val="24"/>
          <w:szCs w:val="24"/>
          <w:lang w:val="hy-AM"/>
        </w:rPr>
        <w:t>ճ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ի ներուժը ամբողջական և գրագետ օգտագործելու նպատակով անհրաժեշտ է ապահովել ՓՄՁ սուբյեկտների մրցունակության բարձրացումը, շուկաների ընդլայնումը ձեռնարկատիրական հմտությունների զարգացման և մատչելի/այլընտրանքային </w:t>
      </w:r>
      <w:r w:rsidRPr="008F3469">
        <w:rPr>
          <w:rFonts w:ascii="GHEA Grapalat" w:hAnsi="GHEA Grapalat" w:cs="Arial"/>
          <w:sz w:val="24"/>
          <w:szCs w:val="24"/>
          <w:lang w:val="hy-AM"/>
        </w:rPr>
        <w:lastRenderedPageBreak/>
        <w:t>ֆինանսական միջոցների հասանելիության ապահովման միջոցով։</w:t>
      </w:r>
      <w:r w:rsidR="0069610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D5E52" w:rsidRPr="008F3469">
        <w:rPr>
          <w:rFonts w:ascii="GHEA Grapalat" w:hAnsi="GHEA Grapalat" w:cs="Arial"/>
          <w:sz w:val="24"/>
          <w:szCs w:val="24"/>
          <w:lang w:val="hy-AM"/>
        </w:rPr>
        <w:t xml:space="preserve">Այս </w:t>
      </w:r>
      <w:r w:rsidR="009E24C1" w:rsidRPr="008F3469">
        <w:rPr>
          <w:rFonts w:ascii="GHEA Grapalat" w:hAnsi="GHEA Grapalat" w:cs="Arial"/>
          <w:sz w:val="24"/>
          <w:szCs w:val="24"/>
          <w:lang w:val="hy-AM"/>
        </w:rPr>
        <w:t>համատեքստում</w:t>
      </w:r>
      <w:r w:rsidR="00AD5E52" w:rsidRPr="008F3469">
        <w:rPr>
          <w:rFonts w:ascii="GHEA Grapalat" w:hAnsi="GHEA Grapalat" w:cs="Arial"/>
          <w:sz w:val="24"/>
          <w:szCs w:val="24"/>
          <w:lang w:val="hy-AM"/>
        </w:rPr>
        <w:t xml:space="preserve"> կարևոր է անդրադառնալ նաև գրավադրման խնդրին, մասնավորապես</w:t>
      </w:r>
      <w:r w:rsidR="0069610D">
        <w:rPr>
          <w:rFonts w:ascii="GHEA Grapalat" w:hAnsi="GHEA Grapalat" w:cs="Arial"/>
          <w:sz w:val="24"/>
          <w:szCs w:val="24"/>
          <w:lang w:val="hy-AM"/>
        </w:rPr>
        <w:t>`</w:t>
      </w:r>
      <w:r w:rsidR="00AD5E52" w:rsidRPr="008F3469">
        <w:rPr>
          <w:rFonts w:ascii="GHEA Grapalat" w:hAnsi="GHEA Grapalat" w:cs="Arial"/>
          <w:sz w:val="24"/>
          <w:szCs w:val="24"/>
          <w:lang w:val="hy-AM"/>
        </w:rPr>
        <w:t xml:space="preserve"> համաձայն Համաշխարհային բանկի վերլուծությունների, կին ձեռներեցները բիզնեսում ֆինանսական</w:t>
      </w:r>
      <w:r w:rsidR="00BD024C" w:rsidRPr="008F3469">
        <w:rPr>
          <w:rFonts w:ascii="GHEA Grapalat" w:hAnsi="GHEA Grapalat" w:cs="Arial"/>
          <w:sz w:val="24"/>
          <w:szCs w:val="24"/>
          <w:lang w:val="hy-AM"/>
        </w:rPr>
        <w:t xml:space="preserve"> հավելյալ</w:t>
      </w:r>
      <w:r w:rsidR="00AD5E52" w:rsidRPr="008F346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D024C" w:rsidRPr="008F3469">
        <w:rPr>
          <w:rFonts w:ascii="GHEA Grapalat" w:hAnsi="GHEA Grapalat" w:cs="Arial"/>
          <w:sz w:val="24"/>
          <w:szCs w:val="24"/>
          <w:lang w:val="hy-AM"/>
        </w:rPr>
        <w:t>ներդրման</w:t>
      </w:r>
      <w:r w:rsidR="00AD5E52" w:rsidRPr="008F3469">
        <w:rPr>
          <w:rFonts w:ascii="GHEA Grapalat" w:hAnsi="GHEA Grapalat" w:cs="Arial"/>
          <w:sz w:val="24"/>
          <w:szCs w:val="24"/>
          <w:lang w:val="hy-AM"/>
        </w:rPr>
        <w:t xml:space="preserve"> կարիք ունենալու դեպքում չեն կարողանում վարկ ներգրավել, քանի որ իրենց անունով գրանցված գույք չունեն,</w:t>
      </w:r>
      <w:r w:rsidR="0069610D">
        <w:rPr>
          <w:rFonts w:ascii="GHEA Grapalat" w:hAnsi="GHEA Grapalat" w:cs="Arial"/>
          <w:sz w:val="24"/>
          <w:szCs w:val="24"/>
          <w:lang w:val="hy-AM"/>
        </w:rPr>
        <w:t xml:space="preserve"> իսկ</w:t>
      </w:r>
      <w:r w:rsidR="00AD5E52" w:rsidRPr="008F3469">
        <w:rPr>
          <w:rFonts w:ascii="GHEA Grapalat" w:hAnsi="GHEA Grapalat" w:cs="Arial"/>
          <w:sz w:val="24"/>
          <w:szCs w:val="24"/>
          <w:lang w:val="hy-AM"/>
        </w:rPr>
        <w:t xml:space="preserve"> ունենալու դեպքում այդ գույքը</w:t>
      </w:r>
      <w:r w:rsidR="00904FCA" w:rsidRPr="008F3469">
        <w:rPr>
          <w:rFonts w:ascii="GHEA Grapalat" w:hAnsi="GHEA Grapalat" w:cs="Arial"/>
          <w:sz w:val="24"/>
          <w:szCs w:val="24"/>
          <w:lang w:val="hy-AM"/>
        </w:rPr>
        <w:t xml:space="preserve"> բավարար</w:t>
      </w:r>
      <w:r w:rsidR="00AD5E52" w:rsidRPr="008F3469">
        <w:rPr>
          <w:rFonts w:ascii="GHEA Grapalat" w:hAnsi="GHEA Grapalat" w:cs="Arial"/>
          <w:sz w:val="24"/>
          <w:szCs w:val="24"/>
          <w:lang w:val="hy-AM"/>
        </w:rPr>
        <w:t xml:space="preserve"> արժեք չունի։ Այս պայմաններում մարզերում գործող ձեռներեցները չունեն ֆինա</w:t>
      </w:r>
      <w:r w:rsidR="00904FCA" w:rsidRPr="008F3469">
        <w:rPr>
          <w:rFonts w:ascii="GHEA Grapalat" w:hAnsi="GHEA Grapalat" w:cs="Arial"/>
          <w:sz w:val="24"/>
          <w:szCs w:val="24"/>
          <w:lang w:val="hy-AM"/>
        </w:rPr>
        <w:t>ն</w:t>
      </w:r>
      <w:r w:rsidR="00AD5E52" w:rsidRPr="008F3469">
        <w:rPr>
          <w:rFonts w:ascii="GHEA Grapalat" w:hAnsi="GHEA Grapalat" w:cs="Arial"/>
          <w:sz w:val="24"/>
          <w:szCs w:val="24"/>
          <w:lang w:val="hy-AM"/>
        </w:rPr>
        <w:t>սների ներգրավման աղբյուրներ և ներկայումս չկան գործող ինկուբատորներ,</w:t>
      </w:r>
      <w:r w:rsidR="0069610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D5E52" w:rsidRPr="008F3469">
        <w:rPr>
          <w:rFonts w:ascii="GHEA Grapalat" w:hAnsi="GHEA Grapalat" w:cs="Arial"/>
          <w:sz w:val="24"/>
          <w:szCs w:val="24"/>
          <w:lang w:val="hy-AM"/>
        </w:rPr>
        <w:t>որոնք վերջիններիս կապահովեն անհրաժեշտ գիտելիքներով։</w:t>
      </w:r>
    </w:p>
    <w:p w14:paraId="72A57960" w14:textId="5222CF8D" w:rsidR="00AD5E52" w:rsidRPr="008F3469" w:rsidRDefault="00AD5E52" w:rsidP="00FD59EA">
      <w:pPr>
        <w:shd w:val="clear" w:color="auto" w:fill="FFFFFF"/>
        <w:spacing w:after="0" w:line="360" w:lineRule="auto"/>
        <w:ind w:left="0" w:firstLine="448"/>
        <w:rPr>
          <w:rFonts w:ascii="GHEA Grapalat" w:hAnsi="GHEA Grapalat" w:cs="Arial"/>
          <w:b/>
          <w:bCs/>
          <w:sz w:val="24"/>
          <w:szCs w:val="24"/>
          <w:lang w:val="hy-AM"/>
        </w:rPr>
      </w:pPr>
      <w:r w:rsidRPr="008F3469">
        <w:rPr>
          <w:rFonts w:ascii="GHEA Grapalat" w:hAnsi="GHEA Grapalat" w:cs="Arial"/>
          <w:b/>
          <w:bCs/>
          <w:sz w:val="24"/>
          <w:szCs w:val="24"/>
          <w:lang w:val="hy-AM"/>
        </w:rPr>
        <w:t>Սույն նախագծի ընդունումը ուղղված է 3 խնդիրների լուծմանը</w:t>
      </w:r>
      <w:r w:rsidRPr="008F3469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</w:p>
    <w:p w14:paraId="6F270E23" w14:textId="1D45EF40" w:rsidR="00AD5E52" w:rsidRPr="008F3469" w:rsidRDefault="00AD5E52" w:rsidP="00AD5E52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Լայնածավալ ինկուբացիա, կրթություն, խորհրդատվություն, որը նախկին ՓՄՁ ԶԱԿ-ի փոխարեն կիրականացվի մասնավոր հատվածի կազմակերպությունների կողմից,</w:t>
      </w:r>
    </w:p>
    <w:p w14:paraId="57BE2482" w14:textId="197AF42A" w:rsidR="00AD5E52" w:rsidRPr="008F3469" w:rsidRDefault="00AD5E52" w:rsidP="00AD5E52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Սկսնակ բիզնեսի համար մատչելի ֆինանսական միջոցների հասանելիության ապահովում,</w:t>
      </w:r>
    </w:p>
    <w:p w14:paraId="1CF5B5EB" w14:textId="69888EE1" w:rsidR="00AD5E52" w:rsidRPr="008F3469" w:rsidRDefault="00AD5E52" w:rsidP="00904FCA">
      <w:pPr>
        <w:pStyle w:val="ListParagraph"/>
        <w:numPr>
          <w:ilvl w:val="0"/>
          <w:numId w:val="19"/>
        </w:numPr>
        <w:shd w:val="clear" w:color="auto" w:fill="FFFFFF"/>
        <w:spacing w:before="240" w:after="0"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Ֆինանսական կառույցների համար պետական երաշխիքների տրամադրման միջոցով</w:t>
      </w:r>
      <w:r w:rsidR="00904FCA" w:rsidRPr="008F346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F3469">
        <w:rPr>
          <w:rFonts w:ascii="GHEA Grapalat" w:hAnsi="GHEA Grapalat" w:cs="Arial"/>
          <w:sz w:val="24"/>
          <w:szCs w:val="24"/>
          <w:lang w:val="hy-AM"/>
        </w:rPr>
        <w:t>տնտեսավարողների</w:t>
      </w:r>
      <w:r w:rsidR="00904FCA" w:rsidRPr="008F3469">
        <w:rPr>
          <w:rFonts w:ascii="GHEA Grapalat" w:hAnsi="GHEA Grapalat" w:cs="Arial"/>
          <w:sz w:val="24"/>
          <w:szCs w:val="24"/>
          <w:lang w:val="hy-AM"/>
        </w:rPr>
        <w:t xml:space="preserve"> (վարկունակության (գրավի պակաս</w:t>
      </w:r>
      <w:r w:rsidR="00E252A6">
        <w:rPr>
          <w:rFonts w:ascii="GHEA Grapalat" w:hAnsi="GHEA Grapalat" w:cs="Arial"/>
          <w:sz w:val="24"/>
          <w:szCs w:val="24"/>
          <w:lang w:val="hy-AM"/>
        </w:rPr>
        <w:t>/բացակայություն</w:t>
      </w:r>
      <w:r w:rsidR="00904FCA" w:rsidRPr="008F3469">
        <w:rPr>
          <w:rFonts w:ascii="GHEA Grapalat" w:hAnsi="GHEA Grapalat" w:cs="Arial"/>
          <w:sz w:val="24"/>
          <w:szCs w:val="24"/>
          <w:lang w:val="hy-AM"/>
        </w:rPr>
        <w:t>) հետ խնդիրներ ունեցող)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ֆինանսական միջոցների հասանելիության ապահովում։ </w:t>
      </w:r>
    </w:p>
    <w:p w14:paraId="4BAFAD70" w14:textId="06BA86BF" w:rsidR="009448E0" w:rsidRPr="008F3469" w:rsidRDefault="009448E0" w:rsidP="00700CF4">
      <w:pPr>
        <w:pStyle w:val="ListParagraph"/>
        <w:shd w:val="clear" w:color="auto" w:fill="FFFFFF"/>
        <w:spacing w:after="0"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Կառավարության 2020 թվականի 1443-Լ որոշմամբ հաստատված փոքր և միջին ձեռնարկատիրության զարգացման 2020-2024 թվականների ռազմավարությամբ</w:t>
      </w:r>
      <w:r w:rsidR="00E252A6">
        <w:rPr>
          <w:rFonts w:ascii="GHEA Grapalat" w:hAnsi="GHEA Grapalat" w:cs="Arial"/>
          <w:sz w:val="24"/>
          <w:szCs w:val="24"/>
          <w:lang w:val="hy-AM"/>
        </w:rPr>
        <w:t>՝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որպես հիմնական ուղղություններ և առաջնահերթ գործողություններ են սահմանվել</w:t>
      </w:r>
      <w:r w:rsidRPr="008F3469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A91901E" w14:textId="044F7371" w:rsidR="009448E0" w:rsidRPr="008F3469" w:rsidRDefault="009448E0" w:rsidP="00700CF4">
      <w:pPr>
        <w:pStyle w:val="ListParagraph"/>
        <w:numPr>
          <w:ilvl w:val="0"/>
          <w:numId w:val="12"/>
        </w:numPr>
        <w:suppressAutoHyphens w:val="0"/>
        <w:spacing w:after="0" w:line="276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Ֆինանսական ռեսուրսների հասանելիության ավելացում,</w:t>
      </w:r>
    </w:p>
    <w:p w14:paraId="0D528812" w14:textId="0E5958E1" w:rsidR="009448E0" w:rsidRPr="008F3469" w:rsidRDefault="009448E0" w:rsidP="00700CF4">
      <w:pPr>
        <w:pStyle w:val="ListParagraph"/>
        <w:numPr>
          <w:ilvl w:val="0"/>
          <w:numId w:val="12"/>
        </w:numPr>
        <w:suppressAutoHyphens w:val="0"/>
        <w:spacing w:after="0" w:line="276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ՓՄՁ սուբյեկտների կարողությունների և ձեռնարկատիրական մշակույթի զարգացում,</w:t>
      </w:r>
    </w:p>
    <w:p w14:paraId="323AE4B8" w14:textId="14B3768C" w:rsidR="009448E0" w:rsidRPr="008F3469" w:rsidRDefault="009448E0" w:rsidP="00700CF4">
      <w:pPr>
        <w:pStyle w:val="ListParagraph"/>
        <w:numPr>
          <w:ilvl w:val="0"/>
          <w:numId w:val="12"/>
        </w:numPr>
        <w:suppressAutoHyphens w:val="0"/>
        <w:spacing w:after="0" w:line="276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ՓՄՁ սուբյեկտների համար շուկաների հասանելիության ապահովում,</w:t>
      </w:r>
    </w:p>
    <w:p w14:paraId="186539F1" w14:textId="43D7A549" w:rsidR="009448E0" w:rsidRPr="008F3469" w:rsidRDefault="009448E0" w:rsidP="00700CF4">
      <w:pPr>
        <w:pStyle w:val="ListParagraph"/>
        <w:numPr>
          <w:ilvl w:val="0"/>
          <w:numId w:val="12"/>
        </w:numPr>
        <w:suppressAutoHyphens w:val="0"/>
        <w:spacing w:line="276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ՓՄՁ զարգացման համար բարենպաստ ինստիտուցիոնալ և իրավական միջավայրի ապահովում։</w:t>
      </w:r>
    </w:p>
    <w:p w14:paraId="758BFF33" w14:textId="1A4A6034" w:rsidR="006E7D6A" w:rsidRPr="008F3469" w:rsidRDefault="006E7D6A" w:rsidP="00700CF4">
      <w:pPr>
        <w:suppressAutoHyphens w:val="0"/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Վերոգրյալ </w:t>
      </w:r>
      <w:r w:rsidR="009E24C1" w:rsidRPr="008F3469">
        <w:rPr>
          <w:rFonts w:ascii="GHEA Grapalat" w:hAnsi="GHEA Grapalat" w:cs="Arial"/>
          <w:sz w:val="24"/>
          <w:szCs w:val="24"/>
          <w:lang w:val="hy-AM"/>
        </w:rPr>
        <w:t>առաջնահերթությունների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ուղղությամբ շարունակական աշխատանքներ են իրականացվ</w:t>
      </w:r>
      <w:r w:rsidR="00CF30A3" w:rsidRPr="008F3469">
        <w:rPr>
          <w:rFonts w:ascii="GHEA Grapalat" w:hAnsi="GHEA Grapalat" w:cs="Arial"/>
          <w:sz w:val="24"/>
          <w:szCs w:val="24"/>
          <w:lang w:val="hy-AM"/>
        </w:rPr>
        <w:t>ել</w:t>
      </w:r>
      <w:r w:rsidRPr="008F3469">
        <w:rPr>
          <w:rFonts w:ascii="GHEA Grapalat" w:hAnsi="GHEA Grapalat" w:cs="Arial"/>
          <w:sz w:val="24"/>
          <w:szCs w:val="24"/>
          <w:lang w:val="hy-AM"/>
        </w:rPr>
        <w:t>, մասնավորապես</w:t>
      </w:r>
      <w:r w:rsidRPr="008F3469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89AFBD1" w14:textId="347509CD" w:rsidR="006E7D6A" w:rsidRPr="008F3469" w:rsidRDefault="006E7D6A" w:rsidP="00700CF4">
      <w:pPr>
        <w:pStyle w:val="ListParagraph"/>
        <w:numPr>
          <w:ilvl w:val="0"/>
          <w:numId w:val="14"/>
        </w:numPr>
        <w:suppressAutoHyphens w:val="0"/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Ֆինանսական </w:t>
      </w:r>
      <w:r w:rsidR="009E24C1" w:rsidRPr="008F3469">
        <w:rPr>
          <w:rFonts w:ascii="GHEA Grapalat" w:hAnsi="GHEA Grapalat" w:cs="Arial"/>
          <w:b/>
          <w:bCs/>
          <w:sz w:val="24"/>
          <w:szCs w:val="24"/>
          <w:lang w:val="hy-AM"/>
        </w:rPr>
        <w:t>ռեսուրսների</w:t>
      </w:r>
      <w:r w:rsidRPr="008F3469">
        <w:rPr>
          <w:rFonts w:ascii="GHEA Grapalat" w:hAnsi="GHEA Grapalat" w:cs="Arial"/>
          <w:b/>
          <w:bCs/>
          <w:sz w:val="24"/>
          <w:szCs w:val="24"/>
          <w:lang w:val="hy-AM"/>
        </w:rPr>
        <w:t xml:space="preserve"> հասանելիության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ապահովման նպատակով Կառավարության 854-Լ որոշմամբ հաստատված միջոցառման շրջանակներում 2020-2022 </w:t>
      </w:r>
      <w:r w:rsidRPr="008F3469">
        <w:rPr>
          <w:rFonts w:ascii="GHEA Grapalat" w:hAnsi="GHEA Grapalat" w:cs="Arial"/>
          <w:sz w:val="24"/>
          <w:szCs w:val="24"/>
          <w:lang w:val="hy-AM"/>
        </w:rPr>
        <w:lastRenderedPageBreak/>
        <w:t>թվականների ընթացքում արտոնյալ պայմաններով վարկից (</w:t>
      </w:r>
      <w:r w:rsidR="00F43366" w:rsidRPr="008F3469">
        <w:rPr>
          <w:rFonts w:ascii="GHEA Grapalat" w:hAnsi="GHEA Grapalat" w:cs="Arial"/>
          <w:sz w:val="24"/>
          <w:szCs w:val="24"/>
          <w:lang w:val="hy-AM"/>
        </w:rPr>
        <w:t>100% պետական երաշխ</w:t>
      </w:r>
      <w:r w:rsidR="00E31314">
        <w:rPr>
          <w:rFonts w:ascii="GHEA Grapalat" w:hAnsi="GHEA Grapalat" w:cs="Arial"/>
          <w:sz w:val="24"/>
          <w:szCs w:val="24"/>
          <w:lang w:val="hy-AM"/>
        </w:rPr>
        <w:t>իք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) օգտվել </w:t>
      </w:r>
      <w:r w:rsidR="00651D97">
        <w:rPr>
          <w:rFonts w:ascii="GHEA Grapalat" w:hAnsi="GHEA Grapalat" w:cs="Arial"/>
          <w:sz w:val="24"/>
          <w:szCs w:val="24"/>
          <w:lang w:val="hy-AM"/>
        </w:rPr>
        <w:t>է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1</w:t>
      </w:r>
      <w:r w:rsidR="00F43366" w:rsidRPr="008F3469">
        <w:rPr>
          <w:rFonts w:ascii="GHEA Grapalat" w:hAnsi="GHEA Grapalat" w:cs="Arial"/>
          <w:sz w:val="24"/>
          <w:szCs w:val="24"/>
          <w:lang w:val="hy-AM"/>
        </w:rPr>
        <w:t>20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շահառու՝ ընդհանուր </w:t>
      </w:r>
      <w:r w:rsidR="00CF30A3" w:rsidRPr="008F3469">
        <w:rPr>
          <w:rFonts w:ascii="GHEA Grapalat" w:hAnsi="GHEA Grapalat" w:cs="Arial"/>
          <w:sz w:val="24"/>
          <w:szCs w:val="24"/>
          <w:lang w:val="hy-AM"/>
        </w:rPr>
        <w:t>1,066,453,800</w:t>
      </w:r>
      <w:r w:rsidR="00CF30A3" w:rsidRPr="008F3469">
        <w:rPr>
          <w:rFonts w:ascii="Cambria Math" w:hAnsi="Cambria Math" w:cs="Cambria Math"/>
          <w:sz w:val="24"/>
          <w:szCs w:val="24"/>
          <w:lang w:val="hy-AM"/>
        </w:rPr>
        <w:t>․</w:t>
      </w:r>
      <w:r w:rsidR="00CF30A3" w:rsidRPr="008F3469">
        <w:rPr>
          <w:rFonts w:ascii="GHEA Grapalat" w:hAnsi="GHEA Grapalat" w:cs="Arial"/>
          <w:sz w:val="24"/>
          <w:szCs w:val="24"/>
          <w:lang w:val="hy-AM"/>
        </w:rPr>
        <w:t>00</w:t>
      </w:r>
      <w:r w:rsidR="00F43366" w:rsidRPr="008F346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F3469">
        <w:rPr>
          <w:rFonts w:ascii="GHEA Grapalat" w:hAnsi="GHEA Grapalat" w:cs="Arial"/>
          <w:sz w:val="24"/>
          <w:szCs w:val="24"/>
          <w:lang w:val="hy-AM"/>
        </w:rPr>
        <w:t>դրամով</w:t>
      </w:r>
      <w:r w:rsidR="00521C9E" w:rsidRPr="008F3469">
        <w:rPr>
          <w:rFonts w:ascii="GHEA Grapalat" w:hAnsi="GHEA Grapalat" w:cs="Arial"/>
          <w:sz w:val="24"/>
          <w:szCs w:val="24"/>
          <w:lang w:val="hy-AM"/>
        </w:rPr>
        <w:t>։</w:t>
      </w:r>
    </w:p>
    <w:p w14:paraId="5A10B3D5" w14:textId="2A05C6F0" w:rsidR="006E7D6A" w:rsidRPr="008F3469" w:rsidRDefault="006E7D6A" w:rsidP="00700CF4">
      <w:pPr>
        <w:pStyle w:val="ListParagraph"/>
        <w:numPr>
          <w:ilvl w:val="0"/>
          <w:numId w:val="14"/>
        </w:numPr>
        <w:suppressAutoHyphens w:val="0"/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b/>
          <w:bCs/>
          <w:sz w:val="24"/>
          <w:szCs w:val="24"/>
          <w:lang w:val="hy-AM"/>
        </w:rPr>
        <w:t>ՓՄՁ սուբյեկտների կարողությունների և ձեռնարկատիրական մշակույթի զարգացման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ապահովման նպատակով մի շարք պետական աջակցության ծրագրերի շրջանակներում 2020-2022 թվականների ընթացքում </w:t>
      </w:r>
      <w:r w:rsidR="00E352BB" w:rsidRPr="008F3469">
        <w:rPr>
          <w:rFonts w:ascii="GHEA Grapalat" w:hAnsi="GHEA Grapalat" w:cs="Arial"/>
          <w:sz w:val="24"/>
          <w:szCs w:val="24"/>
          <w:lang w:val="hy-AM"/>
        </w:rPr>
        <w:t>864 սկսնակ և գործող ՓՄՁ-եր մասնակցել են ձեռնարկատիրական հմտությունների զարգացման դասընթացների։</w:t>
      </w:r>
    </w:p>
    <w:p w14:paraId="13E743A0" w14:textId="277E5833" w:rsidR="00E13781" w:rsidRPr="008F3469" w:rsidRDefault="00E352BB" w:rsidP="00E13781">
      <w:pPr>
        <w:suppressAutoHyphens w:val="0"/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Ներկայումս, 2023 թվականին նշված նպատակներին ուղղված պետական աջակցության ծրագրերը բացակայում են։</w:t>
      </w:r>
      <w:r w:rsidR="00DE01C5" w:rsidRPr="008F3469">
        <w:rPr>
          <w:rFonts w:ascii="GHEA Grapalat" w:hAnsi="GHEA Grapalat" w:cs="Arial"/>
          <w:sz w:val="24"/>
          <w:szCs w:val="24"/>
          <w:lang w:val="hy-AM"/>
        </w:rPr>
        <w:t xml:space="preserve"> Այս համատեքստում կարևոր է նշել նաև, որ </w:t>
      </w:r>
      <w:r w:rsidR="00E13781" w:rsidRPr="008F3469">
        <w:rPr>
          <w:rFonts w:ascii="GHEA Grapalat" w:hAnsi="GHEA Grapalat" w:cs="Arial"/>
          <w:sz w:val="24"/>
          <w:szCs w:val="24"/>
          <w:lang w:val="hy-AM"/>
        </w:rPr>
        <w:t xml:space="preserve">Հայաստանը իր դիրքերը զիջում է </w:t>
      </w:r>
      <w:r w:rsidR="00DE01C5" w:rsidRPr="008F3469">
        <w:rPr>
          <w:rFonts w:ascii="GHEA Grapalat" w:hAnsi="GHEA Grapalat" w:cs="Arial"/>
          <w:sz w:val="24"/>
          <w:szCs w:val="24"/>
          <w:lang w:val="hy-AM"/>
        </w:rPr>
        <w:t>Արևելյան գործընկերության երկրների</w:t>
      </w:r>
      <w:r w:rsidR="00E13781" w:rsidRPr="008F3469">
        <w:rPr>
          <w:rFonts w:ascii="GHEA Grapalat" w:hAnsi="GHEA Grapalat" w:cs="Arial"/>
          <w:sz w:val="24"/>
          <w:szCs w:val="24"/>
          <w:lang w:val="hy-AM"/>
        </w:rPr>
        <w:t xml:space="preserve"> (OECD)</w:t>
      </w:r>
      <w:r w:rsidR="00DE01C5" w:rsidRPr="008F3469">
        <w:rPr>
          <w:rFonts w:ascii="GHEA Grapalat" w:hAnsi="GHEA Grapalat" w:cs="Arial"/>
          <w:sz w:val="24"/>
          <w:szCs w:val="24"/>
          <w:lang w:val="hy-AM"/>
        </w:rPr>
        <w:t xml:space="preserve"> ՓՄՁ քաղաքականության 2024 թվականի ինդեքս</w:t>
      </w:r>
      <w:r w:rsidR="00E13781" w:rsidRPr="008F3469">
        <w:rPr>
          <w:rFonts w:ascii="GHEA Grapalat" w:hAnsi="GHEA Grapalat" w:cs="Arial"/>
          <w:sz w:val="24"/>
          <w:szCs w:val="24"/>
          <w:lang w:val="hy-AM"/>
        </w:rPr>
        <w:t>ի մի շարք կետերով, մասնավորապես</w:t>
      </w:r>
      <w:r w:rsidR="00E13781" w:rsidRPr="008F3469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50A76D1" w14:textId="7F78C48B" w:rsidR="00E13781" w:rsidRPr="008F3469" w:rsidRDefault="00E13781" w:rsidP="00E13781">
      <w:pPr>
        <w:pStyle w:val="ListParagraph"/>
        <w:numPr>
          <w:ilvl w:val="0"/>
          <w:numId w:val="21"/>
        </w:numPr>
        <w:suppressAutoHyphens w:val="0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ՓՄՁ սուբյեկտների համար վարկային պետական երաշխիքների տրամադրման համակարգ, որի տնօրինմանը կմասնակցի նաև մասնավոր հատվածը,</w:t>
      </w:r>
    </w:p>
    <w:p w14:paraId="098F639F" w14:textId="03CCC5E9" w:rsidR="00E13781" w:rsidRPr="008F3469" w:rsidRDefault="00E13781" w:rsidP="00E13781">
      <w:pPr>
        <w:pStyle w:val="ListParagraph"/>
        <w:numPr>
          <w:ilvl w:val="0"/>
          <w:numId w:val="21"/>
        </w:numPr>
        <w:suppressAutoHyphens w:val="0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Կառավարության կողմից ՓՄՁ սուբյեկտների</w:t>
      </w:r>
      <w:r w:rsidR="00A276A8" w:rsidRPr="008F3469">
        <w:rPr>
          <w:rFonts w:ascii="GHEA Grapalat" w:hAnsi="GHEA Grapalat" w:cs="Arial"/>
          <w:sz w:val="24"/>
          <w:szCs w:val="24"/>
          <w:lang w:val="hy-AM"/>
        </w:rPr>
        <w:t xml:space="preserve"> (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մասնավորապես երիտասարդ </w:t>
      </w:r>
      <w:r w:rsidR="009E24C1" w:rsidRPr="008F3469">
        <w:rPr>
          <w:rFonts w:ascii="GHEA Grapalat" w:hAnsi="GHEA Grapalat" w:cs="Arial"/>
          <w:sz w:val="24"/>
          <w:szCs w:val="24"/>
          <w:lang w:val="hy-AM"/>
        </w:rPr>
        <w:t>ձեռներեցների</w:t>
      </w:r>
      <w:r w:rsidRPr="008F3469">
        <w:rPr>
          <w:rFonts w:ascii="GHEA Grapalat" w:hAnsi="GHEA Grapalat" w:cs="Arial"/>
          <w:sz w:val="24"/>
          <w:szCs w:val="24"/>
          <w:lang w:val="hy-AM"/>
        </w:rPr>
        <w:t>, կին ձեռներեցների, սկսնակների, աճի ներուժ ունեցող ձեռնարկատիրությունների</w:t>
      </w:r>
      <w:r w:rsidR="00A276A8" w:rsidRPr="008F3469">
        <w:rPr>
          <w:rFonts w:ascii="GHEA Grapalat" w:hAnsi="GHEA Grapalat" w:cs="Arial"/>
          <w:sz w:val="24"/>
          <w:szCs w:val="24"/>
          <w:lang w:val="hy-AM"/>
        </w:rPr>
        <w:t>) հմտությունների զարգացման դասընթացների ֆինանսավորում։</w:t>
      </w:r>
    </w:p>
    <w:p w14:paraId="404C8357" w14:textId="295ADA65" w:rsidR="00DA47C0" w:rsidRPr="008F3469" w:rsidRDefault="00DA47C0" w:rsidP="00700CF4">
      <w:pPr>
        <w:suppressAutoHyphens w:val="0"/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Հաշվի առնելով ներկայումս Հայաստանում ֆինանսական միջոցների ներգրավման այլընտրանքային եղանակների բացակայությունը/ոչ լիարժեք կիրառումը</w:t>
      </w:r>
      <w:r w:rsidR="004624D6">
        <w:rPr>
          <w:rFonts w:ascii="GHEA Grapalat" w:hAnsi="GHEA Grapalat" w:cs="Arial"/>
          <w:sz w:val="24"/>
          <w:szCs w:val="24"/>
          <w:lang w:val="hy-AM"/>
        </w:rPr>
        <w:t>՝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որպես ՓՄՁ սուբյեկտների զարգացումն ապահովող ֆինանսական միջոցների ներգրավման հիմնական աղբյուր ծառայում են վարկային միջոցները։</w:t>
      </w:r>
    </w:p>
    <w:p w14:paraId="62BB1F9C" w14:textId="790BF9BC" w:rsidR="00AF3B90" w:rsidRPr="008F3469" w:rsidRDefault="002501FB" w:rsidP="00700CF4">
      <w:pPr>
        <w:suppressAutoHyphens w:val="0"/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ՀՀ-ում գործունեություն իրականացնող ՓՄՁ սուբյեկտների</w:t>
      </w:r>
      <w:r w:rsidR="00904FCA" w:rsidRPr="008F3469">
        <w:rPr>
          <w:rFonts w:ascii="GHEA Grapalat" w:hAnsi="GHEA Grapalat" w:cs="Arial"/>
          <w:sz w:val="24"/>
          <w:szCs w:val="24"/>
          <w:lang w:val="hy-AM"/>
        </w:rPr>
        <w:t xml:space="preserve"> վարկային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պորտֆելի </w:t>
      </w:r>
      <w:r w:rsidR="009E24C1" w:rsidRPr="008F3469">
        <w:rPr>
          <w:rFonts w:ascii="GHEA Grapalat" w:hAnsi="GHEA Grapalat" w:cs="Arial"/>
          <w:sz w:val="24"/>
          <w:szCs w:val="24"/>
          <w:lang w:val="hy-AM"/>
        </w:rPr>
        <w:t>ուսումնասիրությունը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ցույց է տալիս, որ գերփոքր կազմակերպությունների կողմից 2022 </w:t>
      </w:r>
      <w:r w:rsidR="00705410" w:rsidRPr="008F3469">
        <w:rPr>
          <w:rFonts w:ascii="GHEA Grapalat" w:hAnsi="GHEA Grapalat" w:cs="Arial"/>
          <w:sz w:val="24"/>
          <w:szCs w:val="24"/>
          <w:lang w:val="hy-AM"/>
        </w:rPr>
        <w:t>թվականին</w:t>
      </w:r>
      <w:r w:rsidR="00904FCA" w:rsidRPr="008F3469">
        <w:rPr>
          <w:rFonts w:ascii="GHEA Grapalat" w:hAnsi="GHEA Grapalat" w:cs="Arial"/>
          <w:sz w:val="24"/>
          <w:szCs w:val="24"/>
          <w:lang w:val="hy-AM"/>
        </w:rPr>
        <w:t xml:space="preserve"> ներգրավված</w:t>
      </w:r>
      <w:r w:rsidR="00705410" w:rsidRPr="008F3469">
        <w:rPr>
          <w:rFonts w:ascii="GHEA Grapalat" w:hAnsi="GHEA Grapalat" w:cs="Arial"/>
          <w:sz w:val="24"/>
          <w:szCs w:val="24"/>
          <w:lang w:val="hy-AM"/>
        </w:rPr>
        <w:t xml:space="preserve"> 1 վարկի միջին արժեքը կազմել է մոտ 22 մլն դրամ, փոքր կազմակերպությունների դեպքում 29 մլն դրամ, իսկ միջին կազմակերպությունների դեպքում 75,9 մլն դրամ։ </w:t>
      </w:r>
      <w:r w:rsidR="00705410" w:rsidRPr="008F3469">
        <w:rPr>
          <w:rFonts w:ascii="GHEA Grapalat" w:hAnsi="GHEA Grapalat" w:cs="Arial"/>
          <w:b/>
          <w:bCs/>
          <w:i/>
          <w:iCs/>
          <w:sz w:val="24"/>
          <w:szCs w:val="24"/>
          <w:lang w:val="hy-AM"/>
        </w:rPr>
        <w:t>Ընդ որում, գրավադրված գույքի արժեքը մոտ 1</w:t>
      </w:r>
      <w:r w:rsidR="00705410" w:rsidRPr="008F3469">
        <w:rPr>
          <w:rFonts w:ascii="Cambria Math" w:hAnsi="Cambria Math" w:cs="Cambria Math"/>
          <w:b/>
          <w:bCs/>
          <w:i/>
          <w:iCs/>
          <w:sz w:val="24"/>
          <w:szCs w:val="24"/>
          <w:lang w:val="hy-AM"/>
        </w:rPr>
        <w:t>․</w:t>
      </w:r>
      <w:r w:rsidR="00705410" w:rsidRPr="008F3469">
        <w:rPr>
          <w:rFonts w:ascii="GHEA Grapalat" w:hAnsi="GHEA Grapalat" w:cs="Arial"/>
          <w:b/>
          <w:bCs/>
          <w:i/>
          <w:iCs/>
          <w:sz w:val="24"/>
          <w:szCs w:val="24"/>
          <w:lang w:val="hy-AM"/>
        </w:rPr>
        <w:t>5 անգամ գերազա</w:t>
      </w:r>
      <w:r w:rsidR="00904FCA" w:rsidRPr="008F3469">
        <w:rPr>
          <w:rFonts w:ascii="GHEA Grapalat" w:hAnsi="GHEA Grapalat" w:cs="Arial"/>
          <w:b/>
          <w:bCs/>
          <w:i/>
          <w:iCs/>
          <w:sz w:val="24"/>
          <w:szCs w:val="24"/>
          <w:lang w:val="hy-AM"/>
        </w:rPr>
        <w:t>նցել</w:t>
      </w:r>
      <w:r w:rsidR="00705410" w:rsidRPr="008F3469">
        <w:rPr>
          <w:rFonts w:ascii="GHEA Grapalat" w:hAnsi="GHEA Grapalat" w:cs="Arial"/>
          <w:b/>
          <w:bCs/>
          <w:i/>
          <w:iCs/>
          <w:sz w:val="24"/>
          <w:szCs w:val="24"/>
          <w:lang w:val="hy-AM"/>
        </w:rPr>
        <w:t xml:space="preserve"> է վարկային պորտֆելի չափը։</w:t>
      </w:r>
      <w:r w:rsidR="00705410" w:rsidRPr="008F3469">
        <w:rPr>
          <w:rFonts w:ascii="GHEA Grapalat" w:hAnsi="GHEA Grapalat" w:cs="Arial"/>
          <w:sz w:val="24"/>
          <w:szCs w:val="24"/>
          <w:lang w:val="hy-AM"/>
        </w:rPr>
        <w:t xml:space="preserve"> Այս համատեքստում,</w:t>
      </w:r>
      <w:r w:rsidR="00705410" w:rsidRPr="008F3469">
        <w:rPr>
          <w:rFonts w:ascii="GHEA Grapalat" w:hAnsi="GHEA Grapalat" w:cs="Arial"/>
          <w:i/>
          <w:iCs/>
          <w:sz w:val="24"/>
          <w:szCs w:val="24"/>
          <w:lang w:val="hy-AM"/>
        </w:rPr>
        <w:t xml:space="preserve"> </w:t>
      </w:r>
      <w:r w:rsidR="00705410" w:rsidRPr="008F3469">
        <w:rPr>
          <w:rFonts w:ascii="GHEA Grapalat" w:hAnsi="GHEA Grapalat" w:cs="Arial"/>
          <w:sz w:val="24"/>
          <w:szCs w:val="24"/>
          <w:lang w:val="hy-AM"/>
        </w:rPr>
        <w:t xml:space="preserve">ֆինանսական կազմակերպությունների հետ շարունակական քննարկումների արդյունքում պարզ է դառնում, </w:t>
      </w:r>
      <w:r w:rsidR="009E24C1" w:rsidRPr="008F3469">
        <w:rPr>
          <w:rFonts w:ascii="GHEA Grapalat" w:hAnsi="GHEA Grapalat" w:cs="Arial"/>
          <w:sz w:val="24"/>
          <w:szCs w:val="24"/>
          <w:lang w:val="hy-AM"/>
        </w:rPr>
        <w:t>որ, մասնավորապես սկսնակ</w:t>
      </w:r>
      <w:r w:rsidR="00705410" w:rsidRPr="008F3469">
        <w:rPr>
          <w:rFonts w:ascii="GHEA Grapalat" w:hAnsi="GHEA Grapalat" w:cs="Arial"/>
          <w:sz w:val="24"/>
          <w:szCs w:val="24"/>
          <w:lang w:val="hy-AM"/>
        </w:rPr>
        <w:t xml:space="preserve"> ՓՄՁ սուբյեկտների դեպքում վարկի տրամադրումը իրականացվում է գույքի գրավադրման, մասնավոր դեպքերում երաշխավորի </w:t>
      </w:r>
      <w:r w:rsidR="00705410" w:rsidRPr="008F3469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առկայության դեպքում, ինչը </w:t>
      </w:r>
      <w:r w:rsidR="009E24C1" w:rsidRPr="008F3469">
        <w:rPr>
          <w:rFonts w:ascii="GHEA Grapalat" w:hAnsi="GHEA Grapalat" w:cs="Arial"/>
          <w:sz w:val="24"/>
          <w:szCs w:val="24"/>
          <w:lang w:val="hy-AM"/>
        </w:rPr>
        <w:t>դժվարացնում</w:t>
      </w:r>
      <w:r w:rsidR="00705410" w:rsidRPr="008F3469">
        <w:rPr>
          <w:rFonts w:ascii="GHEA Grapalat" w:hAnsi="GHEA Grapalat" w:cs="Arial"/>
          <w:sz w:val="24"/>
          <w:szCs w:val="24"/>
          <w:lang w:val="hy-AM"/>
        </w:rPr>
        <w:t xml:space="preserve"> է</w:t>
      </w:r>
      <w:r w:rsidR="009E24C1" w:rsidRPr="008F3469">
        <w:rPr>
          <w:rFonts w:ascii="GHEA Grapalat" w:hAnsi="GHEA Grapalat" w:cs="Arial"/>
          <w:sz w:val="24"/>
          <w:szCs w:val="24"/>
          <w:lang w:val="hy-AM"/>
        </w:rPr>
        <w:t xml:space="preserve"> մանավանդ գերփոքր</w:t>
      </w:r>
      <w:r w:rsidR="00705410" w:rsidRPr="008F3469">
        <w:rPr>
          <w:rFonts w:ascii="GHEA Grapalat" w:hAnsi="GHEA Grapalat" w:cs="Arial"/>
          <w:sz w:val="24"/>
          <w:szCs w:val="24"/>
          <w:lang w:val="hy-AM"/>
        </w:rPr>
        <w:t xml:space="preserve"> և փոքր տնտեսավարող սուբյեկտների կողմից ֆինանսավորման այս եղանակից օգտվելու հնարավորությունը։</w:t>
      </w:r>
      <w:r w:rsidR="00DA47C0" w:rsidRPr="008F3469">
        <w:rPr>
          <w:rFonts w:ascii="GHEA Grapalat" w:hAnsi="GHEA Grapalat"/>
          <w:noProof/>
          <w:lang w:val="ru-RU" w:eastAsia="ru-RU"/>
        </w:rPr>
        <w:drawing>
          <wp:inline distT="0" distB="0" distL="0" distR="0" wp14:anchorId="6AED084A" wp14:editId="1E99E24F">
            <wp:extent cx="6249035" cy="3994484"/>
            <wp:effectExtent l="0" t="0" r="18415" b="6350"/>
            <wp:docPr id="97349982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FB96417-9240-45B9-8A47-DD15AB5953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F43366" w:rsidRPr="008F3469">
        <w:rPr>
          <w:rFonts w:ascii="GHEA Grapalat" w:hAnsi="GHEA Grapalat" w:cs="Arial"/>
          <w:b/>
          <w:bCs/>
          <w:i/>
          <w:iCs/>
          <w:sz w:val="24"/>
          <w:szCs w:val="24"/>
          <w:lang w:val="hy-AM"/>
        </w:rPr>
        <w:t xml:space="preserve"> </w:t>
      </w:r>
      <w:r w:rsidR="008D7CBA" w:rsidRPr="008F3469">
        <w:rPr>
          <w:rFonts w:ascii="GHEA Grapalat" w:hAnsi="GHEA Grapalat" w:cs="Arial"/>
          <w:sz w:val="24"/>
          <w:szCs w:val="24"/>
          <w:lang w:val="hy-AM"/>
        </w:rPr>
        <w:t>Այս խնդրից խուսափելու</w:t>
      </w:r>
      <w:r w:rsidR="00904FCA" w:rsidRPr="008F3469">
        <w:rPr>
          <w:rFonts w:ascii="GHEA Grapalat" w:hAnsi="GHEA Grapalat" w:cs="Arial"/>
          <w:sz w:val="24"/>
          <w:szCs w:val="24"/>
          <w:lang w:val="hy-AM"/>
        </w:rPr>
        <w:t>,</w:t>
      </w:r>
      <w:r w:rsidR="008D7CBA" w:rsidRPr="008F3469">
        <w:rPr>
          <w:rFonts w:ascii="GHEA Grapalat" w:hAnsi="GHEA Grapalat" w:cs="Arial"/>
          <w:sz w:val="24"/>
          <w:szCs w:val="24"/>
          <w:lang w:val="hy-AM"/>
        </w:rPr>
        <w:t xml:space="preserve"> և փոքր </w:t>
      </w:r>
      <w:r w:rsidR="00904FCA" w:rsidRPr="008F3469">
        <w:rPr>
          <w:rFonts w:ascii="GHEA Grapalat" w:hAnsi="GHEA Grapalat" w:cs="Arial"/>
          <w:sz w:val="24"/>
          <w:szCs w:val="24"/>
          <w:lang w:val="hy-AM"/>
        </w:rPr>
        <w:t>ու</w:t>
      </w:r>
      <w:r w:rsidR="008D7CBA" w:rsidRPr="008F3469">
        <w:rPr>
          <w:rFonts w:ascii="GHEA Grapalat" w:hAnsi="GHEA Grapalat" w:cs="Arial"/>
          <w:sz w:val="24"/>
          <w:szCs w:val="24"/>
          <w:lang w:val="hy-AM"/>
        </w:rPr>
        <w:t xml:space="preserve"> միջին ձեռնարկությունների զարգացման համար այլընտրանքային ֆինանսավորման միջոց է պետական երաշխ</w:t>
      </w:r>
      <w:r w:rsidR="00E31314">
        <w:rPr>
          <w:rFonts w:ascii="GHEA Grapalat" w:hAnsi="GHEA Grapalat" w:cs="Arial"/>
          <w:sz w:val="24"/>
          <w:szCs w:val="24"/>
          <w:lang w:val="hy-AM"/>
        </w:rPr>
        <w:t>իքի</w:t>
      </w:r>
      <w:r w:rsidR="008D7CBA" w:rsidRPr="008F3469">
        <w:rPr>
          <w:rFonts w:ascii="GHEA Grapalat" w:hAnsi="GHEA Grapalat" w:cs="Arial"/>
          <w:sz w:val="24"/>
          <w:szCs w:val="24"/>
          <w:lang w:val="hy-AM"/>
        </w:rPr>
        <w:t xml:space="preserve"> տրամադրումը, ինչ</w:t>
      </w:r>
      <w:r w:rsidR="00904FCA" w:rsidRPr="008F3469">
        <w:rPr>
          <w:rFonts w:ascii="GHEA Grapalat" w:hAnsi="GHEA Grapalat" w:cs="Arial"/>
          <w:sz w:val="24"/>
          <w:szCs w:val="24"/>
          <w:lang w:val="hy-AM"/>
        </w:rPr>
        <w:t>ը</w:t>
      </w:r>
      <w:r w:rsidR="008D7CBA" w:rsidRPr="008F3469">
        <w:rPr>
          <w:rFonts w:ascii="GHEA Grapalat" w:hAnsi="GHEA Grapalat" w:cs="Arial"/>
          <w:sz w:val="24"/>
          <w:szCs w:val="24"/>
          <w:lang w:val="hy-AM"/>
        </w:rPr>
        <w:t xml:space="preserve"> միջազգային պրակտիկայում բավական լայն տարածում ունեցող գործընթաց է։</w:t>
      </w:r>
    </w:p>
    <w:p w14:paraId="641F365B" w14:textId="14042639" w:rsidR="001E4246" w:rsidRPr="008F3469" w:rsidRDefault="001E1B85" w:rsidP="00700CF4">
      <w:pPr>
        <w:suppressAutoHyphens w:val="0"/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Հարավային Կորեայում գործում է 3 պետական հիմնադրամ</w:t>
      </w:r>
      <w:r w:rsidR="001E4246" w:rsidRPr="008F3469">
        <w:rPr>
          <w:rFonts w:ascii="GHEA Grapalat" w:hAnsi="GHEA Grapalat" w:cs="Arial"/>
          <w:sz w:val="24"/>
          <w:szCs w:val="24"/>
          <w:lang w:val="hy-AM"/>
        </w:rPr>
        <w:t xml:space="preserve">՝ Korea Credit Guarantee fund (KODIT), Korea Technology Finance Corporation (KOTEC) և </w:t>
      </w:r>
      <w:r w:rsidR="005335FB" w:rsidRPr="005335FB">
        <w:rPr>
          <w:rFonts w:ascii="GHEA Grapalat" w:hAnsi="GHEA Grapalat" w:cs="Arial"/>
          <w:sz w:val="24"/>
          <w:szCs w:val="24"/>
          <w:lang w:val="hy-AM"/>
        </w:rPr>
        <w:t>KOREG (Korea Federation Of Credit Guarantee Foundations</w:t>
      </w:r>
      <w:r w:rsidR="005335FB">
        <w:rPr>
          <w:rFonts w:ascii="GHEA Grapalat" w:hAnsi="GHEA Grapalat" w:cs="Arial"/>
          <w:sz w:val="24"/>
          <w:szCs w:val="24"/>
        </w:rPr>
        <w:t>):</w:t>
      </w:r>
    </w:p>
    <w:p w14:paraId="06F519FE" w14:textId="60D4EB25" w:rsidR="001E1B85" w:rsidRPr="008F3469" w:rsidRDefault="001E4246" w:rsidP="00700CF4">
      <w:pPr>
        <w:suppressAutoHyphens w:val="0"/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1E1B85" w:rsidRPr="008F3469">
        <w:rPr>
          <w:rFonts w:ascii="GHEA Grapalat" w:hAnsi="GHEA Grapalat" w:cs="Arial"/>
          <w:sz w:val="24"/>
          <w:szCs w:val="24"/>
          <w:lang w:val="hy-AM"/>
        </w:rPr>
        <w:t xml:space="preserve"> Կորեայի վարկային երաշխ</w:t>
      </w:r>
      <w:r w:rsidR="00E31314">
        <w:rPr>
          <w:rFonts w:ascii="GHEA Grapalat" w:hAnsi="GHEA Grapalat" w:cs="Arial"/>
          <w:sz w:val="24"/>
          <w:szCs w:val="24"/>
          <w:lang w:val="hy-AM"/>
        </w:rPr>
        <w:t>իք</w:t>
      </w:r>
      <w:r w:rsidR="001E1B85" w:rsidRPr="008F3469">
        <w:rPr>
          <w:rFonts w:ascii="GHEA Grapalat" w:hAnsi="GHEA Grapalat" w:cs="Arial"/>
          <w:sz w:val="24"/>
          <w:szCs w:val="24"/>
          <w:lang w:val="hy-AM"/>
        </w:rPr>
        <w:t>ների հիմնադրամ</w:t>
      </w:r>
      <w:r w:rsidR="000715E6" w:rsidRPr="008F3469">
        <w:rPr>
          <w:rFonts w:ascii="GHEA Grapalat" w:hAnsi="GHEA Grapalat" w:cs="Arial"/>
          <w:sz w:val="24"/>
          <w:szCs w:val="24"/>
          <w:lang w:val="hy-AM"/>
        </w:rPr>
        <w:t>ը</w:t>
      </w:r>
      <w:r w:rsidR="001E1B85" w:rsidRPr="008F3469">
        <w:rPr>
          <w:rFonts w:ascii="GHEA Grapalat" w:hAnsi="GHEA Grapalat" w:cs="Arial"/>
          <w:sz w:val="24"/>
          <w:szCs w:val="24"/>
          <w:lang w:val="hy-AM"/>
        </w:rPr>
        <w:t xml:space="preserve"> (KODIT)</w:t>
      </w:r>
      <w:r w:rsidR="000715E6" w:rsidRPr="008F3469">
        <w:rPr>
          <w:rFonts w:ascii="GHEA Grapalat" w:hAnsi="GHEA Grapalat" w:cs="Arial"/>
          <w:sz w:val="24"/>
          <w:szCs w:val="24"/>
          <w:lang w:val="hy-AM"/>
        </w:rPr>
        <w:t xml:space="preserve"> վարկային երաշխիքներ է տրամադրել 590,972 կազմակերպությունների, ընդ որում ընդհանուր չմարված երաշխիքների չափը կազմում է մոտ 65.7 մլրդ ԱՄՆ դոլար։</w:t>
      </w:r>
      <w:r w:rsidR="00C443E1" w:rsidRPr="008F3469">
        <w:rPr>
          <w:rFonts w:ascii="GHEA Grapalat" w:hAnsi="GHEA Grapalat" w:cs="Arial"/>
          <w:sz w:val="24"/>
          <w:szCs w:val="24"/>
          <w:lang w:val="hy-AM"/>
        </w:rPr>
        <w:t xml:space="preserve"> Հիմնադրամի թիրախն են երկրում գործող բոլոր ՓՄՁ սուբյեկտները։ Հիմնադրամի ֆինանսավորման աղբյուր են հանդիսանում</w:t>
      </w:r>
      <w:r w:rsidR="00C443E1" w:rsidRPr="008F3469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82622D0" w14:textId="10914041" w:rsidR="00C443E1" w:rsidRPr="008F3469" w:rsidRDefault="00C443E1" w:rsidP="00C443E1">
      <w:pPr>
        <w:pStyle w:val="ListParagraph"/>
        <w:numPr>
          <w:ilvl w:val="0"/>
          <w:numId w:val="22"/>
        </w:numPr>
        <w:suppressAutoHyphens w:val="0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Կառավարությունը՝ 44%, ամեն տարի բյուջեից կատարվող հատկացումներ,</w:t>
      </w:r>
    </w:p>
    <w:p w14:paraId="2F5AC326" w14:textId="306BD147" w:rsidR="00C443E1" w:rsidRPr="008F3469" w:rsidRDefault="00C443E1" w:rsidP="00C443E1">
      <w:pPr>
        <w:pStyle w:val="ListParagraph"/>
        <w:numPr>
          <w:ilvl w:val="0"/>
          <w:numId w:val="22"/>
        </w:numPr>
        <w:suppressAutoHyphens w:val="0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lastRenderedPageBreak/>
        <w:t>Ֆինանսական կազմակերպություններ՝ 51%, համաձայն Kodit-ի գործունեության վերաբերյալ իրավական ակտի</w:t>
      </w:r>
      <w:r w:rsidR="002E094B" w:rsidRPr="008F3469">
        <w:rPr>
          <w:rFonts w:ascii="GHEA Grapalat" w:hAnsi="GHEA Grapalat" w:cs="Arial"/>
          <w:sz w:val="24"/>
          <w:szCs w:val="24"/>
          <w:lang w:val="hy-AM"/>
        </w:rPr>
        <w:t>՝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կորպորատիվ վարկերի 0.225%-ը պարտադիր ներդրվում է վարկային երաշխիքների հիմնադրամի կապիտալում,</w:t>
      </w:r>
    </w:p>
    <w:p w14:paraId="3812A17F" w14:textId="1C752012" w:rsidR="00C443E1" w:rsidRPr="008F3469" w:rsidRDefault="00C443E1" w:rsidP="00C443E1">
      <w:pPr>
        <w:pStyle w:val="ListParagraph"/>
        <w:numPr>
          <w:ilvl w:val="0"/>
          <w:numId w:val="22"/>
        </w:numPr>
        <w:suppressAutoHyphens w:val="0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Խոշոր առևտրային կազմակերպություններ կամ </w:t>
      </w:r>
      <w:r w:rsidR="001E4246" w:rsidRPr="008F3469">
        <w:rPr>
          <w:rFonts w:ascii="GHEA Grapalat" w:hAnsi="GHEA Grapalat" w:cs="Arial"/>
          <w:sz w:val="24"/>
          <w:szCs w:val="24"/>
          <w:lang w:val="hy-AM"/>
        </w:rPr>
        <w:t>ՏԻՄ-եր</w:t>
      </w:r>
      <w:r w:rsidRPr="008F3469">
        <w:rPr>
          <w:rFonts w:ascii="GHEA Grapalat" w:hAnsi="GHEA Grapalat" w:cs="Arial"/>
          <w:sz w:val="24"/>
          <w:szCs w:val="24"/>
          <w:lang w:val="hy-AM"/>
        </w:rPr>
        <w:t>՝ 5%, առանձին թիրախային ծրագրերի շրջանակներում ներդրումներ։</w:t>
      </w:r>
    </w:p>
    <w:p w14:paraId="545C124D" w14:textId="5FD6ED77" w:rsidR="001E4246" w:rsidRPr="008F3469" w:rsidRDefault="001E4246" w:rsidP="001E4246">
      <w:pPr>
        <w:suppressAutoHyphens w:val="0"/>
        <w:spacing w:line="360" w:lineRule="auto"/>
        <w:ind w:left="0" w:firstLine="448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Կազմակերպությունը երաշխիքներ է տրամադրում հետևյալ ուղղություններով՝ վարկային երաշխիքներ, առևտրային պարտքի երաշխիքներ, կատարման </w:t>
      </w:r>
      <w:r w:rsidR="009E24C1" w:rsidRPr="008F3469">
        <w:rPr>
          <w:rFonts w:ascii="GHEA Grapalat" w:hAnsi="GHEA Grapalat" w:cs="Arial"/>
          <w:sz w:val="24"/>
          <w:szCs w:val="24"/>
          <w:lang w:val="hy-AM"/>
        </w:rPr>
        <w:t>երաշխիքներ</w:t>
      </w:r>
      <w:r w:rsidRPr="008F3469">
        <w:rPr>
          <w:rFonts w:ascii="GHEA Grapalat" w:hAnsi="GHEA Grapalat" w:cs="Arial"/>
          <w:sz w:val="24"/>
          <w:szCs w:val="24"/>
          <w:lang w:val="hy-AM"/>
        </w:rPr>
        <w:t>։</w:t>
      </w:r>
    </w:p>
    <w:p w14:paraId="5000ADC1" w14:textId="72EA16B3" w:rsidR="001E4246" w:rsidRPr="008F3469" w:rsidRDefault="001E4246" w:rsidP="001E4246">
      <w:pPr>
        <w:suppressAutoHyphens w:val="0"/>
        <w:spacing w:line="360" w:lineRule="auto"/>
        <w:ind w:left="0" w:firstLine="448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KOTEC-ը երաշխ</w:t>
      </w:r>
      <w:r w:rsidR="00E31314">
        <w:rPr>
          <w:rFonts w:ascii="GHEA Grapalat" w:hAnsi="GHEA Grapalat" w:cs="Arial"/>
          <w:sz w:val="24"/>
          <w:szCs w:val="24"/>
          <w:lang w:val="hy-AM"/>
        </w:rPr>
        <w:t>իք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ներ է տրամադրել 85 հազար ՓՄՁ-երի, մոտ 26 մլրդ ԱՄՆ դոլարի չափով։ Կազմակերպության հիմնական թիրախներն են տեխնոլոգիական ուղղվածություն ունեցող </w:t>
      </w:r>
      <w:r w:rsidR="009E24C1" w:rsidRPr="008F3469">
        <w:rPr>
          <w:rFonts w:ascii="GHEA Grapalat" w:hAnsi="GHEA Grapalat" w:cs="Arial"/>
          <w:sz w:val="24"/>
          <w:szCs w:val="24"/>
          <w:lang w:val="hy-AM"/>
        </w:rPr>
        <w:t>բիզնեսներ</w:t>
      </w:r>
      <w:r w:rsidRPr="008F3469">
        <w:rPr>
          <w:rFonts w:ascii="GHEA Grapalat" w:hAnsi="GHEA Grapalat" w:cs="Arial"/>
          <w:sz w:val="24"/>
          <w:szCs w:val="24"/>
          <w:lang w:val="hy-AM"/>
        </w:rPr>
        <w:t>ը։ Համաձայն կազմակերպության ուսումնասիրությունների, երաշխ</w:t>
      </w:r>
      <w:r w:rsidR="00E31314">
        <w:rPr>
          <w:rFonts w:ascii="GHEA Grapalat" w:hAnsi="GHEA Grapalat" w:cs="Arial"/>
          <w:sz w:val="24"/>
          <w:szCs w:val="24"/>
          <w:lang w:val="hy-AM"/>
        </w:rPr>
        <w:t>իք</w:t>
      </w:r>
      <w:r w:rsidRPr="008F3469">
        <w:rPr>
          <w:rFonts w:ascii="GHEA Grapalat" w:hAnsi="GHEA Grapalat" w:cs="Arial"/>
          <w:sz w:val="24"/>
          <w:szCs w:val="24"/>
          <w:lang w:val="hy-AM"/>
        </w:rPr>
        <w:t>ների տրամադրումը բիզնեսի համար առաջացնում է հետևյալ առավելությունները</w:t>
      </w:r>
      <w:r w:rsidRPr="008F3469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429AAA9" w14:textId="2DA03141" w:rsidR="001E4246" w:rsidRPr="008F3469" w:rsidRDefault="001E4246" w:rsidP="001E4246">
      <w:pPr>
        <w:pStyle w:val="ListParagraph"/>
        <w:numPr>
          <w:ilvl w:val="0"/>
          <w:numId w:val="23"/>
        </w:numPr>
        <w:suppressAutoHyphens w:val="0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Երաշխավորում է կանոնադրական կապիտալի ավելացում 5-12.5 անգամ,</w:t>
      </w:r>
    </w:p>
    <w:p w14:paraId="758E5923" w14:textId="6E3977DC" w:rsidR="001E4246" w:rsidRPr="008F3469" w:rsidRDefault="001E4246" w:rsidP="001E4246">
      <w:pPr>
        <w:pStyle w:val="ListParagraph"/>
        <w:numPr>
          <w:ilvl w:val="0"/>
          <w:numId w:val="23"/>
        </w:numPr>
        <w:suppressAutoHyphens w:val="0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Երաշխավորում է դրամական պարտավորությունների 85-100%-ը, ինչը նվազեցնում է կազմակերպությունների ռիսկերը։</w:t>
      </w:r>
    </w:p>
    <w:p w14:paraId="07140390" w14:textId="3168337E" w:rsidR="009F0D3C" w:rsidRPr="008F3469" w:rsidRDefault="00A276A8" w:rsidP="009F0D3C">
      <w:pPr>
        <w:suppressAutoHyphens w:val="0"/>
        <w:spacing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Ռուսաստանի Դաշնությունում գործող </w:t>
      </w:r>
      <w:r w:rsidR="001C27D6" w:rsidRPr="008F3469">
        <w:rPr>
          <w:rFonts w:ascii="GHEA Grapalat" w:hAnsi="GHEA Grapalat" w:cs="Arial"/>
          <w:sz w:val="24"/>
          <w:szCs w:val="24"/>
          <w:lang w:val="hy-AM"/>
        </w:rPr>
        <w:t>ՓՄՁ դաշնային կորպորացիան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D3301" w:rsidRPr="008F3469">
        <w:rPr>
          <w:rFonts w:ascii="GHEA Grapalat" w:hAnsi="GHEA Grapalat" w:cs="Arial"/>
          <w:sz w:val="24"/>
          <w:szCs w:val="24"/>
          <w:lang w:val="hy-AM"/>
        </w:rPr>
        <w:t>պետական երաշխ</w:t>
      </w:r>
      <w:r w:rsidR="00E31314">
        <w:rPr>
          <w:rFonts w:ascii="GHEA Grapalat" w:hAnsi="GHEA Grapalat" w:cs="Arial"/>
          <w:sz w:val="24"/>
          <w:szCs w:val="24"/>
          <w:lang w:val="hy-AM"/>
        </w:rPr>
        <w:t>իք</w:t>
      </w:r>
      <w:r w:rsidR="00AD3301" w:rsidRPr="008F3469">
        <w:rPr>
          <w:rFonts w:ascii="GHEA Grapalat" w:hAnsi="GHEA Grapalat" w:cs="Arial"/>
          <w:sz w:val="24"/>
          <w:szCs w:val="24"/>
          <w:lang w:val="hy-AM"/>
        </w:rPr>
        <w:t>ներ</w:t>
      </w:r>
      <w:r w:rsidR="00904FCA" w:rsidRPr="008F3469">
        <w:rPr>
          <w:rFonts w:ascii="GHEA Grapalat" w:hAnsi="GHEA Grapalat" w:cs="Arial"/>
          <w:sz w:val="24"/>
          <w:szCs w:val="24"/>
          <w:lang w:val="hy-AM"/>
        </w:rPr>
        <w:t xml:space="preserve"> է</w:t>
      </w:r>
      <w:r w:rsidR="00AD3301" w:rsidRPr="008F3469">
        <w:rPr>
          <w:rFonts w:ascii="GHEA Grapalat" w:hAnsi="GHEA Grapalat" w:cs="Arial"/>
          <w:sz w:val="24"/>
          <w:szCs w:val="24"/>
          <w:lang w:val="hy-AM"/>
        </w:rPr>
        <w:t xml:space="preserve"> տրամադրում հովանոցային մեխանիզմով։ </w:t>
      </w:r>
      <w:r w:rsidR="00E32F9C" w:rsidRPr="008F3469">
        <w:rPr>
          <w:rFonts w:ascii="GHEA Grapalat" w:hAnsi="GHEA Grapalat" w:cs="Arial"/>
          <w:sz w:val="24"/>
          <w:szCs w:val="24"/>
          <w:lang w:val="hy-AM"/>
        </w:rPr>
        <w:t xml:space="preserve">ՓՄՁ </w:t>
      </w:r>
      <w:r w:rsidR="001C27D6" w:rsidRPr="008F3469">
        <w:rPr>
          <w:rFonts w:ascii="GHEA Grapalat" w:hAnsi="GHEA Grapalat" w:cs="Arial"/>
          <w:sz w:val="24"/>
          <w:szCs w:val="24"/>
          <w:lang w:val="hy-AM"/>
        </w:rPr>
        <w:t>դաշնային կորպորացիայի</w:t>
      </w:r>
      <w:r w:rsidR="00E32F9C" w:rsidRPr="008F3469">
        <w:rPr>
          <w:rFonts w:ascii="GHEA Grapalat" w:hAnsi="GHEA Grapalat" w:cs="Arial"/>
          <w:sz w:val="24"/>
          <w:szCs w:val="24"/>
          <w:lang w:val="hy-AM"/>
        </w:rPr>
        <w:t xml:space="preserve"> և ֆինանսական կազմակերպությունների միջև կնքվում է մինչև 10 մլրդ ռուբլու չափով երաշխ</w:t>
      </w:r>
      <w:r w:rsidR="00E31314">
        <w:rPr>
          <w:rFonts w:ascii="GHEA Grapalat" w:hAnsi="GHEA Grapalat" w:cs="Arial"/>
          <w:sz w:val="24"/>
          <w:szCs w:val="24"/>
          <w:lang w:val="hy-AM"/>
        </w:rPr>
        <w:t>իքի</w:t>
      </w:r>
      <w:r w:rsidR="00E32F9C" w:rsidRPr="008F3469">
        <w:rPr>
          <w:rFonts w:ascii="GHEA Grapalat" w:hAnsi="GHEA Grapalat" w:cs="Arial"/>
          <w:sz w:val="24"/>
          <w:szCs w:val="24"/>
          <w:lang w:val="hy-AM"/>
        </w:rPr>
        <w:t xml:space="preserve"> պայմանագիր։ </w:t>
      </w:r>
      <w:r w:rsidR="009F0D3C" w:rsidRPr="008F3469">
        <w:rPr>
          <w:rFonts w:ascii="GHEA Grapalat" w:hAnsi="GHEA Grapalat" w:cs="Arial"/>
          <w:sz w:val="24"/>
          <w:szCs w:val="24"/>
          <w:lang w:val="hy-AM"/>
        </w:rPr>
        <w:t>Ծրագրի շրջանակներում պայմանագիր կնքած ֆինանսական կազմակերպությունում</w:t>
      </w:r>
      <w:r w:rsidR="001C27D6" w:rsidRPr="008F3469">
        <w:rPr>
          <w:rFonts w:ascii="GHEA Grapalat" w:hAnsi="GHEA Grapalat" w:cs="Arial"/>
          <w:sz w:val="24"/>
          <w:szCs w:val="24"/>
          <w:lang w:val="hy-AM"/>
        </w:rPr>
        <w:t xml:space="preserve"> միջոցառման շրջանակներում ձևավորված</w:t>
      </w:r>
      <w:r w:rsidR="009F0D3C" w:rsidRPr="008F3469">
        <w:rPr>
          <w:rFonts w:ascii="GHEA Grapalat" w:hAnsi="GHEA Grapalat" w:cs="Arial"/>
          <w:sz w:val="24"/>
          <w:szCs w:val="24"/>
          <w:lang w:val="hy-AM"/>
        </w:rPr>
        <w:t xml:space="preserve"> վարկային պորտֆելի նվազագույն չափը 20 մլրդ ռուբլի է, իսկ </w:t>
      </w:r>
      <w:r w:rsidR="009F0D3C" w:rsidRPr="008F3469">
        <w:rPr>
          <w:rFonts w:ascii="GHEA Grapalat" w:hAnsi="GHEA Grapalat"/>
          <w:sz w:val="24"/>
          <w:szCs w:val="24"/>
          <w:lang w:val="hy-AM"/>
        </w:rPr>
        <w:t xml:space="preserve">Ֆինանսական կազմակերպության կողմից միջոցառման շրջանակներում ձևավորված պորտֆելի մինչև 4.5%-ի չափով դուրս գրված վարկերի կորստի գումարը փոխհատուցվում է ՓՄՁ </w:t>
      </w:r>
      <w:r w:rsidR="001C27D6" w:rsidRPr="008F3469">
        <w:rPr>
          <w:rFonts w:ascii="GHEA Grapalat" w:hAnsi="GHEA Grapalat"/>
          <w:sz w:val="24"/>
          <w:szCs w:val="24"/>
          <w:lang w:val="hy-AM"/>
        </w:rPr>
        <w:t>դաշնային կորպորացիայի</w:t>
      </w:r>
      <w:r w:rsidR="009F0D3C" w:rsidRPr="008F3469">
        <w:rPr>
          <w:rFonts w:ascii="GHEA Grapalat" w:hAnsi="GHEA Grapalat"/>
          <w:sz w:val="24"/>
          <w:szCs w:val="24"/>
          <w:lang w:val="hy-AM"/>
        </w:rPr>
        <w:t xml:space="preserve"> կողմից։ Այս </w:t>
      </w:r>
      <w:r w:rsidR="009E24C1" w:rsidRPr="008F3469">
        <w:rPr>
          <w:rFonts w:ascii="GHEA Grapalat" w:hAnsi="GHEA Grapalat"/>
          <w:sz w:val="24"/>
          <w:szCs w:val="24"/>
          <w:lang w:val="hy-AM"/>
        </w:rPr>
        <w:t>համատեքստում</w:t>
      </w:r>
      <w:r w:rsidR="009F0D3C" w:rsidRPr="008F3469">
        <w:rPr>
          <w:rFonts w:ascii="GHEA Grapalat" w:hAnsi="GHEA Grapalat"/>
          <w:sz w:val="24"/>
          <w:szCs w:val="24"/>
          <w:lang w:val="hy-AM"/>
        </w:rPr>
        <w:t xml:space="preserve"> կարևոր է նշել, որ նշված մեխանիզմը Ռուսաստանի Դաշնությունում </w:t>
      </w:r>
      <w:r w:rsidR="002E226E" w:rsidRPr="008F3469">
        <w:rPr>
          <w:rFonts w:ascii="GHEA Grapalat" w:hAnsi="GHEA Grapalat"/>
          <w:sz w:val="24"/>
          <w:szCs w:val="24"/>
          <w:lang w:val="hy-AM"/>
        </w:rPr>
        <w:t>լայն տարածում ունեցող և ակտիվ աշխատող մեխանիզմ է։</w:t>
      </w:r>
    </w:p>
    <w:p w14:paraId="0FD08C68" w14:textId="6E1EBD97" w:rsidR="002E226E" w:rsidRPr="008F3469" w:rsidRDefault="002E226E" w:rsidP="009F0D3C">
      <w:pPr>
        <w:suppressAutoHyphens w:val="0"/>
        <w:spacing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8F3469">
        <w:rPr>
          <w:rFonts w:ascii="GHEA Grapalat" w:hAnsi="GHEA Grapalat"/>
          <w:sz w:val="24"/>
          <w:szCs w:val="24"/>
          <w:lang w:val="hy-AM"/>
        </w:rPr>
        <w:t>Պետական երաշխիքների տրամադրման մեխանիզմի ներդրումը ունի հետևյալ առավելությունները</w:t>
      </w:r>
      <w:r w:rsidRPr="008F3469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2C5C2F03" w14:textId="362CD17C" w:rsidR="002E226E" w:rsidRPr="008F3469" w:rsidRDefault="002E226E" w:rsidP="002E226E">
      <w:pPr>
        <w:pStyle w:val="ListParagraph"/>
        <w:numPr>
          <w:ilvl w:val="0"/>
          <w:numId w:val="24"/>
        </w:numPr>
        <w:suppressAutoHyphens w:val="0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Կառավարության համար</w:t>
      </w:r>
      <w:r w:rsidRPr="008F3469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706D4687" w14:textId="0CBEB26A" w:rsidR="002E226E" w:rsidRPr="008F3469" w:rsidRDefault="002E226E" w:rsidP="002E226E">
      <w:pPr>
        <w:pStyle w:val="ListParagraph"/>
        <w:numPr>
          <w:ilvl w:val="1"/>
          <w:numId w:val="24"/>
        </w:numPr>
        <w:suppressAutoHyphens w:val="0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ՓՄՁ սուբյեկտների մրցունակության բարձրացում,</w:t>
      </w:r>
    </w:p>
    <w:p w14:paraId="0ACF3F63" w14:textId="1B4A013F" w:rsidR="002E226E" w:rsidRPr="008F3469" w:rsidRDefault="002E226E" w:rsidP="002E226E">
      <w:pPr>
        <w:pStyle w:val="ListParagraph"/>
        <w:numPr>
          <w:ilvl w:val="1"/>
          <w:numId w:val="24"/>
        </w:numPr>
        <w:suppressAutoHyphens w:val="0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lastRenderedPageBreak/>
        <w:t>Նոր աշխատատեղերի ստեղծում,</w:t>
      </w:r>
    </w:p>
    <w:p w14:paraId="011E9C6A" w14:textId="25592B3F" w:rsidR="002E226E" w:rsidRPr="008F3469" w:rsidRDefault="002E226E" w:rsidP="002E226E">
      <w:pPr>
        <w:pStyle w:val="ListParagraph"/>
        <w:numPr>
          <w:ilvl w:val="1"/>
          <w:numId w:val="24"/>
        </w:numPr>
        <w:suppressAutoHyphens w:val="0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Ֆինանսական շուկայի վիճակի բարելավում,</w:t>
      </w:r>
    </w:p>
    <w:p w14:paraId="68DCE454" w14:textId="24FEE74B" w:rsidR="002E226E" w:rsidRPr="008F3469" w:rsidRDefault="002E226E" w:rsidP="002E226E">
      <w:pPr>
        <w:pStyle w:val="ListParagraph"/>
        <w:numPr>
          <w:ilvl w:val="0"/>
          <w:numId w:val="24"/>
        </w:numPr>
        <w:suppressAutoHyphens w:val="0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ՓՄՁ սուբյեկտների համար</w:t>
      </w:r>
      <w:r w:rsidRPr="008F3469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1FBEB4E" w14:textId="470CDB67" w:rsidR="002E226E" w:rsidRPr="008F3469" w:rsidRDefault="002E226E" w:rsidP="002E226E">
      <w:pPr>
        <w:pStyle w:val="ListParagraph"/>
        <w:numPr>
          <w:ilvl w:val="1"/>
          <w:numId w:val="24"/>
        </w:numPr>
        <w:suppressAutoHyphens w:val="0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Այլընտրանքային և օրինական ֆինանսավորման աղբյուրների հասանելիություն,</w:t>
      </w:r>
    </w:p>
    <w:p w14:paraId="5349E166" w14:textId="3786856A" w:rsidR="002E226E" w:rsidRPr="008F3469" w:rsidRDefault="002E226E" w:rsidP="002E226E">
      <w:pPr>
        <w:pStyle w:val="ListParagraph"/>
        <w:numPr>
          <w:ilvl w:val="1"/>
          <w:numId w:val="24"/>
        </w:numPr>
        <w:suppressAutoHyphens w:val="0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Վարկերի ցածր տոկոսադրույքներ,</w:t>
      </w:r>
    </w:p>
    <w:p w14:paraId="3EB8F30C" w14:textId="116BB358" w:rsidR="002E226E" w:rsidRPr="008F3469" w:rsidRDefault="002E226E" w:rsidP="002E226E">
      <w:pPr>
        <w:pStyle w:val="ListParagraph"/>
        <w:numPr>
          <w:ilvl w:val="1"/>
          <w:numId w:val="24"/>
        </w:numPr>
        <w:suppressAutoHyphens w:val="0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Երկարաժամկետ ներդրումների առկայություն,</w:t>
      </w:r>
    </w:p>
    <w:p w14:paraId="722D9E34" w14:textId="65DDBF1E" w:rsidR="002E226E" w:rsidRPr="008F3469" w:rsidRDefault="002E226E" w:rsidP="002E226E">
      <w:pPr>
        <w:pStyle w:val="ListParagraph"/>
        <w:numPr>
          <w:ilvl w:val="0"/>
          <w:numId w:val="24"/>
        </w:numPr>
        <w:suppressAutoHyphens w:val="0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Ֆինանսական կազմակերպությունների համար</w:t>
      </w:r>
      <w:r w:rsidRPr="008F3469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06F9C8B4" w14:textId="32B42E22" w:rsidR="002E226E" w:rsidRPr="008F3469" w:rsidRDefault="002E226E" w:rsidP="002E226E">
      <w:pPr>
        <w:pStyle w:val="ListParagraph"/>
        <w:numPr>
          <w:ilvl w:val="1"/>
          <w:numId w:val="24"/>
        </w:numPr>
        <w:suppressAutoHyphens w:val="0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Նոր շուկաների հասանելիություն,</w:t>
      </w:r>
    </w:p>
    <w:p w14:paraId="455AAF50" w14:textId="391DB406" w:rsidR="002E226E" w:rsidRPr="008F3469" w:rsidRDefault="002E226E" w:rsidP="002E226E">
      <w:pPr>
        <w:pStyle w:val="ListParagraph"/>
        <w:numPr>
          <w:ilvl w:val="1"/>
          <w:numId w:val="24"/>
        </w:numPr>
        <w:suppressAutoHyphens w:val="0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Կապիտալի բավարարվածության </w:t>
      </w:r>
      <w:r w:rsidR="00904FCA" w:rsidRPr="008F3469">
        <w:rPr>
          <w:rFonts w:ascii="GHEA Grapalat" w:hAnsi="GHEA Grapalat" w:cs="Arial"/>
          <w:sz w:val="24"/>
          <w:szCs w:val="24"/>
          <w:lang w:val="hy-AM"/>
        </w:rPr>
        <w:t xml:space="preserve">մակարդակի </w:t>
      </w:r>
      <w:r w:rsidRPr="008F3469">
        <w:rPr>
          <w:rFonts w:ascii="GHEA Grapalat" w:hAnsi="GHEA Grapalat" w:cs="Arial"/>
          <w:sz w:val="24"/>
          <w:szCs w:val="24"/>
          <w:lang w:val="hy-AM"/>
        </w:rPr>
        <w:t>ավելացում։</w:t>
      </w:r>
    </w:p>
    <w:p w14:paraId="47A8483C" w14:textId="6FE33B09" w:rsidR="008D7CBA" w:rsidRPr="008F3469" w:rsidRDefault="00705410" w:rsidP="00705410">
      <w:pPr>
        <w:suppressAutoHyphens w:val="0"/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AE81717" wp14:editId="5AB0FC16">
            <wp:simplePos x="0" y="0"/>
            <wp:positionH relativeFrom="margin">
              <wp:align>left</wp:align>
            </wp:positionH>
            <wp:positionV relativeFrom="paragraph">
              <wp:posOffset>2357120</wp:posOffset>
            </wp:positionV>
            <wp:extent cx="6525260" cy="4203700"/>
            <wp:effectExtent l="0" t="0" r="8890" b="6350"/>
            <wp:wrapSquare wrapText="bothSides"/>
            <wp:docPr id="553781257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59EC85B-B249-877F-FF81-5262164EFE1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C0C" w:rsidRPr="008F3469">
        <w:rPr>
          <w:rFonts w:ascii="GHEA Grapalat" w:hAnsi="GHEA Grapalat" w:cs="Arial"/>
          <w:sz w:val="24"/>
          <w:szCs w:val="24"/>
          <w:lang w:val="hy-AM"/>
        </w:rPr>
        <w:t>Միաժամանակ,</w:t>
      </w:r>
      <w:r w:rsidR="008D7CBA" w:rsidRPr="008F3469">
        <w:rPr>
          <w:rFonts w:ascii="GHEA Grapalat" w:hAnsi="GHEA Grapalat" w:cs="Arial"/>
          <w:sz w:val="24"/>
          <w:szCs w:val="24"/>
          <w:lang w:val="hy-AM"/>
        </w:rPr>
        <w:t xml:space="preserve"> անհրաժեշտ է անդրադառնալ նաև </w:t>
      </w:r>
      <w:r w:rsidR="009E24C1" w:rsidRPr="008F3469">
        <w:rPr>
          <w:rFonts w:ascii="GHEA Grapalat" w:hAnsi="GHEA Grapalat" w:cs="Arial"/>
          <w:sz w:val="24"/>
          <w:szCs w:val="24"/>
          <w:lang w:val="hy-AM"/>
        </w:rPr>
        <w:t>ֆինանսական</w:t>
      </w:r>
      <w:r w:rsidR="008D7CBA" w:rsidRPr="008F3469">
        <w:rPr>
          <w:rFonts w:ascii="GHEA Grapalat" w:hAnsi="GHEA Grapalat" w:cs="Arial"/>
          <w:sz w:val="24"/>
          <w:szCs w:val="24"/>
          <w:lang w:val="hy-AM"/>
        </w:rPr>
        <w:t xml:space="preserve"> շուկայո</w:t>
      </w:r>
      <w:r w:rsidR="001C27D6" w:rsidRPr="008F3469">
        <w:rPr>
          <w:rFonts w:ascii="GHEA Grapalat" w:hAnsi="GHEA Grapalat" w:cs="Arial"/>
          <w:sz w:val="24"/>
          <w:szCs w:val="24"/>
          <w:lang w:val="hy-AM"/>
        </w:rPr>
        <w:t>ւմ</w:t>
      </w:r>
      <w:r w:rsidR="008D7CBA" w:rsidRPr="008F3469">
        <w:rPr>
          <w:rFonts w:ascii="GHEA Grapalat" w:hAnsi="GHEA Grapalat" w:cs="Arial"/>
          <w:sz w:val="24"/>
          <w:szCs w:val="24"/>
          <w:lang w:val="hy-AM"/>
        </w:rPr>
        <w:t xml:space="preserve"> ՓՄՁ-երին առաջարկվող վար</w:t>
      </w:r>
      <w:r w:rsidR="001C27D6" w:rsidRPr="008F3469">
        <w:rPr>
          <w:rFonts w:ascii="GHEA Grapalat" w:hAnsi="GHEA Grapalat" w:cs="Arial"/>
          <w:sz w:val="24"/>
          <w:szCs w:val="24"/>
          <w:lang w:val="hy-AM"/>
        </w:rPr>
        <w:t>կերի</w:t>
      </w:r>
      <w:r w:rsidR="008D7CBA" w:rsidRPr="008F3469">
        <w:rPr>
          <w:rFonts w:ascii="GHEA Grapalat" w:hAnsi="GHEA Grapalat" w:cs="Arial"/>
          <w:sz w:val="24"/>
          <w:szCs w:val="24"/>
          <w:lang w:val="hy-AM"/>
        </w:rPr>
        <w:t xml:space="preserve"> տարեկան տոկոսադրույքներին։ </w:t>
      </w:r>
      <w:r w:rsidR="00F31C0C" w:rsidRPr="008F3469">
        <w:rPr>
          <w:rFonts w:ascii="GHEA Grapalat" w:hAnsi="GHEA Grapalat" w:cs="Arial"/>
          <w:sz w:val="24"/>
          <w:szCs w:val="24"/>
          <w:lang w:val="hy-AM"/>
        </w:rPr>
        <w:t>Ուսումնասիրելով շուկայի առաջատար ֆինանսական կառույցների կողմից ՓՄՁ սուբյեկտներին առաջարկվող վարկերի տարեկան տոկոսադրույքները</w:t>
      </w:r>
      <w:r w:rsidR="005335FB">
        <w:rPr>
          <w:rFonts w:ascii="GHEA Grapalat" w:hAnsi="GHEA Grapalat" w:cs="Arial"/>
          <w:sz w:val="24"/>
          <w:szCs w:val="24"/>
          <w:lang w:val="hy-AM"/>
        </w:rPr>
        <w:t>՝</w:t>
      </w:r>
      <w:r w:rsidR="00F31C0C" w:rsidRPr="008F3469">
        <w:rPr>
          <w:rFonts w:ascii="GHEA Grapalat" w:hAnsi="GHEA Grapalat" w:cs="Arial"/>
          <w:sz w:val="24"/>
          <w:szCs w:val="24"/>
          <w:lang w:val="hy-AM"/>
        </w:rPr>
        <w:t xml:space="preserve"> գալիս ենք այն եզրահանգմանը, որ </w:t>
      </w:r>
      <w:r w:rsidR="00D65280" w:rsidRPr="008F3469">
        <w:rPr>
          <w:rFonts w:ascii="GHEA Grapalat" w:hAnsi="GHEA Grapalat" w:cs="Arial"/>
          <w:sz w:val="24"/>
          <w:szCs w:val="24"/>
          <w:lang w:val="hy-AM"/>
        </w:rPr>
        <w:t>համեմատության մեջ հայկական ֆինանսական կառույցների կողմից առաջարկվող վարկային տարեկան տոկոսադրույքը բավական բարձր է (ընդ որում նշված տոկոսադրույքում հաշվարկված չէ միջնորդավճարներն ու սպասարկման վճարները)։</w:t>
      </w:r>
    </w:p>
    <w:p w14:paraId="7F732DC4" w14:textId="40DFF0EA" w:rsidR="00705410" w:rsidRPr="008F3469" w:rsidRDefault="00705410" w:rsidP="00705410">
      <w:pPr>
        <w:suppressAutoHyphens w:val="0"/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lastRenderedPageBreak/>
        <w:t>Այս հանգամանքը ֆինանսական կազմակերպությունների կողմից առաջարկվող վարկավորումը ՓՄՁ-երի համար դարձնում է ոչ մատչելի և անարդյունավետ, ինչը լրացուցիչ խոչընդոտ է աճի ներուժ ունեցող ձեռներեցների համար։ Ձեռնարկատիրական գաղափար ունեցող ստարտափերի համար առաջարկվող տոկոսադրույքը ավելի բարձր է՝ հաշվի առնելով վերջիններիս ռիսկայնության բարձր մակարդակը։</w:t>
      </w:r>
    </w:p>
    <w:p w14:paraId="42759D9E" w14:textId="09CB7BEB" w:rsidR="00CF30A3" w:rsidRPr="008F3469" w:rsidRDefault="00CF30A3" w:rsidP="00705410">
      <w:pPr>
        <w:suppressAutoHyphens w:val="0"/>
        <w:spacing w:line="360" w:lineRule="auto"/>
        <w:ind w:left="0" w:firstLine="448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Համաձայն IFC-ի կողմից իրականացված հետազոտությունների</w:t>
      </w:r>
      <w:r w:rsidR="00CA289B">
        <w:rPr>
          <w:rFonts w:ascii="GHEA Grapalat" w:hAnsi="GHEA Grapalat" w:cs="Arial"/>
          <w:sz w:val="24"/>
          <w:szCs w:val="24"/>
          <w:lang w:val="hy-AM"/>
        </w:rPr>
        <w:t>՝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զարգացած երկրներում ավելի քան 65 միլիոն ՓՄՁ-եր (զարգացող երկրների ՓՄՁ-երի 40%-ը) ունեն ֆինանսավորման մեծ պահանջ ավելի քան 5</w:t>
      </w:r>
      <w:r w:rsidRPr="008F3469">
        <w:rPr>
          <w:rFonts w:ascii="Cambria Math" w:hAnsi="Cambria Math" w:cs="Cambria Math"/>
          <w:sz w:val="24"/>
          <w:szCs w:val="24"/>
          <w:lang w:val="hy-AM"/>
        </w:rPr>
        <w:t>․</w:t>
      </w:r>
      <w:r w:rsidRPr="008F3469">
        <w:rPr>
          <w:rFonts w:ascii="GHEA Grapalat" w:hAnsi="GHEA Grapalat" w:cs="Arial"/>
          <w:sz w:val="24"/>
          <w:szCs w:val="24"/>
          <w:lang w:val="hy-AM"/>
        </w:rPr>
        <w:t>2 տրիլիոն դոլար ընդհանուր արժողությամբ։</w:t>
      </w:r>
    </w:p>
    <w:p w14:paraId="10A46133" w14:textId="357CD387" w:rsidR="00705410" w:rsidRPr="008F3469" w:rsidRDefault="00705410" w:rsidP="00705410">
      <w:pPr>
        <w:suppressAutoHyphens w:val="0"/>
        <w:spacing w:line="360" w:lineRule="auto"/>
        <w:ind w:left="0" w:firstLine="448"/>
        <w:rPr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Այս համատեքստում կարևոր է վերլուծել նաև ՓՄՁ-երին տրամադրված չաշխատող վարկերի տեսակարար կշիռը, որը Հայաստանի Հանրապետությունում 2022 թվականի հոկտեմբերի դրությամբ 5</w:t>
      </w:r>
      <w:r w:rsidRPr="008F3469">
        <w:rPr>
          <w:rFonts w:ascii="Cambria Math" w:hAnsi="Cambria Math" w:cs="Cambria Math"/>
          <w:sz w:val="24"/>
          <w:szCs w:val="24"/>
          <w:lang w:val="hy-AM"/>
        </w:rPr>
        <w:t>․</w:t>
      </w:r>
      <w:r w:rsidRPr="008F3469">
        <w:rPr>
          <w:rFonts w:ascii="GHEA Grapalat" w:hAnsi="GHEA Grapalat" w:cs="Arial"/>
          <w:sz w:val="24"/>
          <w:szCs w:val="24"/>
          <w:lang w:val="hy-AM"/>
        </w:rPr>
        <w:t>3% է, ինչը տարածաշրջանի և եվրոպական այլ երկրների հետ համեմատության մեջ միջինից ցածր ցուցանիշ է:</w:t>
      </w:r>
    </w:p>
    <w:p w14:paraId="6DC10994" w14:textId="78906BEA" w:rsidR="001E4766" w:rsidRPr="008F3469" w:rsidRDefault="00F43366" w:rsidP="00705410">
      <w:pPr>
        <w:suppressAutoHyphens w:val="0"/>
        <w:spacing w:line="360" w:lineRule="auto"/>
        <w:ind w:left="0" w:firstLine="448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/>
          <w:noProof/>
          <w:sz w:val="16"/>
          <w:szCs w:val="16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E8C1E4F" wp14:editId="6B6D4EA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202045" cy="3985895"/>
            <wp:effectExtent l="0" t="0" r="8255" b="14605"/>
            <wp:wrapThrough wrapText="bothSides">
              <wp:wrapPolygon edited="0">
                <wp:start x="0" y="0"/>
                <wp:lineTo x="0" y="21576"/>
                <wp:lineTo x="21562" y="21576"/>
                <wp:lineTo x="21562" y="0"/>
                <wp:lineTo x="0" y="0"/>
              </wp:wrapPolygon>
            </wp:wrapThrough>
            <wp:docPr id="1641011370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4701E5D-D370-B2B7-7F08-6436F3510C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55C" w:rsidRPr="008F3469">
        <w:rPr>
          <w:rFonts w:ascii="GHEA Grapalat" w:hAnsi="GHEA Grapalat" w:cs="Arial"/>
          <w:sz w:val="24"/>
          <w:szCs w:val="24"/>
          <w:lang w:val="hy-AM"/>
        </w:rPr>
        <w:t xml:space="preserve">Այս համատեքստում անհրաժեշտ է արձանագրել նաև այն փաստը, որը վերջին՝ Կորոնավիրուսի տնտեսական հետևանքների չեզոքացման 19-րդ միջոցառման շրջանակներում վարկավորում ստացած </w:t>
      </w:r>
      <w:r w:rsidR="001E4766" w:rsidRPr="008F3469">
        <w:rPr>
          <w:rFonts w:ascii="GHEA Grapalat" w:hAnsi="GHEA Grapalat" w:cs="Arial"/>
          <w:sz w:val="24"/>
          <w:szCs w:val="24"/>
          <w:lang w:val="hy-AM"/>
        </w:rPr>
        <w:t xml:space="preserve">120 կազմակերպություններից (վարկավորումն </w:t>
      </w:r>
      <w:r w:rsidR="001E4766" w:rsidRPr="008F3469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իրականացվել է 2021 թվականից՝ տնտեսավարողների կողմից ներկայացված բիզնես մոդելների հիման վրա) </w:t>
      </w:r>
      <w:r w:rsidR="00AA228F" w:rsidRPr="008F3469">
        <w:rPr>
          <w:rFonts w:ascii="GHEA Grapalat" w:hAnsi="GHEA Grapalat" w:cs="Arial"/>
          <w:sz w:val="24"/>
          <w:szCs w:val="24"/>
          <w:lang w:val="hy-AM"/>
        </w:rPr>
        <w:t>7</w:t>
      </w:r>
      <w:r w:rsidR="001E4766" w:rsidRPr="008F3469">
        <w:rPr>
          <w:rFonts w:ascii="GHEA Grapalat" w:hAnsi="GHEA Grapalat" w:cs="Arial"/>
          <w:sz w:val="24"/>
          <w:szCs w:val="24"/>
          <w:lang w:val="hy-AM"/>
        </w:rPr>
        <w:t xml:space="preserve">-ն </w:t>
      </w:r>
      <w:r w:rsidR="002E226E" w:rsidRPr="008F3469">
        <w:rPr>
          <w:rFonts w:ascii="GHEA Grapalat" w:hAnsi="GHEA Grapalat" w:cs="Arial"/>
          <w:sz w:val="24"/>
          <w:szCs w:val="24"/>
          <w:lang w:val="hy-AM"/>
        </w:rPr>
        <w:t>են</w:t>
      </w:r>
      <w:r w:rsidR="001E4766" w:rsidRPr="008F346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E226E" w:rsidRPr="008F3469">
        <w:rPr>
          <w:rFonts w:ascii="GHEA Grapalat" w:hAnsi="GHEA Grapalat" w:cs="Arial"/>
          <w:sz w:val="24"/>
          <w:szCs w:val="24"/>
          <w:lang w:val="hy-AM"/>
        </w:rPr>
        <w:t>անհուսալի դասակարգված</w:t>
      </w:r>
      <w:r w:rsidR="00521C9E" w:rsidRPr="008F3469">
        <w:rPr>
          <w:rFonts w:ascii="GHEA Grapalat" w:hAnsi="GHEA Grapalat" w:cs="Arial"/>
          <w:sz w:val="24"/>
          <w:szCs w:val="24"/>
          <w:lang w:val="hy-AM"/>
        </w:rPr>
        <w:t xml:space="preserve"> (պորտֆելի 5</w:t>
      </w:r>
      <w:r w:rsidR="00521C9E" w:rsidRPr="008F3469">
        <w:rPr>
          <w:rFonts w:ascii="Cambria Math" w:hAnsi="Cambria Math" w:cs="Cambria Math"/>
          <w:sz w:val="24"/>
          <w:szCs w:val="24"/>
          <w:lang w:val="hy-AM"/>
        </w:rPr>
        <w:t>․</w:t>
      </w:r>
      <w:r w:rsidR="00521C9E" w:rsidRPr="008F3469">
        <w:rPr>
          <w:rFonts w:ascii="GHEA Grapalat" w:hAnsi="GHEA Grapalat" w:cs="Arial"/>
          <w:sz w:val="24"/>
          <w:szCs w:val="24"/>
          <w:lang w:val="hy-AM"/>
        </w:rPr>
        <w:t>6%-ը)</w:t>
      </w:r>
      <w:r w:rsidR="00AA228F" w:rsidRPr="008F3469">
        <w:rPr>
          <w:rFonts w:ascii="GHEA Grapalat" w:hAnsi="GHEA Grapalat" w:cs="Arial"/>
          <w:sz w:val="24"/>
          <w:szCs w:val="24"/>
          <w:lang w:val="hy-AM"/>
        </w:rPr>
        <w:t>:</w:t>
      </w:r>
      <w:r w:rsidR="001E4766" w:rsidRPr="008F346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21C9E" w:rsidRPr="008F3469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584162CB" w14:textId="4EED4E19" w:rsidR="00CF30A3" w:rsidRPr="008F3469" w:rsidRDefault="00CF30A3" w:rsidP="00700CF4">
      <w:pPr>
        <w:suppressAutoHyphens w:val="0"/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Հաշվի առնելով վերոգրյալը, գալիս ենք այն եզրահանգմանը, որ ձեռնարկատիրական հմտությունների զարգացման և </w:t>
      </w:r>
      <w:r w:rsidR="00521C9E" w:rsidRPr="008F3469">
        <w:rPr>
          <w:rFonts w:ascii="GHEA Grapalat" w:hAnsi="GHEA Grapalat" w:cs="Arial"/>
          <w:sz w:val="24"/>
          <w:szCs w:val="24"/>
          <w:lang w:val="hy-AM"/>
        </w:rPr>
        <w:t xml:space="preserve">այլընտրանքային </w:t>
      </w:r>
      <w:r w:rsidRPr="008F3469">
        <w:rPr>
          <w:rFonts w:ascii="GHEA Grapalat" w:hAnsi="GHEA Grapalat" w:cs="Arial"/>
          <w:sz w:val="24"/>
          <w:szCs w:val="24"/>
          <w:lang w:val="hy-AM"/>
        </w:rPr>
        <w:t>ֆինանսավորման գործիքների միասնական օգտագործումը միջազգային պրակտիկայում ընդունված ամենաարդյունավետ գործիքներից է ՓՄՁ տնտեսական ներուժը բացահայտելու և աճի միտում ունեցող ՓՄՁ-երին աջակցելու տեսանկյունից։</w:t>
      </w:r>
    </w:p>
    <w:p w14:paraId="680C9F38" w14:textId="2F1BA5BA" w:rsidR="00EA12FC" w:rsidRPr="008F3469" w:rsidRDefault="00EA12FC" w:rsidP="00EA12FC">
      <w:pPr>
        <w:suppressAutoHyphens w:val="0"/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Համաձայն Պետական եկամուտների</w:t>
      </w:r>
      <w:r w:rsidR="00331F52" w:rsidRPr="008F3469">
        <w:rPr>
          <w:rFonts w:ascii="GHEA Grapalat" w:hAnsi="GHEA Grapalat" w:cs="Arial"/>
          <w:sz w:val="24"/>
          <w:szCs w:val="24"/>
          <w:lang w:val="hy-AM"/>
        </w:rPr>
        <w:t xml:space="preserve"> կոմիտեի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կողմից ներկայացված տեղեկատվության՝ մինչև 50 աշխատակից ունեցող կազմակերպությունների թվաքանակը 2023 թվականի հունվարի 1-ի դրությամբ կազմում է </w:t>
      </w:r>
      <w:r w:rsidR="00521C9E" w:rsidRPr="008F3469">
        <w:rPr>
          <w:rFonts w:ascii="GHEA Grapalat" w:hAnsi="GHEA Grapalat" w:cs="Arial"/>
          <w:sz w:val="24"/>
          <w:szCs w:val="24"/>
          <w:lang w:val="hy-AM"/>
        </w:rPr>
        <w:t>59</w:t>
      </w:r>
      <w:r w:rsidR="00BD024C" w:rsidRPr="008F3469">
        <w:rPr>
          <w:rFonts w:ascii="GHEA Grapalat" w:hAnsi="GHEA Grapalat" w:cs="Arial"/>
          <w:sz w:val="24"/>
          <w:szCs w:val="24"/>
          <w:lang w:val="hy-AM"/>
        </w:rPr>
        <w:t>,</w:t>
      </w:r>
      <w:r w:rsidR="00521C9E" w:rsidRPr="008F3469">
        <w:rPr>
          <w:rFonts w:ascii="GHEA Grapalat" w:hAnsi="GHEA Grapalat" w:cs="Arial"/>
          <w:sz w:val="24"/>
          <w:szCs w:val="24"/>
          <w:lang w:val="hy-AM"/>
        </w:rPr>
        <w:t>11</w:t>
      </w:r>
      <w:r w:rsidR="00A20C14" w:rsidRPr="008F3469">
        <w:rPr>
          <w:rFonts w:ascii="GHEA Grapalat" w:hAnsi="GHEA Grapalat" w:cs="Arial"/>
          <w:sz w:val="24"/>
          <w:szCs w:val="24"/>
          <w:lang w:val="hy-AM"/>
        </w:rPr>
        <w:t>1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կազմակերպություն, որոնց</w:t>
      </w:r>
      <w:r w:rsidR="00AC3A76" w:rsidRPr="008F3469">
        <w:rPr>
          <w:rFonts w:ascii="GHEA Grapalat" w:hAnsi="GHEA Grapalat" w:cs="Arial"/>
          <w:sz w:val="24"/>
          <w:szCs w:val="24"/>
          <w:lang w:val="hy-AM"/>
        </w:rPr>
        <w:t xml:space="preserve"> 58.4%-ը (34,561 կազմակերպություն) գործունեություն են իրականացնում ապրանքների արտադրության կամ ծառայությունների մատուցման ոլորտում,մասնավորապես</w:t>
      </w:r>
      <w:r w:rsidRPr="008F3469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474503BB" w14:textId="0BDEC7E8" w:rsidR="00EA12FC" w:rsidRPr="008F3469" w:rsidRDefault="00EA12FC" w:rsidP="00EA12FC">
      <w:pPr>
        <w:pStyle w:val="ListParagraph"/>
        <w:numPr>
          <w:ilvl w:val="0"/>
          <w:numId w:val="14"/>
        </w:numPr>
        <w:suppressAutoHyphens w:val="0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Մինչև 100 մլն դրամ </w:t>
      </w:r>
      <w:r w:rsidR="009E24C1" w:rsidRPr="008F3469">
        <w:rPr>
          <w:rFonts w:ascii="GHEA Grapalat" w:hAnsi="GHEA Grapalat" w:cs="Arial"/>
          <w:sz w:val="24"/>
          <w:szCs w:val="24"/>
          <w:lang w:val="hy-AM"/>
        </w:rPr>
        <w:t>շրջանառություն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ունեցող կազմակերպությունների թվաքանակը </w:t>
      </w:r>
      <w:r w:rsidR="00521C9E" w:rsidRPr="008F3469">
        <w:rPr>
          <w:rFonts w:ascii="GHEA Grapalat" w:hAnsi="GHEA Grapalat" w:cs="Arial"/>
          <w:sz w:val="24"/>
          <w:szCs w:val="24"/>
          <w:lang w:val="hy-AM"/>
        </w:rPr>
        <w:t>51,594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է,</w:t>
      </w:r>
      <w:r w:rsidR="00BD024C" w:rsidRPr="008F3469">
        <w:rPr>
          <w:rFonts w:ascii="GHEA Grapalat" w:hAnsi="GHEA Grapalat" w:cs="Arial"/>
          <w:sz w:val="24"/>
          <w:szCs w:val="24"/>
          <w:lang w:val="hy-AM"/>
        </w:rPr>
        <w:t xml:space="preserve"> որոնց</w:t>
      </w:r>
      <w:r w:rsidR="00AC3A76" w:rsidRPr="008F3469">
        <w:rPr>
          <w:rFonts w:ascii="GHEA Grapalat" w:hAnsi="GHEA Grapalat" w:cs="Arial"/>
          <w:sz w:val="24"/>
          <w:szCs w:val="24"/>
          <w:lang w:val="hy-AM"/>
        </w:rPr>
        <w:t xml:space="preserve"> 59</w:t>
      </w:r>
      <w:r w:rsidR="00AC3A76" w:rsidRPr="008F3469">
        <w:rPr>
          <w:rFonts w:ascii="Cambria Math" w:hAnsi="Cambria Math" w:cs="Cambria Math"/>
          <w:sz w:val="24"/>
          <w:szCs w:val="24"/>
          <w:lang w:val="hy-AM"/>
        </w:rPr>
        <w:t>․</w:t>
      </w:r>
      <w:r w:rsidR="00104B37" w:rsidRPr="008F3469">
        <w:rPr>
          <w:rFonts w:ascii="GHEA Grapalat" w:hAnsi="GHEA Grapalat" w:cs="Arial"/>
          <w:sz w:val="24"/>
          <w:szCs w:val="24"/>
          <w:lang w:val="hy-AM"/>
        </w:rPr>
        <w:t>6</w:t>
      </w:r>
      <w:r w:rsidR="00AC3A76" w:rsidRPr="008F3469">
        <w:rPr>
          <w:rFonts w:ascii="GHEA Grapalat" w:hAnsi="GHEA Grapalat" w:cs="Arial"/>
          <w:sz w:val="24"/>
          <w:szCs w:val="24"/>
          <w:lang w:val="hy-AM"/>
        </w:rPr>
        <w:t>%-ը</w:t>
      </w:r>
      <w:r w:rsidR="00BD024C" w:rsidRPr="008F346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C3A76" w:rsidRPr="008F3469">
        <w:rPr>
          <w:rFonts w:ascii="GHEA Grapalat" w:hAnsi="GHEA Grapalat" w:cs="Arial"/>
          <w:sz w:val="24"/>
          <w:szCs w:val="24"/>
          <w:lang w:val="hy-AM"/>
        </w:rPr>
        <w:t>(</w:t>
      </w:r>
      <w:r w:rsidR="00521C9E" w:rsidRPr="008F3469">
        <w:rPr>
          <w:rFonts w:ascii="GHEA Grapalat" w:hAnsi="GHEA Grapalat" w:cs="Arial"/>
          <w:sz w:val="24"/>
          <w:szCs w:val="24"/>
          <w:lang w:val="hy-AM"/>
        </w:rPr>
        <w:t>30,74</w:t>
      </w:r>
      <w:r w:rsidR="00104B37" w:rsidRPr="008F3469">
        <w:rPr>
          <w:rFonts w:ascii="GHEA Grapalat" w:hAnsi="GHEA Grapalat" w:cs="Arial"/>
          <w:sz w:val="24"/>
          <w:szCs w:val="24"/>
          <w:lang w:val="hy-AM"/>
        </w:rPr>
        <w:t>6</w:t>
      </w:r>
      <w:r w:rsidR="00AC3A76" w:rsidRPr="008F3469">
        <w:rPr>
          <w:rFonts w:ascii="GHEA Grapalat" w:hAnsi="GHEA Grapalat" w:cs="Arial"/>
          <w:sz w:val="24"/>
          <w:szCs w:val="24"/>
          <w:lang w:val="hy-AM"/>
        </w:rPr>
        <w:t xml:space="preserve"> կազմակերպություն) </w:t>
      </w:r>
      <w:r w:rsidR="00BD024C" w:rsidRPr="008F3469">
        <w:rPr>
          <w:rFonts w:ascii="GHEA Grapalat" w:hAnsi="GHEA Grapalat" w:cs="Arial"/>
          <w:sz w:val="24"/>
          <w:szCs w:val="24"/>
          <w:lang w:val="hy-AM"/>
        </w:rPr>
        <w:t xml:space="preserve"> գործունեություն են իրականացնում</w:t>
      </w:r>
      <w:r w:rsidR="00AC3A76" w:rsidRPr="008F3469">
        <w:rPr>
          <w:rFonts w:ascii="GHEA Grapalat" w:hAnsi="GHEA Grapalat" w:cs="Arial"/>
          <w:sz w:val="24"/>
          <w:szCs w:val="24"/>
          <w:lang w:val="hy-AM"/>
        </w:rPr>
        <w:t xml:space="preserve"> ապրանքների</w:t>
      </w:r>
      <w:r w:rsidR="00BD024C" w:rsidRPr="008F346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21C9E" w:rsidRPr="008F3469">
        <w:rPr>
          <w:rFonts w:ascii="GHEA Grapalat" w:hAnsi="GHEA Grapalat" w:cs="Arial"/>
          <w:sz w:val="24"/>
          <w:szCs w:val="24"/>
          <w:lang w:val="hy-AM"/>
        </w:rPr>
        <w:t>արտադրության կամ ծառայությունների մատուցման ոլորտում</w:t>
      </w:r>
      <w:r w:rsidR="00BD024C" w:rsidRPr="008F3469">
        <w:rPr>
          <w:rFonts w:ascii="GHEA Grapalat" w:hAnsi="GHEA Grapalat" w:cs="Arial"/>
          <w:sz w:val="24"/>
          <w:szCs w:val="24"/>
          <w:lang w:val="hy-AM"/>
        </w:rPr>
        <w:t>,</w:t>
      </w:r>
    </w:p>
    <w:p w14:paraId="0B486B89" w14:textId="6713229B" w:rsidR="00BD024C" w:rsidRPr="008F3469" w:rsidRDefault="00EA12FC" w:rsidP="00BD024C">
      <w:pPr>
        <w:pStyle w:val="ListParagraph"/>
        <w:numPr>
          <w:ilvl w:val="0"/>
          <w:numId w:val="14"/>
        </w:numPr>
        <w:suppressAutoHyphens w:val="0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Մինչև 500 մլն դրամ շրջանառություն ունեցող կազմակերպությունների թվաքանակը </w:t>
      </w:r>
      <w:r w:rsidR="00521C9E" w:rsidRPr="008F3469">
        <w:rPr>
          <w:rFonts w:ascii="GHEA Grapalat" w:hAnsi="GHEA Grapalat" w:cs="Arial"/>
          <w:sz w:val="24"/>
          <w:szCs w:val="24"/>
          <w:lang w:val="hy-AM"/>
        </w:rPr>
        <w:t>5,789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է,</w:t>
      </w:r>
      <w:r w:rsidR="00BD024C" w:rsidRPr="008F3469">
        <w:rPr>
          <w:rFonts w:ascii="GHEA Grapalat" w:hAnsi="GHEA Grapalat" w:cs="Arial"/>
          <w:sz w:val="24"/>
          <w:szCs w:val="24"/>
          <w:lang w:val="hy-AM"/>
        </w:rPr>
        <w:t xml:space="preserve"> որոնց</w:t>
      </w:r>
      <w:r w:rsidR="00A20C14" w:rsidRPr="008F3469">
        <w:rPr>
          <w:rFonts w:ascii="GHEA Grapalat" w:hAnsi="GHEA Grapalat" w:cs="Arial"/>
          <w:sz w:val="24"/>
          <w:szCs w:val="24"/>
          <w:lang w:val="hy-AM"/>
        </w:rPr>
        <w:t xml:space="preserve"> 53.7%-ը</w:t>
      </w:r>
      <w:r w:rsidR="00BD024C" w:rsidRPr="008F346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20C14" w:rsidRPr="008F3469">
        <w:rPr>
          <w:rFonts w:ascii="GHEA Grapalat" w:hAnsi="GHEA Grapalat" w:cs="Arial"/>
          <w:sz w:val="24"/>
          <w:szCs w:val="24"/>
          <w:lang w:val="hy-AM"/>
        </w:rPr>
        <w:t>(</w:t>
      </w:r>
      <w:r w:rsidR="00521C9E" w:rsidRPr="008F3469">
        <w:rPr>
          <w:rFonts w:ascii="GHEA Grapalat" w:hAnsi="GHEA Grapalat" w:cs="Arial"/>
          <w:sz w:val="24"/>
          <w:szCs w:val="24"/>
          <w:lang w:val="hy-AM"/>
        </w:rPr>
        <w:t>3,11</w:t>
      </w:r>
      <w:r w:rsidR="00A20C14" w:rsidRPr="008F3469">
        <w:rPr>
          <w:rFonts w:ascii="GHEA Grapalat" w:hAnsi="GHEA Grapalat" w:cs="Arial"/>
          <w:sz w:val="24"/>
          <w:szCs w:val="24"/>
          <w:lang w:val="hy-AM"/>
        </w:rPr>
        <w:t>1 կազմակերպություն)</w:t>
      </w:r>
      <w:r w:rsidR="00BD024C" w:rsidRPr="008F3469">
        <w:rPr>
          <w:rFonts w:ascii="GHEA Grapalat" w:hAnsi="GHEA Grapalat" w:cs="Arial"/>
          <w:sz w:val="24"/>
          <w:szCs w:val="24"/>
          <w:lang w:val="hy-AM"/>
        </w:rPr>
        <w:t xml:space="preserve"> գործունեություն են իրականացնում</w:t>
      </w:r>
      <w:r w:rsidR="00A20C14" w:rsidRPr="008F3469">
        <w:rPr>
          <w:rFonts w:ascii="GHEA Grapalat" w:hAnsi="GHEA Grapalat" w:cs="Arial"/>
          <w:sz w:val="24"/>
          <w:szCs w:val="24"/>
          <w:lang w:val="hy-AM"/>
        </w:rPr>
        <w:t xml:space="preserve"> ապրանքների</w:t>
      </w:r>
      <w:r w:rsidR="00BD024C" w:rsidRPr="008F346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21C9E" w:rsidRPr="008F3469">
        <w:rPr>
          <w:rFonts w:ascii="GHEA Grapalat" w:hAnsi="GHEA Grapalat" w:cs="Arial"/>
          <w:sz w:val="24"/>
          <w:szCs w:val="24"/>
          <w:lang w:val="hy-AM"/>
        </w:rPr>
        <w:t>արտադրության կամ ծառայությունների մատուցման ոլորտում</w:t>
      </w:r>
      <w:r w:rsidR="00BD024C" w:rsidRPr="008F3469">
        <w:rPr>
          <w:rFonts w:ascii="GHEA Grapalat" w:hAnsi="GHEA Grapalat" w:cs="Arial"/>
          <w:sz w:val="24"/>
          <w:szCs w:val="24"/>
          <w:lang w:val="hy-AM"/>
        </w:rPr>
        <w:t>,</w:t>
      </w:r>
    </w:p>
    <w:p w14:paraId="78C50FCB" w14:textId="58552123" w:rsidR="00BD024C" w:rsidRPr="008F3469" w:rsidRDefault="00EA12FC" w:rsidP="00BD024C">
      <w:pPr>
        <w:pStyle w:val="ListParagraph"/>
        <w:numPr>
          <w:ilvl w:val="0"/>
          <w:numId w:val="14"/>
        </w:numPr>
        <w:suppressAutoHyphens w:val="0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Մինչև 1</w:t>
      </w:r>
      <w:r w:rsidR="00BD024C" w:rsidRPr="008F3469">
        <w:rPr>
          <w:rFonts w:ascii="GHEA Grapalat" w:hAnsi="GHEA Grapalat" w:cs="Arial"/>
          <w:sz w:val="24"/>
          <w:szCs w:val="24"/>
          <w:lang w:val="hy-AM"/>
        </w:rPr>
        <w:t>,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500 մլն դրամ շրջանառություն ունեցող կազմակերպությունների թվաքանակը </w:t>
      </w:r>
      <w:r w:rsidR="00521C9E" w:rsidRPr="008F3469">
        <w:rPr>
          <w:rFonts w:ascii="GHEA Grapalat" w:hAnsi="GHEA Grapalat" w:cs="Arial"/>
          <w:sz w:val="24"/>
          <w:szCs w:val="24"/>
          <w:lang w:val="hy-AM"/>
        </w:rPr>
        <w:t>1,290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է,</w:t>
      </w:r>
      <w:r w:rsidR="00BD024C" w:rsidRPr="008F3469">
        <w:rPr>
          <w:rFonts w:ascii="GHEA Grapalat" w:hAnsi="GHEA Grapalat" w:cs="Arial"/>
          <w:sz w:val="24"/>
          <w:szCs w:val="24"/>
          <w:lang w:val="hy-AM"/>
        </w:rPr>
        <w:t xml:space="preserve"> որոնց </w:t>
      </w:r>
      <w:r w:rsidR="00A20C14" w:rsidRPr="008F3469">
        <w:rPr>
          <w:rFonts w:ascii="GHEA Grapalat" w:hAnsi="GHEA Grapalat" w:cs="Arial"/>
          <w:sz w:val="24"/>
          <w:szCs w:val="24"/>
          <w:lang w:val="hy-AM"/>
        </w:rPr>
        <w:t>4</w:t>
      </w:r>
      <w:r w:rsidR="00104B37" w:rsidRPr="008F3469">
        <w:rPr>
          <w:rFonts w:ascii="GHEA Grapalat" w:hAnsi="GHEA Grapalat" w:cs="Arial"/>
          <w:sz w:val="24"/>
          <w:szCs w:val="24"/>
          <w:lang w:val="hy-AM"/>
        </w:rPr>
        <w:t>1</w:t>
      </w:r>
      <w:r w:rsidR="00A20C14" w:rsidRPr="008F3469">
        <w:rPr>
          <w:rFonts w:ascii="GHEA Grapalat" w:hAnsi="GHEA Grapalat" w:cs="Arial"/>
          <w:sz w:val="24"/>
          <w:szCs w:val="24"/>
          <w:lang w:val="hy-AM"/>
        </w:rPr>
        <w:t>.</w:t>
      </w:r>
      <w:r w:rsidR="00104B37" w:rsidRPr="008F3469">
        <w:rPr>
          <w:rFonts w:ascii="GHEA Grapalat" w:hAnsi="GHEA Grapalat" w:cs="Arial"/>
          <w:sz w:val="24"/>
          <w:szCs w:val="24"/>
          <w:lang w:val="hy-AM"/>
        </w:rPr>
        <w:t>3</w:t>
      </w:r>
      <w:r w:rsidR="00A20C14" w:rsidRPr="008F3469">
        <w:rPr>
          <w:rFonts w:ascii="GHEA Grapalat" w:hAnsi="GHEA Grapalat" w:cs="Arial"/>
          <w:sz w:val="24"/>
          <w:szCs w:val="24"/>
          <w:lang w:val="hy-AM"/>
        </w:rPr>
        <w:t>%-ը (5</w:t>
      </w:r>
      <w:r w:rsidR="00104B37" w:rsidRPr="008F3469">
        <w:rPr>
          <w:rFonts w:ascii="GHEA Grapalat" w:hAnsi="GHEA Grapalat" w:cs="Arial"/>
          <w:sz w:val="24"/>
          <w:szCs w:val="24"/>
          <w:lang w:val="hy-AM"/>
        </w:rPr>
        <w:t>33</w:t>
      </w:r>
      <w:r w:rsidR="00A20C14" w:rsidRPr="008F3469">
        <w:rPr>
          <w:rFonts w:ascii="GHEA Grapalat" w:hAnsi="GHEA Grapalat" w:cs="Arial"/>
          <w:sz w:val="24"/>
          <w:szCs w:val="24"/>
          <w:lang w:val="hy-AM"/>
        </w:rPr>
        <w:t xml:space="preserve"> կազմակերպություն)</w:t>
      </w:r>
      <w:r w:rsidR="00BD024C" w:rsidRPr="008F3469">
        <w:rPr>
          <w:rFonts w:ascii="GHEA Grapalat" w:hAnsi="GHEA Grapalat" w:cs="Arial"/>
          <w:sz w:val="24"/>
          <w:szCs w:val="24"/>
          <w:lang w:val="hy-AM"/>
        </w:rPr>
        <w:t xml:space="preserve"> գործունեություն են իրականացնում</w:t>
      </w:r>
      <w:r w:rsidR="00A20C14" w:rsidRPr="008F3469">
        <w:rPr>
          <w:rFonts w:ascii="GHEA Grapalat" w:hAnsi="GHEA Grapalat" w:cs="Arial"/>
          <w:sz w:val="24"/>
          <w:szCs w:val="24"/>
          <w:lang w:val="hy-AM"/>
        </w:rPr>
        <w:t xml:space="preserve"> ապրանքների</w:t>
      </w:r>
      <w:r w:rsidR="00BD024C" w:rsidRPr="008F346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21C9E" w:rsidRPr="008F3469">
        <w:rPr>
          <w:rFonts w:ascii="GHEA Grapalat" w:hAnsi="GHEA Grapalat" w:cs="Arial"/>
          <w:sz w:val="24"/>
          <w:szCs w:val="24"/>
          <w:lang w:val="hy-AM"/>
        </w:rPr>
        <w:t>արտադրության կամ ծառայությունների մատուցման ոլորտում</w:t>
      </w:r>
      <w:r w:rsidR="00BD024C" w:rsidRPr="008F3469">
        <w:rPr>
          <w:rFonts w:ascii="GHEA Grapalat" w:hAnsi="GHEA Grapalat" w:cs="Arial"/>
          <w:sz w:val="24"/>
          <w:szCs w:val="24"/>
          <w:lang w:val="hy-AM"/>
        </w:rPr>
        <w:t>,</w:t>
      </w:r>
    </w:p>
    <w:p w14:paraId="4152A06A" w14:textId="5ABEA9A1" w:rsidR="00EA12FC" w:rsidRPr="008F3469" w:rsidRDefault="00EA12FC" w:rsidP="00EA12FC">
      <w:pPr>
        <w:pStyle w:val="ListParagraph"/>
        <w:numPr>
          <w:ilvl w:val="0"/>
          <w:numId w:val="14"/>
        </w:numPr>
        <w:suppressAutoHyphens w:val="0"/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1</w:t>
      </w:r>
      <w:r w:rsidR="00BD024C" w:rsidRPr="008F3469">
        <w:rPr>
          <w:rFonts w:ascii="GHEA Grapalat" w:hAnsi="GHEA Grapalat" w:cs="Arial"/>
          <w:sz w:val="24"/>
          <w:szCs w:val="24"/>
          <w:lang w:val="hy-AM"/>
        </w:rPr>
        <w:t>,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500 մլն դրամից ավել շրջանառություն ունեցող կազմակերպությունների թվաքանակը </w:t>
      </w:r>
      <w:r w:rsidR="00521C9E" w:rsidRPr="008F3469">
        <w:rPr>
          <w:rFonts w:ascii="GHEA Grapalat" w:hAnsi="GHEA Grapalat" w:cs="Arial"/>
          <w:sz w:val="24"/>
          <w:szCs w:val="24"/>
          <w:lang w:val="hy-AM"/>
        </w:rPr>
        <w:t>438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է</w:t>
      </w:r>
      <w:r w:rsidR="00BD024C" w:rsidRPr="008F3469">
        <w:rPr>
          <w:rFonts w:ascii="GHEA Grapalat" w:hAnsi="GHEA Grapalat" w:cs="Arial"/>
          <w:sz w:val="24"/>
          <w:szCs w:val="24"/>
          <w:lang w:val="hy-AM"/>
        </w:rPr>
        <w:t xml:space="preserve">, որոնց </w:t>
      </w:r>
      <w:r w:rsidR="00A20C14" w:rsidRPr="008F3469">
        <w:rPr>
          <w:rFonts w:ascii="GHEA Grapalat" w:hAnsi="GHEA Grapalat" w:cs="Arial"/>
          <w:sz w:val="24"/>
          <w:szCs w:val="24"/>
          <w:lang w:val="hy-AM"/>
        </w:rPr>
        <w:t>39%-ը (</w:t>
      </w:r>
      <w:r w:rsidR="00521C9E" w:rsidRPr="008F3469">
        <w:rPr>
          <w:rFonts w:ascii="GHEA Grapalat" w:hAnsi="GHEA Grapalat" w:cs="Arial"/>
          <w:sz w:val="24"/>
          <w:szCs w:val="24"/>
          <w:lang w:val="hy-AM"/>
        </w:rPr>
        <w:t>171</w:t>
      </w:r>
      <w:r w:rsidR="00A20C14" w:rsidRPr="008F3469">
        <w:rPr>
          <w:rFonts w:ascii="GHEA Grapalat" w:hAnsi="GHEA Grapalat" w:cs="Arial"/>
          <w:sz w:val="24"/>
          <w:szCs w:val="24"/>
          <w:lang w:val="hy-AM"/>
        </w:rPr>
        <w:t xml:space="preserve"> կազմակերպություն)</w:t>
      </w:r>
      <w:r w:rsidR="00BD024C" w:rsidRPr="008F3469">
        <w:rPr>
          <w:rFonts w:ascii="GHEA Grapalat" w:hAnsi="GHEA Grapalat" w:cs="Arial"/>
          <w:sz w:val="24"/>
          <w:szCs w:val="24"/>
          <w:lang w:val="hy-AM"/>
        </w:rPr>
        <w:t xml:space="preserve"> գործունեություն են իրականացնում </w:t>
      </w:r>
      <w:r w:rsidR="00521C9E" w:rsidRPr="008F3469">
        <w:rPr>
          <w:rFonts w:ascii="GHEA Grapalat" w:hAnsi="GHEA Grapalat" w:cs="Arial"/>
          <w:sz w:val="24"/>
          <w:szCs w:val="24"/>
          <w:lang w:val="hy-AM"/>
        </w:rPr>
        <w:t>արտադրության կամ ծառայությունների մատուցման ոլորտում</w:t>
      </w:r>
      <w:r w:rsidR="00BD024C" w:rsidRPr="008F3469">
        <w:rPr>
          <w:rFonts w:ascii="GHEA Grapalat" w:hAnsi="GHEA Grapalat" w:cs="Arial"/>
          <w:sz w:val="24"/>
          <w:szCs w:val="24"/>
          <w:lang w:val="hy-AM"/>
        </w:rPr>
        <w:t>:</w:t>
      </w:r>
    </w:p>
    <w:p w14:paraId="6EB2F08E" w14:textId="4971AEF6" w:rsidR="00F868EF" w:rsidRPr="008F3469" w:rsidRDefault="00F868EF" w:rsidP="00700CF4">
      <w:pPr>
        <w:suppressAutoHyphens w:val="0"/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Միաժամանակ, այս համատեքստում կարևոր է քննարկել Հարավային Կորեայի փորձը։ Համաձայն վերջիններիս կողմից իրականացված հետազոտությունների՝ Innobiz կենտրոնի </w:t>
      </w:r>
      <w:r w:rsidRPr="008F3469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կողմից հավաստագրված և պետական աջակցության գործիքների (արտոնյալ պայմաններով վարկ, սուբսիդավորում, պետական </w:t>
      </w:r>
      <w:r w:rsidR="009E24C1" w:rsidRPr="008F3469">
        <w:rPr>
          <w:rFonts w:ascii="GHEA Grapalat" w:hAnsi="GHEA Grapalat" w:cs="Arial"/>
          <w:sz w:val="24"/>
          <w:szCs w:val="24"/>
          <w:lang w:val="hy-AM"/>
        </w:rPr>
        <w:t>երաշխիքների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տրամադրում) շրջանակներում աջակցություն ստացած ՓՄՁ-երի կողմից արտահանման ծավալը կազմում է երկրի ամբողջ արտահանման ծավալի 54</w:t>
      </w:r>
      <w:r w:rsidRPr="008F3469">
        <w:rPr>
          <w:rFonts w:ascii="Cambria Math" w:hAnsi="Cambria Math" w:cs="Cambria Math"/>
          <w:sz w:val="24"/>
          <w:szCs w:val="24"/>
          <w:lang w:val="hy-AM"/>
        </w:rPr>
        <w:t>․</w:t>
      </w:r>
      <w:r w:rsidRPr="008F3469">
        <w:rPr>
          <w:rFonts w:ascii="GHEA Grapalat" w:hAnsi="GHEA Grapalat" w:cs="Arial"/>
          <w:sz w:val="24"/>
          <w:szCs w:val="24"/>
          <w:lang w:val="hy-AM"/>
        </w:rPr>
        <w:t>2%-ը։</w:t>
      </w:r>
    </w:p>
    <w:p w14:paraId="76F6435B" w14:textId="77777777" w:rsidR="00E31314" w:rsidRDefault="00305CC3" w:rsidP="00E31314">
      <w:pPr>
        <w:suppressAutoHyphens w:val="0"/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/>
          <w:noProof/>
          <w:lang w:val="ru-RU" w:eastAsia="ru-RU"/>
        </w:rPr>
        <w:drawing>
          <wp:inline distT="0" distB="0" distL="0" distR="0" wp14:anchorId="6E8E29E0" wp14:editId="7D772FBF">
            <wp:extent cx="6078542" cy="3381375"/>
            <wp:effectExtent l="0" t="0" r="0" b="0"/>
            <wp:docPr id="154535715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357157" name=""/>
                    <pic:cNvPicPr/>
                  </pic:nvPicPr>
                  <pic:blipFill rotWithShape="1">
                    <a:blip r:embed="rId12"/>
                    <a:srcRect l="1664" t="3764" r="5635" b="4553"/>
                    <a:stretch/>
                  </pic:blipFill>
                  <pic:spPr bwMode="auto">
                    <a:xfrm>
                      <a:off x="0" y="0"/>
                      <a:ext cx="6081021" cy="3382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21B7A4" w14:textId="4174D7C5" w:rsidR="00AC0C44" w:rsidRPr="00E31314" w:rsidRDefault="00E31314" w:rsidP="00E31314">
      <w:pPr>
        <w:suppressAutoHyphens w:val="0"/>
        <w:spacing w:line="360" w:lineRule="auto"/>
        <w:ind w:left="360" w:firstLine="0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3</w:t>
      </w:r>
      <w:r>
        <w:rPr>
          <w:rFonts w:ascii="Cambria Math" w:hAnsi="Cambria Math" w:cs="Arial"/>
          <w:b/>
          <w:sz w:val="24"/>
          <w:szCs w:val="24"/>
          <w:lang w:val="hy-AM"/>
        </w:rPr>
        <w:t xml:space="preserve">․ </w:t>
      </w:r>
      <w:r w:rsidR="00AC0C44" w:rsidRPr="00E31314">
        <w:rPr>
          <w:rFonts w:ascii="GHEA Grapalat" w:hAnsi="GHEA Grapalat" w:cs="Arial"/>
          <w:b/>
          <w:sz w:val="24"/>
          <w:szCs w:val="24"/>
          <w:lang w:val="hy-AM"/>
        </w:rPr>
        <w:t>Կարգավորման առարկան և բնույթը</w:t>
      </w:r>
    </w:p>
    <w:p w14:paraId="0EF3F022" w14:textId="6541F1C1" w:rsidR="00E31314" w:rsidRDefault="00B7332F" w:rsidP="00E31314">
      <w:pPr>
        <w:shd w:val="clear" w:color="auto" w:fill="FFFFFF"/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8F3469">
        <w:rPr>
          <w:rFonts w:ascii="GHEA Grapalat" w:hAnsi="GHEA Grapalat"/>
          <w:sz w:val="24"/>
          <w:szCs w:val="24"/>
          <w:lang w:val="hy-AM"/>
        </w:rPr>
        <w:t>Ն</w:t>
      </w:r>
      <w:r w:rsidR="00720B54" w:rsidRPr="008F3469">
        <w:rPr>
          <w:rFonts w:ascii="GHEA Grapalat" w:hAnsi="GHEA Grapalat"/>
          <w:sz w:val="24"/>
          <w:szCs w:val="24"/>
          <w:lang w:val="hy-AM"/>
        </w:rPr>
        <w:t>ախագծով առաջարկվում է</w:t>
      </w:r>
      <w:r w:rsidR="00746C47" w:rsidRPr="008F3469">
        <w:rPr>
          <w:rFonts w:ascii="GHEA Grapalat" w:hAnsi="GHEA Grapalat"/>
          <w:sz w:val="24"/>
          <w:szCs w:val="24"/>
          <w:lang w:val="hy-AM"/>
        </w:rPr>
        <w:t xml:space="preserve"> </w:t>
      </w:r>
      <w:r w:rsidR="00735D65" w:rsidRPr="008F3469">
        <w:rPr>
          <w:rFonts w:ascii="GHEA Grapalat" w:hAnsi="GHEA Grapalat"/>
          <w:sz w:val="24"/>
          <w:szCs w:val="24"/>
          <w:lang w:val="hy-AM"/>
        </w:rPr>
        <w:t>համապարփակ աջակցություն սահմանել ՓՄՁ սուբյեկտների համար՝ ձեռնարկատիրական զարգացման դասընթացների մասնակցության վճարի փոխհատուցման, արտոնյալ պայմաններով վարկերի տրամադրման և հովանոցային մեխանիզմով պետական երաշխ</w:t>
      </w:r>
      <w:r w:rsidR="00E31314">
        <w:rPr>
          <w:rFonts w:ascii="GHEA Grapalat" w:hAnsi="GHEA Grapalat"/>
          <w:sz w:val="24"/>
          <w:szCs w:val="24"/>
          <w:lang w:val="hy-AM"/>
        </w:rPr>
        <w:t>իք</w:t>
      </w:r>
      <w:r w:rsidR="00735D65" w:rsidRPr="008F3469">
        <w:rPr>
          <w:rFonts w:ascii="GHEA Grapalat" w:hAnsi="GHEA Grapalat"/>
          <w:sz w:val="24"/>
          <w:szCs w:val="24"/>
          <w:lang w:val="hy-AM"/>
        </w:rPr>
        <w:t>ների տրամադրման ձևով՝ նպաստելով աճի ներուժ ունեցող ՓՄՁ սուբյեկտների ընդլայնմանը և մրցունակության բարձրացմանը</w:t>
      </w:r>
      <w:r w:rsidR="00720B54" w:rsidRPr="008F3469">
        <w:rPr>
          <w:rFonts w:ascii="GHEA Grapalat" w:hAnsi="GHEA Grapalat"/>
          <w:sz w:val="24"/>
          <w:szCs w:val="24"/>
          <w:lang w:val="hy-AM"/>
        </w:rPr>
        <w:t>։</w:t>
      </w:r>
    </w:p>
    <w:p w14:paraId="6B901C40" w14:textId="77777777" w:rsidR="00E31314" w:rsidRDefault="00E31314" w:rsidP="00E31314">
      <w:pPr>
        <w:shd w:val="clear" w:color="auto" w:fill="FFFFFF"/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</w:p>
    <w:p w14:paraId="6B3C309E" w14:textId="31E53BB6" w:rsidR="00950154" w:rsidRPr="00E31314" w:rsidRDefault="00E31314" w:rsidP="00E31314">
      <w:pPr>
        <w:shd w:val="clear" w:color="auto" w:fill="FFFFFF"/>
        <w:spacing w:after="0" w:line="360" w:lineRule="auto"/>
        <w:ind w:left="0" w:firstLine="448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4</w:t>
      </w:r>
      <w:r>
        <w:rPr>
          <w:rFonts w:ascii="Cambria Math" w:hAnsi="Cambria Math"/>
          <w:sz w:val="24"/>
          <w:szCs w:val="24"/>
          <w:lang w:val="hy-AM"/>
        </w:rPr>
        <w:t xml:space="preserve">․ </w:t>
      </w:r>
      <w:r w:rsidR="00674884" w:rsidRPr="00E31314">
        <w:rPr>
          <w:rFonts w:ascii="GHEA Grapalat" w:hAnsi="GHEA Grapalat" w:cs="Arial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14:paraId="122C38DA" w14:textId="77777777" w:rsidR="00E31314" w:rsidRDefault="00674884" w:rsidP="00E31314">
      <w:pPr>
        <w:shd w:val="clear" w:color="auto" w:fill="FFFFFF"/>
        <w:spacing w:after="0"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Ներկայացված նախագիծը մշակվել է ՀՀ էկոնոմիկայի նախարարության կողմից։</w:t>
      </w:r>
    </w:p>
    <w:p w14:paraId="6C3AACE6" w14:textId="77777777" w:rsidR="00E31314" w:rsidRDefault="00E31314" w:rsidP="00E31314">
      <w:pPr>
        <w:shd w:val="clear" w:color="auto" w:fill="FFFFFF"/>
        <w:spacing w:after="0"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</w:p>
    <w:p w14:paraId="21678E2B" w14:textId="38051A15" w:rsidR="004431E1" w:rsidRPr="00E31314" w:rsidRDefault="00E31314" w:rsidP="00E31314">
      <w:pPr>
        <w:shd w:val="clear" w:color="auto" w:fill="FFFFFF"/>
        <w:spacing w:after="0" w:line="360" w:lineRule="auto"/>
        <w:ind w:left="0" w:firstLine="448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  <w:lang w:val="hy-AM"/>
        </w:rPr>
        <w:t>5</w:t>
      </w:r>
      <w:r>
        <w:rPr>
          <w:rFonts w:ascii="Cambria Math" w:hAnsi="Cambria Math" w:cs="Arial"/>
          <w:sz w:val="24"/>
          <w:szCs w:val="24"/>
          <w:lang w:val="hy-AM"/>
        </w:rPr>
        <w:t xml:space="preserve">․ </w:t>
      </w:r>
      <w:r w:rsidR="00674884" w:rsidRPr="00E31314">
        <w:rPr>
          <w:rFonts w:ascii="GHEA Grapalat" w:hAnsi="GHEA Grapalat" w:cs="Arial"/>
          <w:b/>
          <w:sz w:val="24"/>
          <w:szCs w:val="24"/>
          <w:lang w:val="hy-AM"/>
        </w:rPr>
        <w:t>Ակնկալվող արդյունքը</w:t>
      </w:r>
    </w:p>
    <w:p w14:paraId="6063FBE9" w14:textId="24B72733" w:rsidR="004F162B" w:rsidRPr="008F3469" w:rsidRDefault="004F162B" w:rsidP="00700CF4">
      <w:pPr>
        <w:shd w:val="clear" w:color="auto" w:fill="FFFFFF"/>
        <w:spacing w:after="0"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Ծրագրի արդյունքում  որակական առումով կունենանք՝</w:t>
      </w:r>
    </w:p>
    <w:p w14:paraId="698B3D18" w14:textId="68F5D9F1" w:rsidR="004F162B" w:rsidRPr="008F3469" w:rsidRDefault="00D739AF" w:rsidP="00700CF4">
      <w:pPr>
        <w:pStyle w:val="ListParagraph"/>
        <w:numPr>
          <w:ilvl w:val="0"/>
          <w:numId w:val="15"/>
        </w:numPr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Նորարարական և </w:t>
      </w:r>
      <w:r w:rsidR="00CF30A3" w:rsidRPr="008F3469">
        <w:rPr>
          <w:rFonts w:ascii="GHEA Grapalat" w:hAnsi="GHEA Grapalat" w:cs="Arial"/>
          <w:sz w:val="24"/>
          <w:szCs w:val="24"/>
          <w:lang w:val="hy-AM"/>
        </w:rPr>
        <w:t xml:space="preserve">աճի ներուժ ունեցող </w:t>
      </w:r>
      <w:r w:rsidR="00735D65" w:rsidRPr="008F3469">
        <w:rPr>
          <w:rFonts w:ascii="GHEA Grapalat" w:hAnsi="GHEA Grapalat" w:cs="Arial"/>
          <w:sz w:val="24"/>
          <w:szCs w:val="24"/>
          <w:lang w:val="hy-AM"/>
        </w:rPr>
        <w:t xml:space="preserve">ՓՄՁ սուբյեկտներ, </w:t>
      </w:r>
      <w:r w:rsidR="00E31314">
        <w:rPr>
          <w:rFonts w:ascii="GHEA Grapalat" w:hAnsi="GHEA Grapalat" w:cs="Arial"/>
          <w:sz w:val="24"/>
          <w:szCs w:val="24"/>
          <w:lang w:val="hy-AM"/>
        </w:rPr>
        <w:t>որոնք</w:t>
      </w:r>
      <w:r w:rsidR="00735D65" w:rsidRPr="008F3469">
        <w:rPr>
          <w:rFonts w:ascii="GHEA Grapalat" w:hAnsi="GHEA Grapalat" w:cs="Arial"/>
          <w:sz w:val="24"/>
          <w:szCs w:val="24"/>
          <w:lang w:val="hy-AM"/>
        </w:rPr>
        <w:t xml:space="preserve"> օգտագործում են իրենց աճի ներուժը նոր շուկաներ մուտք գործելու և որակյալ արտադրանք արտադրելու և ծառայություններ մատուցելու նպատակով,</w:t>
      </w:r>
    </w:p>
    <w:p w14:paraId="2D4F9040" w14:textId="7329F5D2" w:rsidR="00F868EF" w:rsidRPr="008F3469" w:rsidRDefault="00F868EF" w:rsidP="00700CF4">
      <w:pPr>
        <w:pStyle w:val="ListParagraph"/>
        <w:numPr>
          <w:ilvl w:val="0"/>
          <w:numId w:val="15"/>
        </w:numPr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արտաքին շուկաներում մրցունակ ՓՄՁ սուբյեկտների առկայություն,</w:t>
      </w:r>
    </w:p>
    <w:p w14:paraId="410FB4CE" w14:textId="71FAED34" w:rsidR="00F868EF" w:rsidRPr="008F3469" w:rsidRDefault="00F868EF" w:rsidP="00700CF4">
      <w:pPr>
        <w:pStyle w:val="ListParagraph"/>
        <w:numPr>
          <w:ilvl w:val="0"/>
          <w:numId w:val="15"/>
        </w:numPr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ՓՄՁ սուբյեկտների կողմից արտահանման ծավալների ավելացում,</w:t>
      </w:r>
    </w:p>
    <w:p w14:paraId="1A92DB7B" w14:textId="17505A67" w:rsidR="00735D65" w:rsidRPr="008F3469" w:rsidRDefault="00735D65" w:rsidP="00700CF4">
      <w:pPr>
        <w:pStyle w:val="ListParagraph"/>
        <w:numPr>
          <w:ilvl w:val="0"/>
          <w:numId w:val="15"/>
        </w:numPr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բարձրարժեք արտադրանք ստեղծող ՓՄՁ սուբյեկտներ</w:t>
      </w:r>
      <w:r w:rsidR="00F868EF" w:rsidRPr="008F3469">
        <w:rPr>
          <w:rFonts w:ascii="GHEA Grapalat" w:hAnsi="GHEA Grapalat" w:cs="Arial"/>
          <w:sz w:val="24"/>
          <w:szCs w:val="24"/>
          <w:lang w:val="hy-AM"/>
        </w:rPr>
        <w:t>։</w:t>
      </w:r>
    </w:p>
    <w:p w14:paraId="06E498E6" w14:textId="2322C64D" w:rsidR="007C2777" w:rsidRPr="008F3469" w:rsidRDefault="00735D65" w:rsidP="00700CF4">
      <w:pPr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Քանակական առումով միջոցառման իրականացման արդյունքում նախատեսվում է </w:t>
      </w:r>
      <w:r w:rsidR="00472AEA">
        <w:rPr>
          <w:rFonts w:ascii="GHEA Grapalat" w:hAnsi="GHEA Grapalat" w:cs="Arial"/>
          <w:sz w:val="24"/>
          <w:szCs w:val="24"/>
          <w:lang w:val="hy-AM"/>
        </w:rPr>
        <w:t>մոտ</w:t>
      </w:r>
      <w:r w:rsidR="00472AEA" w:rsidRPr="00472AEA">
        <w:rPr>
          <w:rFonts w:ascii="GHEA Grapalat" w:hAnsi="GHEA Grapalat" w:cs="Arial"/>
          <w:sz w:val="24"/>
          <w:szCs w:val="24"/>
          <w:lang w:val="hy-AM"/>
        </w:rPr>
        <w:t xml:space="preserve"> 1000</w:t>
      </w:r>
      <w:r w:rsidR="00CA3B3E" w:rsidRPr="008F346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472AEA">
        <w:rPr>
          <w:rFonts w:ascii="GHEA Grapalat" w:hAnsi="GHEA Grapalat" w:cs="Arial"/>
          <w:sz w:val="24"/>
          <w:szCs w:val="24"/>
          <w:lang w:val="hy-AM"/>
        </w:rPr>
        <w:t xml:space="preserve">շահառուի՝ ձեռնարկատիրական հմտությունների դասընթացի մասնակցություն և </w:t>
      </w:r>
      <w:r w:rsidR="00472AEA" w:rsidRPr="00472AEA">
        <w:rPr>
          <w:rFonts w:ascii="GHEA Grapalat" w:hAnsi="GHEA Grapalat" w:cs="Arial"/>
          <w:sz w:val="24"/>
          <w:szCs w:val="24"/>
          <w:lang w:val="hy-AM"/>
        </w:rPr>
        <w:t>100-</w:t>
      </w:r>
      <w:r w:rsidR="00472AEA">
        <w:rPr>
          <w:rFonts w:ascii="GHEA Grapalat" w:hAnsi="GHEA Grapalat" w:cs="Arial"/>
          <w:sz w:val="24"/>
          <w:szCs w:val="24"/>
          <w:lang w:val="hy-AM"/>
        </w:rPr>
        <w:t>ից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ավել ՓՄՁ սուբյեկտների վարկավորում</w:t>
      </w:r>
      <w:r w:rsidR="007C2777" w:rsidRPr="008F3469">
        <w:rPr>
          <w:rFonts w:ascii="GHEA Grapalat" w:hAnsi="GHEA Grapalat" w:cs="Arial"/>
          <w:sz w:val="24"/>
          <w:szCs w:val="24"/>
          <w:lang w:val="hy-AM"/>
        </w:rPr>
        <w:t>:</w:t>
      </w:r>
    </w:p>
    <w:p w14:paraId="6A460A01" w14:textId="34E805CD" w:rsidR="00735D65" w:rsidRPr="008F3469" w:rsidRDefault="007C2777" w:rsidP="007C2777">
      <w:pPr>
        <w:spacing w:line="360" w:lineRule="auto"/>
        <w:ind w:left="0" w:firstLine="448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Ինչպես նաև, նախագծով սահմանված միջոցառման շրջանակներում նախատեսվում է առնվազն 5 ֆինանսական կազմակերպության հետ պորտֆելային երաշխիքի պայմանագիր կնքել,</w:t>
      </w:r>
      <w:r w:rsidR="00104B37" w:rsidRPr="008F346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8F3469">
        <w:rPr>
          <w:rFonts w:ascii="GHEA Grapalat" w:hAnsi="GHEA Grapalat" w:cs="Arial"/>
          <w:sz w:val="24"/>
          <w:szCs w:val="24"/>
          <w:lang w:val="hy-AM"/>
        </w:rPr>
        <w:t>ընդ որում յուրաքանչյուր ֆինանսական կազմակերպության դեպքում 5 մլրդ դրամի չափով։ Ֆինանսական կազմակերպությունը</w:t>
      </w:r>
      <w:r w:rsidR="00CA289B">
        <w:rPr>
          <w:rFonts w:ascii="GHEA Grapalat" w:hAnsi="GHEA Grapalat" w:cs="Arial"/>
          <w:sz w:val="24"/>
          <w:szCs w:val="24"/>
          <w:lang w:val="hy-AM"/>
        </w:rPr>
        <w:t>,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գնահատելով միջոցառման շրջանակներում դասընթաց անցած տնտեսավարողների գործարար ծրագիրը և դրա հետ կապված ռիսկերը, ինքն է կայացնում որոշում տնտեսավարողներին վարկ տալու կամ չտալու վերաբերյալ։ Ֆինանսական կազմակերպությունը ծրագրի մեկնարկից 3-6 տարվա ընթացքում կարող է կորցնել պորտֆելի մինչև </w:t>
      </w:r>
      <w:r w:rsidR="008116B1">
        <w:rPr>
          <w:rFonts w:ascii="GHEA Grapalat" w:hAnsi="GHEA Grapalat" w:cs="Arial"/>
          <w:sz w:val="24"/>
          <w:szCs w:val="24"/>
          <w:lang w:val="hy-AM"/>
        </w:rPr>
        <w:t>1</w:t>
      </w:r>
      <w:r w:rsidRPr="008F3469">
        <w:rPr>
          <w:rFonts w:ascii="GHEA Grapalat" w:hAnsi="GHEA Grapalat" w:cs="Arial"/>
          <w:sz w:val="24"/>
          <w:szCs w:val="24"/>
          <w:lang w:val="hy-AM"/>
        </w:rPr>
        <w:t>0%-ը։</w:t>
      </w:r>
      <w:r w:rsidR="00735D65" w:rsidRPr="008F3469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47250D67" w14:textId="67BDECF7" w:rsidR="007D6020" w:rsidRPr="008F3469" w:rsidRDefault="00E31314" w:rsidP="00700CF4">
      <w:pPr>
        <w:spacing w:line="360" w:lineRule="auto"/>
        <w:ind w:left="0" w:firstLine="360"/>
        <w:rPr>
          <w:rFonts w:ascii="GHEA Grapalat" w:hAnsi="GHEA Grapalat" w:cs="Arial"/>
          <w:b/>
          <w:bCs/>
          <w:i/>
          <w:iCs/>
          <w:sz w:val="24"/>
          <w:szCs w:val="24"/>
          <w:lang w:val="hy-AM"/>
        </w:rPr>
      </w:pPr>
      <w:r>
        <w:rPr>
          <w:rFonts w:ascii="GHEA Grapalat" w:hAnsi="GHEA Grapalat" w:cs="Arial"/>
          <w:b/>
          <w:bCs/>
          <w:i/>
          <w:iCs/>
          <w:sz w:val="24"/>
          <w:szCs w:val="24"/>
          <w:lang w:val="hy-AM"/>
        </w:rPr>
        <w:t>6</w:t>
      </w:r>
      <w:r>
        <w:rPr>
          <w:rFonts w:ascii="Cambria Math" w:hAnsi="Cambria Math" w:cs="Arial"/>
          <w:b/>
          <w:bCs/>
          <w:i/>
          <w:iCs/>
          <w:sz w:val="24"/>
          <w:szCs w:val="24"/>
          <w:lang w:val="hy-AM"/>
        </w:rPr>
        <w:t xml:space="preserve">․ </w:t>
      </w:r>
      <w:r w:rsidR="007D6020" w:rsidRPr="008F3469">
        <w:rPr>
          <w:rFonts w:ascii="GHEA Grapalat" w:hAnsi="GHEA Grapalat" w:cs="Arial"/>
          <w:b/>
          <w:bCs/>
          <w:i/>
          <w:iCs/>
          <w:sz w:val="24"/>
          <w:szCs w:val="24"/>
          <w:lang w:val="hy-AM"/>
        </w:rPr>
        <w:t>Բյուջեի նախնական գնահատում</w:t>
      </w:r>
    </w:p>
    <w:p w14:paraId="55C16094" w14:textId="3222A1F1" w:rsidR="001C7720" w:rsidRPr="008F3469" w:rsidRDefault="001C7720" w:rsidP="00700CF4">
      <w:pPr>
        <w:spacing w:line="360" w:lineRule="auto"/>
        <w:ind w:left="0" w:firstLine="360"/>
        <w:rPr>
          <w:rFonts w:ascii="GHEA Grapalat" w:hAnsi="GHEA Grapalat" w:cs="Arial"/>
          <w:b/>
          <w:bCs/>
          <w:i/>
          <w:iCs/>
          <w:sz w:val="24"/>
          <w:szCs w:val="24"/>
          <w:lang w:val="hy-AM"/>
        </w:rPr>
      </w:pPr>
      <w:r w:rsidRPr="008F3469">
        <w:rPr>
          <w:rFonts w:ascii="GHEA Grapalat" w:hAnsi="GHEA Grapalat" w:cs="Arial"/>
          <w:b/>
          <w:bCs/>
          <w:i/>
          <w:iCs/>
          <w:sz w:val="24"/>
          <w:szCs w:val="24"/>
          <w:lang w:val="hy-AM"/>
        </w:rPr>
        <w:t>Դասընթացների բյուջեի կանխատեսում</w:t>
      </w:r>
    </w:p>
    <w:p w14:paraId="772FEB98" w14:textId="559FC0C5" w:rsidR="007D6020" w:rsidRPr="008F3469" w:rsidRDefault="007D6020" w:rsidP="00700CF4">
      <w:pPr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Մասնագիտական կառույցների հետ քննարկումների </w:t>
      </w:r>
      <w:r w:rsidR="009E24C1" w:rsidRPr="008F3469">
        <w:rPr>
          <w:rFonts w:ascii="GHEA Grapalat" w:hAnsi="GHEA Grapalat" w:cs="Arial"/>
          <w:sz w:val="24"/>
          <w:szCs w:val="24"/>
          <w:lang w:val="hy-AM"/>
        </w:rPr>
        <w:t>արդյունքում</w:t>
      </w:r>
      <w:r w:rsidR="001C1DE0" w:rsidRPr="008F3469">
        <w:rPr>
          <w:rFonts w:ascii="GHEA Grapalat" w:hAnsi="GHEA Grapalat" w:cs="Arial"/>
          <w:sz w:val="24"/>
          <w:szCs w:val="24"/>
          <w:lang w:val="hy-AM"/>
        </w:rPr>
        <w:t xml:space="preserve"> պարզ է դառնում, որ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 մեկ անձի համար ինկուբացիայի գումարը՝ ընդհանուր 4 ամիս տևող գործընթացի դեպքում խմբում 20-25 մասնակցի </w:t>
      </w:r>
      <w:r w:rsidR="001C1DE0" w:rsidRPr="008F3469">
        <w:rPr>
          <w:rFonts w:ascii="GHEA Grapalat" w:hAnsi="GHEA Grapalat" w:cs="Arial"/>
          <w:sz w:val="24"/>
          <w:szCs w:val="24"/>
          <w:lang w:val="hy-AM"/>
        </w:rPr>
        <w:t>առկայությամբ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, մեկ մասնակցի գծով ինկուբացիայի գումարը </w:t>
      </w:r>
      <w:r w:rsidR="001C1DE0" w:rsidRPr="008F3469">
        <w:rPr>
          <w:rFonts w:ascii="GHEA Grapalat" w:hAnsi="GHEA Grapalat" w:cs="Arial"/>
          <w:sz w:val="24"/>
          <w:szCs w:val="24"/>
          <w:lang w:val="hy-AM"/>
        </w:rPr>
        <w:t>կազմում է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շուրջ </w:t>
      </w:r>
      <w:r w:rsidR="007C2777" w:rsidRPr="008F3469">
        <w:rPr>
          <w:rFonts w:ascii="GHEA Grapalat" w:hAnsi="GHEA Grapalat" w:cs="Arial"/>
          <w:sz w:val="24"/>
          <w:szCs w:val="24"/>
          <w:lang w:val="hy-AM"/>
        </w:rPr>
        <w:t>5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00,000 ՀՀ դրամ։ </w:t>
      </w:r>
      <w:r w:rsidR="009E24C1" w:rsidRPr="008F3469">
        <w:rPr>
          <w:rFonts w:ascii="GHEA Grapalat" w:hAnsi="GHEA Grapalat" w:cs="Arial"/>
          <w:sz w:val="24"/>
          <w:szCs w:val="24"/>
          <w:lang w:val="hy-AM"/>
        </w:rPr>
        <w:t>Ընդ որում` գործընթացը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ներառում է</w:t>
      </w:r>
      <w:r w:rsidRPr="008F3469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51B1E749" w14:textId="77777777" w:rsidR="007D6020" w:rsidRPr="008F3469" w:rsidRDefault="007D6020" w:rsidP="00700CF4">
      <w:pPr>
        <w:pStyle w:val="ListParagraph"/>
        <w:numPr>
          <w:ilvl w:val="0"/>
          <w:numId w:val="15"/>
        </w:numPr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իրազեկում, </w:t>
      </w:r>
    </w:p>
    <w:p w14:paraId="5241A195" w14:textId="77777777" w:rsidR="007D6020" w:rsidRPr="008F3469" w:rsidRDefault="007D6020" w:rsidP="00700CF4">
      <w:pPr>
        <w:pStyle w:val="ListParagraph"/>
        <w:numPr>
          <w:ilvl w:val="0"/>
          <w:numId w:val="15"/>
        </w:numPr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հայտադիմումների հավաքագրում, </w:t>
      </w:r>
    </w:p>
    <w:p w14:paraId="5478FEFF" w14:textId="4096F023" w:rsidR="007D6020" w:rsidRPr="008F3469" w:rsidRDefault="007D6020" w:rsidP="00700CF4">
      <w:pPr>
        <w:pStyle w:val="ListParagraph"/>
        <w:numPr>
          <w:ilvl w:val="0"/>
          <w:numId w:val="15"/>
        </w:numPr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40-ժամյա դասընթացներ, </w:t>
      </w:r>
    </w:p>
    <w:p w14:paraId="2F46C20C" w14:textId="77777777" w:rsidR="007D6020" w:rsidRPr="008F3469" w:rsidRDefault="007D6020" w:rsidP="00700CF4">
      <w:pPr>
        <w:pStyle w:val="ListParagraph"/>
        <w:numPr>
          <w:ilvl w:val="0"/>
          <w:numId w:val="15"/>
        </w:numPr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քոուչինգ, 2 ժամ մենթորություն,</w:t>
      </w:r>
    </w:p>
    <w:p w14:paraId="16273D86" w14:textId="77777777" w:rsidR="007D6020" w:rsidRPr="008F3469" w:rsidRDefault="007D6020" w:rsidP="00700CF4">
      <w:pPr>
        <w:pStyle w:val="ListParagraph"/>
        <w:numPr>
          <w:ilvl w:val="0"/>
          <w:numId w:val="15"/>
        </w:numPr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անհրաժեշտության դեպքում, </w:t>
      </w:r>
      <w:r w:rsidRPr="008F3469">
        <w:rPr>
          <w:rFonts w:ascii="GHEA Grapalat" w:hAnsi="GHEA Grapalat"/>
          <w:sz w:val="24"/>
          <w:szCs w:val="24"/>
          <w:lang w:val="hy-AM"/>
        </w:rPr>
        <w:t>հարկային, իրավական, ֆինանսական կամ մարքեթինգային անհատական խորհրդատվություններ։</w:t>
      </w:r>
    </w:p>
    <w:p w14:paraId="50479985" w14:textId="2A03AA6A" w:rsidR="00D90818" w:rsidRPr="008F3469" w:rsidRDefault="00D90818" w:rsidP="00700CF4">
      <w:pPr>
        <w:suppressAutoHyphens w:val="0"/>
        <w:spacing w:after="0"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lastRenderedPageBreak/>
        <w:t>Հաշվի առնելով այն հանգամանքը, որը միջոցառման որոշմամբ սահմանվում են դասընթացներին ներկայացվող պայմանները, կանխատեսվում է, որ բոլոր նմանատիպ կազմակերպությունների համար 1 մասնակցի գծով ինկուբացիայի գումարը կկազմի 500,000 ՀՀ դրամ։</w:t>
      </w:r>
    </w:p>
    <w:p w14:paraId="5A9F8212" w14:textId="39000188" w:rsidR="00C53329" w:rsidRPr="008F3469" w:rsidRDefault="008C2B82" w:rsidP="00700CF4">
      <w:pPr>
        <w:suppressAutoHyphens w:val="0"/>
        <w:spacing w:after="0"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Այս համատեքստում անհրաժեշտ է քննարկել</w:t>
      </w:r>
      <w:r w:rsidR="00C53329" w:rsidRPr="008F3469">
        <w:rPr>
          <w:rFonts w:ascii="GHEA Grapalat" w:hAnsi="GHEA Grapalat" w:cs="Arial"/>
          <w:sz w:val="24"/>
          <w:szCs w:val="24"/>
          <w:lang w:val="hy-AM"/>
        </w:rPr>
        <w:t xml:space="preserve"> կորոնավիրուսի տնտեսական հետևանքների չեզոքացման 19-րդ միջոցառ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ման </w:t>
      </w:r>
      <w:r w:rsidR="00C53329" w:rsidRPr="008F3469">
        <w:rPr>
          <w:rFonts w:ascii="GHEA Grapalat" w:hAnsi="GHEA Grapalat" w:cs="Arial"/>
          <w:sz w:val="24"/>
          <w:szCs w:val="24"/>
          <w:lang w:val="hy-AM"/>
        </w:rPr>
        <w:t>շրջանակներում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կազմակերպվող</w:t>
      </w:r>
      <w:r w:rsidR="00C53329" w:rsidRPr="008F3469">
        <w:rPr>
          <w:rFonts w:ascii="GHEA Grapalat" w:hAnsi="GHEA Grapalat" w:cs="Arial"/>
          <w:sz w:val="24"/>
          <w:szCs w:val="24"/>
          <w:lang w:val="hy-AM"/>
        </w:rPr>
        <w:t xml:space="preserve"> դասընթացների մասնակցության թիվը,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որի</w:t>
      </w:r>
      <w:r w:rsidR="00C53329" w:rsidRPr="008F3469">
        <w:rPr>
          <w:rFonts w:ascii="GHEA Grapalat" w:hAnsi="GHEA Grapalat" w:cs="Arial"/>
          <w:sz w:val="24"/>
          <w:szCs w:val="24"/>
          <w:lang w:val="hy-AM"/>
        </w:rPr>
        <w:t xml:space="preserve"> վերլուծության արդյունքում գալիս ենք այն եզրահանգմանը, որ 1 տարվա ընթացքում դասընթացներին</w:t>
      </w:r>
      <w:r w:rsidR="00104B37" w:rsidRPr="008F3469">
        <w:rPr>
          <w:rFonts w:ascii="GHEA Grapalat" w:hAnsi="GHEA Grapalat" w:cs="Arial"/>
          <w:sz w:val="24"/>
          <w:szCs w:val="24"/>
          <w:lang w:val="hy-AM"/>
        </w:rPr>
        <w:t xml:space="preserve"> միջինում</w:t>
      </w:r>
      <w:r w:rsidR="00C53329" w:rsidRPr="008F3469">
        <w:rPr>
          <w:rFonts w:ascii="GHEA Grapalat" w:hAnsi="GHEA Grapalat" w:cs="Arial"/>
          <w:sz w:val="24"/>
          <w:szCs w:val="24"/>
          <w:lang w:val="hy-AM"/>
        </w:rPr>
        <w:t xml:space="preserve"> մասնակցել են </w:t>
      </w:r>
      <w:r w:rsidRPr="008F3469">
        <w:rPr>
          <w:rFonts w:ascii="GHEA Grapalat" w:hAnsi="GHEA Grapalat" w:cs="Arial"/>
          <w:sz w:val="24"/>
          <w:szCs w:val="24"/>
          <w:lang w:val="hy-AM"/>
        </w:rPr>
        <w:t>մոտ 400 սկսնակ և գործող տնտեսավարողներ</w:t>
      </w:r>
      <w:r w:rsidR="00104B37" w:rsidRPr="008F3469">
        <w:rPr>
          <w:rFonts w:ascii="GHEA Grapalat" w:hAnsi="GHEA Grapalat" w:cs="Arial"/>
          <w:sz w:val="24"/>
          <w:szCs w:val="24"/>
          <w:lang w:val="hy-AM"/>
        </w:rPr>
        <w:t xml:space="preserve"> (հաշվի չի առնվել 2020 թվականի 44-օրյա պատերազմով պայմանավորված դադարը)</w:t>
      </w:r>
      <w:r w:rsidR="00B616F4" w:rsidRPr="008F3469">
        <w:rPr>
          <w:rFonts w:ascii="GHEA Grapalat" w:hAnsi="GHEA Grapalat" w:cs="Arial"/>
          <w:sz w:val="24"/>
          <w:szCs w:val="24"/>
          <w:lang w:val="hy-AM"/>
        </w:rPr>
        <w:t xml:space="preserve">։ Ձեռնարկատիրական </w:t>
      </w:r>
      <w:r w:rsidR="009E24C1" w:rsidRPr="008F3469">
        <w:rPr>
          <w:rFonts w:ascii="GHEA Grapalat" w:hAnsi="GHEA Grapalat" w:cs="Arial"/>
          <w:sz w:val="24"/>
          <w:szCs w:val="24"/>
          <w:lang w:val="hy-AM"/>
        </w:rPr>
        <w:t>հմտությունների</w:t>
      </w:r>
      <w:r w:rsidR="00B616F4" w:rsidRPr="008F3469">
        <w:rPr>
          <w:rFonts w:ascii="GHEA Grapalat" w:hAnsi="GHEA Grapalat" w:cs="Arial"/>
          <w:sz w:val="24"/>
          <w:szCs w:val="24"/>
          <w:lang w:val="hy-AM"/>
        </w:rPr>
        <w:t xml:space="preserve"> զարգացման դասընթացին մասնակցածների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ավելի քան 53</w:t>
      </w:r>
      <w:r w:rsidRPr="008F3469">
        <w:rPr>
          <w:rFonts w:ascii="Cambria Math" w:hAnsi="Cambria Math" w:cs="Cambria Math"/>
          <w:sz w:val="24"/>
          <w:szCs w:val="24"/>
          <w:lang w:val="hy-AM"/>
        </w:rPr>
        <w:t>․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3%-ը բիզնես մոդել են ներկայացրել՝ միջոցառման շրջանակներում ֆինանսավորում ստանալու նպատակով և </w:t>
      </w:r>
      <w:r w:rsidR="00B616F4" w:rsidRPr="008F3469">
        <w:rPr>
          <w:rFonts w:ascii="GHEA Grapalat" w:hAnsi="GHEA Grapalat" w:cs="Arial"/>
          <w:sz w:val="24"/>
          <w:szCs w:val="24"/>
          <w:lang w:val="hy-AM"/>
        </w:rPr>
        <w:t>բիզնես մոդել ներկայացրածների 45%-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ն է հաստատվել ֆինանսավորման՝ հաշվի առնելով բիզնես մոդելի ուսումնասիրությունն ու </w:t>
      </w:r>
      <w:r w:rsidR="009E24C1" w:rsidRPr="008F3469">
        <w:rPr>
          <w:rFonts w:ascii="GHEA Grapalat" w:hAnsi="GHEA Grapalat" w:cs="Arial"/>
          <w:sz w:val="24"/>
          <w:szCs w:val="24"/>
          <w:lang w:val="hy-AM"/>
        </w:rPr>
        <w:t>գնահատականը</w:t>
      </w:r>
      <w:r w:rsidRPr="008F3469">
        <w:rPr>
          <w:rFonts w:ascii="GHEA Grapalat" w:hAnsi="GHEA Grapalat" w:cs="Arial"/>
          <w:sz w:val="24"/>
          <w:szCs w:val="24"/>
          <w:lang w:val="hy-AM"/>
        </w:rPr>
        <w:t>։</w:t>
      </w:r>
    </w:p>
    <w:p w14:paraId="4B9549EF" w14:textId="39A8684E" w:rsidR="00613FE9" w:rsidRPr="008F3469" w:rsidRDefault="00613FE9" w:rsidP="00700CF4">
      <w:pPr>
        <w:suppressAutoHyphens w:val="0"/>
        <w:spacing w:after="0"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Հաշվի առնելով այն հանգամանքը, որ սկսնակ ձեռնարկատերերի պետական աջակցության գործիքակազմը ներկայումս բացակայում է, անհրաժեշտ է արձանագրել այն հանգամանքը, որ նմանատիպ աջակցության մեխանիզմը (հմտությունների զարգացում և ֆինանսական աջակցություն) մեծ պահանջարկ ունի ինչպես գործող այնպես էլ սկսնակ ձեռներեցների կողմից։ Այս համատեքստում անհրաժեշտ է ուշադրություն դարձնել այն հանգամանքին, որ դիտարկվող նախագծի՝ տնտեսավարողի նկատմամբ ներկայացվող պահանջները շատ ավելի ընդարձակ են ի տարբերություն Կորոնավիրուսի տնտեսական հետևանքների չեզոքացման 19-րդ միջոցառման պահանջներին, քանի որ սահմանափակում չկա մարզերի վերաբերյալ, ինչպես նաև գործունեության տևողության և այլ միջոցառումների շրջանակներում աջակցության ստացման վերաբերյալ։ Միաժամանակ, անհրաժեշտ է ընդգծել այն փաստը, որ առաջարկվող նախագծով դասընթացներն իրականացվելու են ոչ թե 1 կառույցի, այլ նմանատիպ փորձ ունեցող կառույցների կողմից, որոնք՝ ըստ նախնական գնահատականների, ՀՀ-ում 3 տասնյակից ավել են։</w:t>
      </w:r>
    </w:p>
    <w:p w14:paraId="5322709B" w14:textId="000321EE" w:rsidR="008C2B82" w:rsidRPr="008F3469" w:rsidRDefault="008C2B82" w:rsidP="00700CF4">
      <w:pPr>
        <w:suppressAutoHyphens w:val="0"/>
        <w:spacing w:after="0"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Հաշվի առնելով վերոգրյալ վերլուծությունը և այն հանգամանքը, որ միջոցառման շրջանակներում դասընթացները նախատեսվում է </w:t>
      </w:r>
      <w:r w:rsidR="009E24C1" w:rsidRPr="008F3469">
        <w:rPr>
          <w:rFonts w:ascii="GHEA Grapalat" w:hAnsi="GHEA Grapalat" w:cs="Arial"/>
          <w:sz w:val="24"/>
          <w:szCs w:val="24"/>
          <w:lang w:val="hy-AM"/>
        </w:rPr>
        <w:t>իրականացնել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մասնագիտացված կառույցների միջոցով</w:t>
      </w:r>
      <w:r w:rsidR="00CA289B">
        <w:rPr>
          <w:rFonts w:ascii="GHEA Grapalat" w:hAnsi="GHEA Grapalat" w:cs="Arial"/>
          <w:sz w:val="24"/>
          <w:szCs w:val="24"/>
          <w:lang w:val="hy-AM"/>
        </w:rPr>
        <w:t>՝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16F4" w:rsidRPr="008F3469">
        <w:rPr>
          <w:rFonts w:ascii="GHEA Grapalat" w:hAnsi="GHEA Grapalat" w:cs="Arial"/>
          <w:sz w:val="24"/>
          <w:szCs w:val="24"/>
          <w:lang w:val="hy-AM"/>
        </w:rPr>
        <w:t xml:space="preserve">նախատեսվում է, որ 1 տարվա ընթացքում կազմակերպվող </w:t>
      </w:r>
      <w:r w:rsidR="00B616F4" w:rsidRPr="008F3469">
        <w:rPr>
          <w:rFonts w:ascii="GHEA Grapalat" w:hAnsi="GHEA Grapalat" w:cs="Arial"/>
          <w:sz w:val="24"/>
          <w:szCs w:val="24"/>
          <w:lang w:val="hy-AM"/>
        </w:rPr>
        <w:lastRenderedPageBreak/>
        <w:t xml:space="preserve">ձեռնարկատիրական հմտությունների զարգացման դասընթացին կմասնակցեն առնվազն </w:t>
      </w:r>
      <w:r w:rsidR="001648CA" w:rsidRPr="008F3469">
        <w:rPr>
          <w:rFonts w:ascii="GHEA Grapalat" w:hAnsi="GHEA Grapalat" w:cs="Arial"/>
          <w:sz w:val="24"/>
          <w:szCs w:val="24"/>
          <w:lang w:val="hy-AM"/>
        </w:rPr>
        <w:t>700-800 սկսնակ և գործող ձեռներեցներ (յուրաքանչյուր կազմակերպության կողմից առնվազն 80 մասնակցի վերապատրաստելու դեպքում)։</w:t>
      </w:r>
    </w:p>
    <w:p w14:paraId="42D10A5F" w14:textId="46C7053D" w:rsidR="007D6020" w:rsidRPr="008F3469" w:rsidRDefault="007D6020" w:rsidP="00700CF4">
      <w:pPr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Դասընթացների համար պետության կողմից վճարվող մասնակցության վճարի կանխատեսումը առաջիկա տարիների համար</w:t>
      </w:r>
      <w:r w:rsidRPr="008F3469">
        <w:rPr>
          <w:rFonts w:ascii="Cambria Math" w:hAnsi="Cambria Math" w:cs="Cambria Math"/>
          <w:sz w:val="24"/>
          <w:szCs w:val="24"/>
          <w:lang w:val="hy-AM"/>
        </w:rPr>
        <w:t>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8"/>
      </w:tblGrid>
      <w:tr w:rsidR="008F3469" w:rsidRPr="008F3469" w14:paraId="2DC7CD67" w14:textId="77777777" w:rsidTr="007D6020">
        <w:tc>
          <w:tcPr>
            <w:tcW w:w="2477" w:type="dxa"/>
          </w:tcPr>
          <w:p w14:paraId="51084F91" w14:textId="2EC75C55" w:rsidR="007D6020" w:rsidRPr="008F3469" w:rsidRDefault="007D6020" w:rsidP="00700CF4">
            <w:pPr>
              <w:spacing w:line="360" w:lineRule="auto"/>
              <w:ind w:left="0" w:firstLine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F3469">
              <w:rPr>
                <w:rFonts w:ascii="GHEA Grapalat" w:hAnsi="GHEA Grapalat" w:cs="Arial"/>
                <w:sz w:val="24"/>
                <w:szCs w:val="24"/>
                <w:lang w:val="hy-AM"/>
              </w:rPr>
              <w:t>Տարի</w:t>
            </w:r>
          </w:p>
        </w:tc>
        <w:tc>
          <w:tcPr>
            <w:tcW w:w="2477" w:type="dxa"/>
          </w:tcPr>
          <w:p w14:paraId="46E15DC5" w14:textId="4C21F813" w:rsidR="007D6020" w:rsidRPr="008F3469" w:rsidRDefault="007D6020" w:rsidP="00700CF4">
            <w:pPr>
              <w:spacing w:line="360" w:lineRule="auto"/>
              <w:ind w:left="0" w:firstLine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F3469">
              <w:rPr>
                <w:rFonts w:ascii="GHEA Grapalat" w:hAnsi="GHEA Grapalat" w:cs="Arial"/>
                <w:sz w:val="24"/>
                <w:szCs w:val="24"/>
                <w:lang w:val="hy-AM"/>
              </w:rPr>
              <w:t>Մասնակիցների թվաքանակ</w:t>
            </w:r>
          </w:p>
        </w:tc>
        <w:tc>
          <w:tcPr>
            <w:tcW w:w="2477" w:type="dxa"/>
          </w:tcPr>
          <w:p w14:paraId="4ED71E37" w14:textId="7481FEBB" w:rsidR="007D6020" w:rsidRPr="008F3469" w:rsidRDefault="007D6020" w:rsidP="00700CF4">
            <w:pPr>
              <w:spacing w:line="360" w:lineRule="auto"/>
              <w:ind w:left="0" w:firstLine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F3469">
              <w:rPr>
                <w:rFonts w:ascii="GHEA Grapalat" w:hAnsi="GHEA Grapalat" w:cs="Arial"/>
                <w:sz w:val="24"/>
                <w:szCs w:val="24"/>
                <w:lang w:val="hy-AM"/>
              </w:rPr>
              <w:t>1 մասնակցի համար վճարման ենթակա գումար</w:t>
            </w:r>
          </w:p>
        </w:tc>
        <w:tc>
          <w:tcPr>
            <w:tcW w:w="2478" w:type="dxa"/>
          </w:tcPr>
          <w:p w14:paraId="2DAF010B" w14:textId="22252F45" w:rsidR="007D6020" w:rsidRPr="008F3469" w:rsidRDefault="007D6020" w:rsidP="00700CF4">
            <w:pPr>
              <w:spacing w:line="360" w:lineRule="auto"/>
              <w:ind w:left="0" w:firstLine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F3469">
              <w:rPr>
                <w:rFonts w:ascii="GHEA Grapalat" w:hAnsi="GHEA Grapalat" w:cs="Arial"/>
                <w:sz w:val="24"/>
                <w:szCs w:val="24"/>
                <w:lang w:val="hy-AM"/>
              </w:rPr>
              <w:t>Ընդհանուր ծախս</w:t>
            </w:r>
          </w:p>
        </w:tc>
      </w:tr>
      <w:tr w:rsidR="007D6020" w:rsidRPr="008F3469" w14:paraId="67FA6158" w14:textId="77777777" w:rsidTr="007D6020">
        <w:tc>
          <w:tcPr>
            <w:tcW w:w="2477" w:type="dxa"/>
          </w:tcPr>
          <w:p w14:paraId="4040D953" w14:textId="72784E90" w:rsidR="007D6020" w:rsidRPr="008F3469" w:rsidRDefault="007D6020" w:rsidP="00700CF4">
            <w:pPr>
              <w:spacing w:line="360" w:lineRule="auto"/>
              <w:ind w:left="0" w:firstLine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F3469">
              <w:rPr>
                <w:rFonts w:ascii="GHEA Grapalat" w:hAnsi="GHEA Grapalat" w:cs="Arial"/>
                <w:sz w:val="24"/>
                <w:szCs w:val="24"/>
                <w:lang w:val="hy-AM"/>
              </w:rPr>
              <w:t>2024</w:t>
            </w:r>
          </w:p>
        </w:tc>
        <w:tc>
          <w:tcPr>
            <w:tcW w:w="2477" w:type="dxa"/>
          </w:tcPr>
          <w:p w14:paraId="12DE2ECE" w14:textId="7A06237B" w:rsidR="007D6020" w:rsidRPr="008F3469" w:rsidRDefault="00613FE9" w:rsidP="00700CF4">
            <w:pPr>
              <w:spacing w:line="360" w:lineRule="auto"/>
              <w:ind w:left="0" w:firstLine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F3469">
              <w:rPr>
                <w:rFonts w:ascii="GHEA Grapalat" w:hAnsi="GHEA Grapalat" w:cs="Arial"/>
                <w:sz w:val="24"/>
                <w:szCs w:val="24"/>
                <w:lang w:val="hy-AM"/>
              </w:rPr>
              <w:t>300</w:t>
            </w:r>
          </w:p>
        </w:tc>
        <w:tc>
          <w:tcPr>
            <w:tcW w:w="2477" w:type="dxa"/>
          </w:tcPr>
          <w:p w14:paraId="70B64CA8" w14:textId="30F6C0C6" w:rsidR="007D6020" w:rsidRPr="008F3469" w:rsidRDefault="007C2777" w:rsidP="00700CF4">
            <w:pPr>
              <w:spacing w:line="360" w:lineRule="auto"/>
              <w:ind w:left="0" w:firstLine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F3469">
              <w:rPr>
                <w:rFonts w:ascii="GHEA Grapalat" w:hAnsi="GHEA Grapalat" w:cs="Arial"/>
                <w:sz w:val="24"/>
                <w:szCs w:val="24"/>
              </w:rPr>
              <w:t>5</w:t>
            </w:r>
            <w:r w:rsidR="007D6020" w:rsidRPr="008F3469">
              <w:rPr>
                <w:rFonts w:ascii="GHEA Grapalat" w:hAnsi="GHEA Grapalat" w:cs="Arial"/>
                <w:sz w:val="24"/>
                <w:szCs w:val="24"/>
                <w:lang w:val="hy-AM"/>
              </w:rPr>
              <w:t>00,000</w:t>
            </w:r>
          </w:p>
        </w:tc>
        <w:tc>
          <w:tcPr>
            <w:tcW w:w="2478" w:type="dxa"/>
          </w:tcPr>
          <w:p w14:paraId="1CA7AF3C" w14:textId="5E22D6C0" w:rsidR="007D6020" w:rsidRPr="008F3469" w:rsidRDefault="00613FE9" w:rsidP="00700CF4">
            <w:pPr>
              <w:spacing w:line="360" w:lineRule="auto"/>
              <w:ind w:left="0" w:firstLine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F3469">
              <w:rPr>
                <w:rFonts w:ascii="GHEA Grapalat" w:hAnsi="GHEA Grapalat" w:cs="Arial"/>
                <w:sz w:val="24"/>
                <w:szCs w:val="24"/>
                <w:lang w:val="hy-AM"/>
              </w:rPr>
              <w:t>1</w:t>
            </w:r>
            <w:r w:rsidR="007C2777" w:rsidRPr="008F3469">
              <w:rPr>
                <w:rFonts w:ascii="GHEA Grapalat" w:hAnsi="GHEA Grapalat" w:cs="Arial"/>
                <w:sz w:val="24"/>
                <w:szCs w:val="24"/>
              </w:rPr>
              <w:t>5</w:t>
            </w:r>
            <w:r w:rsidRPr="008F3469">
              <w:rPr>
                <w:rFonts w:ascii="GHEA Grapalat" w:hAnsi="GHEA Grapalat" w:cs="Arial"/>
                <w:sz w:val="24"/>
                <w:szCs w:val="24"/>
                <w:lang w:val="hy-AM"/>
              </w:rPr>
              <w:t>0</w:t>
            </w:r>
            <w:r w:rsidR="001C7720" w:rsidRPr="008F3469">
              <w:rPr>
                <w:rFonts w:ascii="GHEA Grapalat" w:hAnsi="GHEA Grapalat" w:cs="Arial"/>
                <w:sz w:val="24"/>
                <w:szCs w:val="24"/>
                <w:lang w:val="hy-AM"/>
              </w:rPr>
              <w:t>,000,000</w:t>
            </w:r>
          </w:p>
        </w:tc>
      </w:tr>
      <w:tr w:rsidR="007A0F28" w:rsidRPr="008F3469" w14:paraId="103286C3" w14:textId="77777777" w:rsidTr="007D6020">
        <w:tc>
          <w:tcPr>
            <w:tcW w:w="2477" w:type="dxa"/>
            <w:vMerge w:val="restart"/>
          </w:tcPr>
          <w:p w14:paraId="27E8B6BD" w14:textId="1CAA1AF1" w:rsidR="007A0F28" w:rsidRPr="007A0F28" w:rsidRDefault="007A0F28" w:rsidP="00700CF4">
            <w:pPr>
              <w:spacing w:line="360" w:lineRule="auto"/>
              <w:ind w:left="0" w:firstLine="360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2024 </w:t>
            </w:r>
            <w:r>
              <w:rPr>
                <w:rFonts w:ascii="GHEA Grapalat" w:hAnsi="GHEA Grapalat" w:cs="Arial"/>
                <w:sz w:val="24"/>
                <w:szCs w:val="24"/>
              </w:rPr>
              <w:t>(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ԼՂ բռնի տեղահանվածներ</w:t>
            </w:r>
            <w:r>
              <w:rPr>
                <w:rFonts w:ascii="GHEA Grapalat" w:hAnsi="GHEA Grapalat" w:cs="Arial"/>
                <w:sz w:val="24"/>
                <w:szCs w:val="24"/>
              </w:rPr>
              <w:t>)</w:t>
            </w:r>
          </w:p>
        </w:tc>
        <w:tc>
          <w:tcPr>
            <w:tcW w:w="2477" w:type="dxa"/>
          </w:tcPr>
          <w:p w14:paraId="25B74123" w14:textId="58739CCD" w:rsidR="007A0F28" w:rsidRPr="00B26251" w:rsidRDefault="007A0F28" w:rsidP="00700CF4">
            <w:pPr>
              <w:spacing w:line="360" w:lineRule="auto"/>
              <w:ind w:left="0" w:firstLine="360"/>
              <w:rPr>
                <w:rFonts w:ascii="GHEA Grapalat" w:hAnsi="GHEA Grapalat" w:cs="Arial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230</w:t>
            </w:r>
            <w:r w:rsidR="00B2625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="00B26251" w:rsidRPr="00B26251">
              <w:rPr>
                <w:rFonts w:ascii="GHEA Grapalat" w:hAnsi="GHEA Grapalat" w:cs="Arial"/>
                <w:sz w:val="12"/>
                <w:szCs w:val="12"/>
                <w:lang w:val="ru-RU"/>
              </w:rPr>
              <w:t>(</w:t>
            </w:r>
            <w:r w:rsidR="00B26251" w:rsidRPr="00B26251">
              <w:rPr>
                <w:rFonts w:ascii="GHEA Grapalat" w:hAnsi="GHEA Grapalat" w:cs="Arial"/>
                <w:sz w:val="12"/>
                <w:szCs w:val="12"/>
                <w:lang w:val="hy-AM"/>
              </w:rPr>
              <w:t>ֆինանսավորման հաստատվածներ</w:t>
            </w:r>
            <w:r w:rsidR="00B26251" w:rsidRPr="00B26251">
              <w:rPr>
                <w:rFonts w:ascii="GHEA Grapalat" w:hAnsi="GHEA Grapalat" w:cs="Arial"/>
                <w:sz w:val="12"/>
                <w:szCs w:val="12"/>
                <w:lang w:val="ru-RU"/>
              </w:rPr>
              <w:t>)</w:t>
            </w:r>
          </w:p>
        </w:tc>
        <w:tc>
          <w:tcPr>
            <w:tcW w:w="2477" w:type="dxa"/>
          </w:tcPr>
          <w:p w14:paraId="024A9257" w14:textId="537D4A96" w:rsidR="007A0F28" w:rsidRPr="007A0F28" w:rsidRDefault="007A0F28" w:rsidP="00700CF4">
            <w:pPr>
              <w:spacing w:line="360" w:lineRule="auto"/>
              <w:ind w:left="0" w:firstLine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500,000</w:t>
            </w:r>
          </w:p>
        </w:tc>
        <w:tc>
          <w:tcPr>
            <w:tcW w:w="2478" w:type="dxa"/>
          </w:tcPr>
          <w:p w14:paraId="01DCD70C" w14:textId="00BB775C" w:rsidR="007A0F28" w:rsidRPr="008F3469" w:rsidRDefault="007A0F28" w:rsidP="00700CF4">
            <w:pPr>
              <w:spacing w:line="360" w:lineRule="auto"/>
              <w:ind w:left="0" w:firstLine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A0F28">
              <w:rPr>
                <w:rFonts w:ascii="GHEA Grapalat" w:hAnsi="GHEA Grapalat" w:cs="Arial"/>
                <w:sz w:val="24"/>
                <w:szCs w:val="24"/>
                <w:lang w:val="hy-AM"/>
              </w:rPr>
              <w:t>115,000,000</w:t>
            </w:r>
          </w:p>
        </w:tc>
      </w:tr>
      <w:tr w:rsidR="007A0F28" w:rsidRPr="008F3469" w14:paraId="38543F0B" w14:textId="77777777" w:rsidTr="007D6020">
        <w:tc>
          <w:tcPr>
            <w:tcW w:w="2477" w:type="dxa"/>
            <w:vMerge/>
          </w:tcPr>
          <w:p w14:paraId="069F88F2" w14:textId="238E96F5" w:rsidR="007A0F28" w:rsidRDefault="007A0F28" w:rsidP="007A0F28">
            <w:pPr>
              <w:spacing w:line="360" w:lineRule="auto"/>
              <w:ind w:left="0" w:firstLine="448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2477" w:type="dxa"/>
          </w:tcPr>
          <w:p w14:paraId="315561CA" w14:textId="3880A8D8" w:rsidR="007A0F28" w:rsidRDefault="007A0F28" w:rsidP="00700CF4">
            <w:pPr>
              <w:spacing w:line="360" w:lineRule="auto"/>
              <w:ind w:left="0" w:firstLine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270</w:t>
            </w:r>
          </w:p>
        </w:tc>
        <w:tc>
          <w:tcPr>
            <w:tcW w:w="2477" w:type="dxa"/>
          </w:tcPr>
          <w:p w14:paraId="33954CDD" w14:textId="42B55691" w:rsidR="007A0F28" w:rsidRDefault="007A0F28" w:rsidP="00700CF4">
            <w:pPr>
              <w:spacing w:line="360" w:lineRule="auto"/>
              <w:ind w:left="0" w:firstLine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250,000</w:t>
            </w:r>
          </w:p>
        </w:tc>
        <w:tc>
          <w:tcPr>
            <w:tcW w:w="2478" w:type="dxa"/>
          </w:tcPr>
          <w:p w14:paraId="01B282E5" w14:textId="0C6993D8" w:rsidR="007A0F28" w:rsidRPr="007A0F28" w:rsidRDefault="007A0F28" w:rsidP="00700CF4">
            <w:pPr>
              <w:spacing w:line="360" w:lineRule="auto"/>
              <w:ind w:left="0" w:firstLine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7A0F28">
              <w:rPr>
                <w:rFonts w:ascii="GHEA Grapalat" w:hAnsi="GHEA Grapalat" w:cs="Arial"/>
                <w:sz w:val="24"/>
                <w:szCs w:val="24"/>
                <w:lang w:val="hy-AM"/>
              </w:rPr>
              <w:t>67,500,000</w:t>
            </w:r>
          </w:p>
        </w:tc>
      </w:tr>
    </w:tbl>
    <w:p w14:paraId="0D3A0FF3" w14:textId="77777777" w:rsidR="00773F84" w:rsidRDefault="00773F84" w:rsidP="00700CF4">
      <w:pPr>
        <w:spacing w:line="360" w:lineRule="auto"/>
        <w:ind w:left="0" w:firstLine="360"/>
        <w:rPr>
          <w:rFonts w:ascii="GHEA Grapalat" w:hAnsi="GHEA Grapalat" w:cs="Arial"/>
          <w:b/>
          <w:bCs/>
          <w:i/>
          <w:iCs/>
          <w:sz w:val="24"/>
          <w:szCs w:val="24"/>
          <w:lang w:val="hy-AM"/>
        </w:rPr>
      </w:pPr>
    </w:p>
    <w:p w14:paraId="70F21810" w14:textId="5AFBE982" w:rsidR="001648CA" w:rsidRPr="008F3469" w:rsidRDefault="001648CA" w:rsidP="00700CF4">
      <w:pPr>
        <w:spacing w:line="360" w:lineRule="auto"/>
        <w:ind w:left="0" w:firstLine="360"/>
        <w:rPr>
          <w:rFonts w:ascii="GHEA Grapalat" w:hAnsi="GHEA Grapalat" w:cs="Arial"/>
          <w:b/>
          <w:bCs/>
          <w:i/>
          <w:iCs/>
          <w:sz w:val="24"/>
          <w:szCs w:val="24"/>
          <w:lang w:val="hy-AM"/>
        </w:rPr>
      </w:pPr>
      <w:r w:rsidRPr="008F3469">
        <w:rPr>
          <w:rFonts w:ascii="GHEA Grapalat" w:hAnsi="GHEA Grapalat" w:cs="Arial"/>
          <w:b/>
          <w:bCs/>
          <w:i/>
          <w:iCs/>
          <w:sz w:val="24"/>
          <w:szCs w:val="24"/>
          <w:lang w:val="hy-AM"/>
        </w:rPr>
        <w:t>Սկսնակ ձեռներեցներին տրամադրած վարկերի տարեկան տոկոսադրույքի սուբսիդավորման համար ծախսերի կանխատեսում</w:t>
      </w:r>
    </w:p>
    <w:p w14:paraId="11DD1AE6" w14:textId="730AD618" w:rsidR="00326073" w:rsidRPr="008F3469" w:rsidRDefault="00326073" w:rsidP="00700CF4">
      <w:pPr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2024 թվականին վարկերի սուբսիդավորման համար պահանջվող միջոցների կանխատեսումը ներկայացված է ստորև</w:t>
      </w:r>
      <w:r w:rsidRPr="008F3469">
        <w:rPr>
          <w:rFonts w:ascii="Cambria Math" w:hAnsi="Cambria Math" w:cs="Cambria Math"/>
          <w:sz w:val="24"/>
          <w:szCs w:val="24"/>
          <w:lang w:val="hy-AM"/>
        </w:rPr>
        <w:t>․</w:t>
      </w:r>
    </w:p>
    <w:tbl>
      <w:tblPr>
        <w:tblW w:w="9919" w:type="dxa"/>
        <w:tblLook w:val="04A0" w:firstRow="1" w:lastRow="0" w:firstColumn="1" w:lastColumn="0" w:noHBand="0" w:noVBand="1"/>
      </w:tblPr>
      <w:tblGrid>
        <w:gridCol w:w="1964"/>
        <w:gridCol w:w="809"/>
        <w:gridCol w:w="1214"/>
        <w:gridCol w:w="1466"/>
        <w:gridCol w:w="1393"/>
        <w:gridCol w:w="1531"/>
        <w:gridCol w:w="1542"/>
      </w:tblGrid>
      <w:tr w:rsidR="00C923CC" w:rsidRPr="008F3469" w14:paraId="28269A46" w14:textId="77777777" w:rsidTr="00C923CC">
        <w:trPr>
          <w:trHeight w:val="200"/>
        </w:trPr>
        <w:tc>
          <w:tcPr>
            <w:tcW w:w="3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3F84" w14:textId="73AE4115" w:rsidR="00326073" w:rsidRPr="008F3469" w:rsidRDefault="00326073" w:rsidP="00700CF4">
            <w:pPr>
              <w:suppressAutoHyphens w:val="0"/>
              <w:spacing w:after="0" w:line="240" w:lineRule="auto"/>
              <w:ind w:left="0" w:firstLine="360"/>
              <w:jc w:val="left"/>
              <w:rPr>
                <w:rFonts w:ascii="Cambria Math" w:eastAsia="Times New Roman" w:hAnsi="Cambria Math" w:cs="Calibri"/>
                <w:b/>
                <w:bCs/>
                <w:sz w:val="14"/>
                <w:szCs w:val="14"/>
                <w:lang w:val="hy-AM"/>
              </w:rPr>
            </w:pPr>
            <w:r w:rsidRPr="008F3469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 xml:space="preserve">2024 </w:t>
            </w:r>
            <w:proofErr w:type="spellStart"/>
            <w:r w:rsidRPr="008F3469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>թվականի</w:t>
            </w:r>
            <w:proofErr w:type="spellEnd"/>
            <w:r w:rsidRPr="008F3469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F3469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>կանխատեսում</w:t>
            </w:r>
            <w:proofErr w:type="spellEnd"/>
            <w:r w:rsidR="007C2777" w:rsidRPr="008F3469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 xml:space="preserve"> /</w:t>
            </w:r>
            <w:r w:rsidR="007C2777" w:rsidRPr="008F3469">
              <w:rPr>
                <w:rFonts w:ascii="GHEA Grapalat" w:eastAsia="Times New Roman" w:hAnsi="GHEA Grapalat" w:cs="Calibri"/>
                <w:b/>
                <w:bCs/>
                <w:sz w:val="14"/>
                <w:szCs w:val="14"/>
                <w:lang w:val="hy-AM"/>
              </w:rPr>
              <w:t>հազ</w:t>
            </w:r>
            <w:r w:rsidR="007C2777" w:rsidRPr="008F3469">
              <w:rPr>
                <w:rFonts w:ascii="Cambria Math" w:eastAsia="Times New Roman" w:hAnsi="Cambria Math" w:cs="Calibri"/>
                <w:b/>
                <w:bCs/>
                <w:sz w:val="14"/>
                <w:szCs w:val="14"/>
                <w:lang w:val="hy-AM"/>
              </w:rPr>
              <w:t>․ դրամ/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852B" w14:textId="77777777" w:rsidR="00326073" w:rsidRPr="008F3469" w:rsidRDefault="00326073" w:rsidP="00700CF4">
            <w:pPr>
              <w:suppressAutoHyphens w:val="0"/>
              <w:spacing w:after="0" w:line="240" w:lineRule="auto"/>
              <w:ind w:left="0" w:firstLine="360"/>
              <w:jc w:val="left"/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90C6" w14:textId="77777777" w:rsidR="00326073" w:rsidRPr="008F3469" w:rsidRDefault="00326073" w:rsidP="00700CF4">
            <w:pPr>
              <w:suppressAutoHyphens w:val="0"/>
              <w:spacing w:after="0" w:line="240" w:lineRule="auto"/>
              <w:ind w:left="0" w:firstLine="360"/>
              <w:jc w:val="left"/>
              <w:rPr>
                <w:rFonts w:ascii="GHEA Grapalat" w:eastAsia="Times New Roman" w:hAnsi="GHEA Grapalat"/>
                <w:sz w:val="14"/>
                <w:szCs w:val="1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C0B7" w14:textId="77777777" w:rsidR="00326073" w:rsidRPr="008F3469" w:rsidRDefault="00326073" w:rsidP="00700CF4">
            <w:pPr>
              <w:suppressAutoHyphens w:val="0"/>
              <w:spacing w:after="0" w:line="240" w:lineRule="auto"/>
              <w:ind w:left="0" w:firstLine="360"/>
              <w:jc w:val="left"/>
              <w:rPr>
                <w:rFonts w:ascii="GHEA Grapalat" w:eastAsia="Times New Roman" w:hAnsi="GHEA Grapalat"/>
                <w:sz w:val="14"/>
                <w:szCs w:val="1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FC95" w14:textId="77777777" w:rsidR="00326073" w:rsidRPr="008F3469" w:rsidRDefault="00326073" w:rsidP="00700CF4">
            <w:pPr>
              <w:suppressAutoHyphens w:val="0"/>
              <w:spacing w:after="0" w:line="240" w:lineRule="auto"/>
              <w:ind w:left="0" w:firstLine="360"/>
              <w:jc w:val="left"/>
              <w:rPr>
                <w:rFonts w:ascii="GHEA Grapalat" w:eastAsia="Times New Roman" w:hAnsi="GHEA Grapalat"/>
                <w:sz w:val="14"/>
                <w:szCs w:val="14"/>
              </w:rPr>
            </w:pPr>
          </w:p>
        </w:tc>
      </w:tr>
      <w:tr w:rsidR="00C923CC" w:rsidRPr="008F3469" w14:paraId="59D3CACC" w14:textId="77777777" w:rsidTr="00C923CC">
        <w:trPr>
          <w:trHeight w:val="200"/>
        </w:trPr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4778" w14:textId="71228984" w:rsidR="00326073" w:rsidRPr="008F3469" w:rsidRDefault="00326073" w:rsidP="00A9542E">
            <w:pPr>
              <w:suppressAutoHyphens w:val="0"/>
              <w:spacing w:after="0" w:line="240" w:lineRule="auto"/>
              <w:ind w:left="0" w:firstLine="0"/>
              <w:jc w:val="left"/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</w:pPr>
            <w:proofErr w:type="spellStart"/>
            <w:r w:rsidRPr="008F3469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>Կազմակերպության</w:t>
            </w:r>
            <w:proofErr w:type="spellEnd"/>
            <w:r w:rsidRPr="008F3469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F3469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>չափ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B0D7" w14:textId="77777777" w:rsidR="00326073" w:rsidRPr="008F3469" w:rsidRDefault="00326073" w:rsidP="00A9542E">
            <w:pPr>
              <w:suppressAutoHyphens w:val="0"/>
              <w:spacing w:after="0" w:line="240" w:lineRule="auto"/>
              <w:ind w:left="0" w:firstLine="0"/>
              <w:jc w:val="left"/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</w:pPr>
            <w:proofErr w:type="spellStart"/>
            <w:r w:rsidRPr="008F3469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>Քանակ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17D3" w14:textId="77777777" w:rsidR="00326073" w:rsidRPr="008F3469" w:rsidRDefault="00326073" w:rsidP="00A9542E">
            <w:pPr>
              <w:suppressAutoHyphens w:val="0"/>
              <w:spacing w:after="0" w:line="240" w:lineRule="auto"/>
              <w:ind w:left="0" w:firstLine="0"/>
              <w:jc w:val="left"/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</w:pPr>
            <w:proofErr w:type="spellStart"/>
            <w:r w:rsidRPr="008F3469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>Միջին</w:t>
            </w:r>
            <w:proofErr w:type="spellEnd"/>
            <w:r w:rsidRPr="008F3469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8F3469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>վարկ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CCD4" w14:textId="77777777" w:rsidR="00326073" w:rsidRPr="008F3469" w:rsidRDefault="00326073" w:rsidP="00700CF4">
            <w:pPr>
              <w:suppressAutoHyphens w:val="0"/>
              <w:spacing w:after="0" w:line="240" w:lineRule="auto"/>
              <w:ind w:left="0" w:firstLine="360"/>
              <w:jc w:val="left"/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</w:pPr>
            <w:proofErr w:type="spellStart"/>
            <w:r w:rsidRPr="008F3469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85F5" w14:textId="77777777" w:rsidR="00326073" w:rsidRPr="008F3469" w:rsidRDefault="00326073" w:rsidP="00700CF4">
            <w:pPr>
              <w:suppressAutoHyphens w:val="0"/>
              <w:spacing w:after="0" w:line="240" w:lineRule="auto"/>
              <w:ind w:left="0" w:firstLine="360"/>
              <w:jc w:val="left"/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</w:pPr>
            <w:proofErr w:type="spellStart"/>
            <w:r w:rsidRPr="008F3469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>Արժույթ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D088" w14:textId="77777777" w:rsidR="00326073" w:rsidRPr="008F3469" w:rsidRDefault="00326073" w:rsidP="00700CF4">
            <w:pPr>
              <w:suppressAutoHyphens w:val="0"/>
              <w:spacing w:after="0" w:line="240" w:lineRule="auto"/>
              <w:ind w:left="0" w:firstLine="360"/>
              <w:jc w:val="left"/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</w:pPr>
            <w:proofErr w:type="spellStart"/>
            <w:r w:rsidRPr="008F3469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EB04" w14:textId="77777777" w:rsidR="00326073" w:rsidRPr="008F3469" w:rsidRDefault="00326073" w:rsidP="00A9542E">
            <w:pPr>
              <w:suppressAutoHyphens w:val="0"/>
              <w:spacing w:after="0" w:line="240" w:lineRule="auto"/>
              <w:ind w:left="0" w:firstLine="0"/>
              <w:jc w:val="left"/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</w:pPr>
            <w:proofErr w:type="spellStart"/>
            <w:r w:rsidRPr="008F3469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>Սուբսիդավորում</w:t>
            </w:r>
            <w:proofErr w:type="spellEnd"/>
          </w:p>
        </w:tc>
      </w:tr>
      <w:tr w:rsidR="00C923CC" w:rsidRPr="008F3469" w14:paraId="527A89CF" w14:textId="77777777" w:rsidTr="00C923CC">
        <w:trPr>
          <w:trHeight w:val="200"/>
        </w:trPr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E5DA" w14:textId="3EF6DD28" w:rsidR="00326073" w:rsidRPr="008F3469" w:rsidRDefault="007C2777" w:rsidP="00700CF4">
            <w:pPr>
              <w:suppressAutoHyphens w:val="0"/>
              <w:spacing w:after="0" w:line="240" w:lineRule="auto"/>
              <w:ind w:left="0" w:firstLine="360"/>
              <w:jc w:val="left"/>
              <w:rPr>
                <w:rFonts w:ascii="GHEA Grapalat" w:eastAsia="Times New Roman" w:hAnsi="GHEA Grapalat" w:cs="Calibri"/>
                <w:sz w:val="14"/>
                <w:szCs w:val="14"/>
                <w:lang w:val="hy-AM"/>
              </w:rPr>
            </w:pPr>
            <w:r w:rsidRPr="008F3469">
              <w:rPr>
                <w:rFonts w:ascii="GHEA Grapalat" w:eastAsia="Times New Roman" w:hAnsi="GHEA Grapalat" w:cs="Calibri"/>
                <w:sz w:val="14"/>
                <w:szCs w:val="14"/>
                <w:lang w:val="hy-AM"/>
              </w:rPr>
              <w:t>Տնտեսավարողներ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ABB3" w14:textId="671BAFE3" w:rsidR="00326073" w:rsidRPr="008F3469" w:rsidRDefault="00C923CC" w:rsidP="00700CF4">
            <w:pPr>
              <w:suppressAutoHyphens w:val="0"/>
              <w:spacing w:after="0" w:line="240" w:lineRule="auto"/>
              <w:ind w:left="0" w:firstLine="360"/>
              <w:jc w:val="left"/>
              <w:rPr>
                <w:rFonts w:ascii="GHEA Grapalat" w:eastAsia="Times New Roman" w:hAnsi="GHEA Grapalat" w:cs="Calibri"/>
                <w:sz w:val="14"/>
                <w:szCs w:val="14"/>
              </w:rPr>
            </w:pPr>
            <w:r>
              <w:rPr>
                <w:rFonts w:ascii="GHEA Grapalat" w:eastAsia="Times New Roman" w:hAnsi="GHEA Grapalat" w:cs="Calibri"/>
                <w:sz w:val="14"/>
                <w:szCs w:val="14"/>
                <w:lang w:val="hy-AM"/>
              </w:rPr>
              <w:t>13</w:t>
            </w:r>
            <w:r w:rsidR="007C2777" w:rsidRPr="008F3469">
              <w:rPr>
                <w:rFonts w:ascii="GHEA Grapalat" w:eastAsia="Times New Roman" w:hAnsi="GHEA Grapalat" w:cs="Calibri"/>
                <w:sz w:val="14"/>
                <w:szCs w:val="14"/>
              </w:rPr>
              <w:t>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9ACA" w14:textId="5D63F2BC" w:rsidR="00326073" w:rsidRPr="008F3469" w:rsidRDefault="007C2777" w:rsidP="00700CF4">
            <w:pPr>
              <w:suppressAutoHyphens w:val="0"/>
              <w:spacing w:after="0" w:line="240" w:lineRule="auto"/>
              <w:ind w:left="0" w:firstLine="360"/>
              <w:jc w:val="left"/>
              <w:rPr>
                <w:rFonts w:ascii="GHEA Grapalat" w:eastAsia="Times New Roman" w:hAnsi="GHEA Grapalat" w:cs="Calibri"/>
                <w:sz w:val="14"/>
                <w:szCs w:val="14"/>
              </w:rPr>
            </w:pPr>
            <w:r w:rsidRPr="008F3469">
              <w:rPr>
                <w:rFonts w:ascii="GHEA Grapalat" w:eastAsia="Times New Roman" w:hAnsi="GHEA Grapalat" w:cs="Calibri"/>
                <w:sz w:val="14"/>
                <w:szCs w:val="14"/>
              </w:rPr>
              <w:t>3</w:t>
            </w:r>
            <w:r w:rsidR="00C923CC">
              <w:rPr>
                <w:rFonts w:ascii="GHEA Grapalat" w:eastAsia="Times New Roman" w:hAnsi="GHEA Grapalat" w:cs="Calibri"/>
                <w:sz w:val="14"/>
                <w:szCs w:val="14"/>
                <w:lang w:val="hy-AM"/>
              </w:rPr>
              <w:t>0</w:t>
            </w:r>
            <w:r w:rsidRPr="008F3469">
              <w:rPr>
                <w:rFonts w:ascii="GHEA Grapalat" w:eastAsia="Times New Roman" w:hAnsi="GHEA Grapalat" w:cs="Calibri"/>
                <w:sz w:val="14"/>
                <w:szCs w:val="14"/>
              </w:rPr>
              <w:t>,000.0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0A08" w14:textId="3CEF95E8" w:rsidR="00326073" w:rsidRPr="008F3469" w:rsidRDefault="00C923CC" w:rsidP="00700CF4">
            <w:pPr>
              <w:suppressAutoHyphens w:val="0"/>
              <w:spacing w:after="0" w:line="240" w:lineRule="auto"/>
              <w:ind w:left="0" w:firstLine="360"/>
              <w:jc w:val="left"/>
              <w:rPr>
                <w:rFonts w:ascii="GHEA Grapalat" w:eastAsia="Times New Roman" w:hAnsi="GHEA Grapalat" w:cs="Calibri"/>
                <w:sz w:val="14"/>
                <w:szCs w:val="14"/>
              </w:rPr>
            </w:pPr>
            <w:r>
              <w:rPr>
                <w:rFonts w:ascii="GHEA Grapalat" w:eastAsia="Times New Roman" w:hAnsi="GHEA Grapalat" w:cs="Calibri"/>
                <w:sz w:val="14"/>
                <w:szCs w:val="14"/>
                <w:lang w:val="hy-AM"/>
              </w:rPr>
              <w:t>3,90</w:t>
            </w:r>
            <w:r w:rsidR="007A0F28">
              <w:rPr>
                <w:rFonts w:ascii="GHEA Grapalat" w:eastAsia="Times New Roman" w:hAnsi="GHEA Grapalat" w:cs="Calibri"/>
                <w:sz w:val="14"/>
                <w:szCs w:val="14"/>
                <w:lang w:val="hy-AM"/>
              </w:rPr>
              <w:t>0</w:t>
            </w:r>
            <w:r w:rsidR="00326073" w:rsidRPr="008F3469">
              <w:rPr>
                <w:rFonts w:ascii="GHEA Grapalat" w:eastAsia="Times New Roman" w:hAnsi="GHEA Grapalat" w:cs="Calibri"/>
                <w:sz w:val="14"/>
                <w:szCs w:val="14"/>
              </w:rPr>
              <w:t>,</w:t>
            </w:r>
            <w:r w:rsidR="008A3067" w:rsidRPr="008F3469">
              <w:rPr>
                <w:rFonts w:ascii="GHEA Grapalat" w:eastAsia="Times New Roman" w:hAnsi="GHEA Grapalat" w:cs="Calibri"/>
                <w:sz w:val="14"/>
                <w:szCs w:val="14"/>
              </w:rPr>
              <w:t>0</w:t>
            </w:r>
            <w:r w:rsidR="007C2777" w:rsidRPr="008F3469">
              <w:rPr>
                <w:rFonts w:ascii="GHEA Grapalat" w:eastAsia="Times New Roman" w:hAnsi="GHEA Grapalat" w:cs="Calibri"/>
                <w:sz w:val="14"/>
                <w:szCs w:val="14"/>
              </w:rPr>
              <w:t>0</w:t>
            </w:r>
            <w:r w:rsidR="00326073" w:rsidRPr="008F3469">
              <w:rPr>
                <w:rFonts w:ascii="GHEA Grapalat" w:eastAsia="Times New Roman" w:hAnsi="GHEA Grapalat" w:cs="Calibri"/>
                <w:sz w:val="14"/>
                <w:szCs w:val="14"/>
              </w:rPr>
              <w:t>0</w:t>
            </w:r>
            <w:r w:rsidR="008A3067" w:rsidRPr="008F3469">
              <w:rPr>
                <w:rFonts w:ascii="GHEA Grapalat" w:eastAsia="Times New Roman" w:hAnsi="GHEA Grapalat" w:cs="Calibri"/>
                <w:sz w:val="14"/>
                <w:szCs w:val="14"/>
              </w:rPr>
              <w:t>.0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95CB" w14:textId="252586C8" w:rsidR="00326073" w:rsidRPr="008F3469" w:rsidRDefault="00326073" w:rsidP="00700CF4">
            <w:pPr>
              <w:suppressAutoHyphens w:val="0"/>
              <w:spacing w:after="0" w:line="240" w:lineRule="auto"/>
              <w:ind w:left="0" w:firstLine="360"/>
              <w:jc w:val="left"/>
              <w:rPr>
                <w:rFonts w:ascii="GHEA Grapalat" w:eastAsia="Times New Roman" w:hAnsi="GHEA Grapalat" w:cs="Calibri"/>
                <w:sz w:val="14"/>
                <w:szCs w:val="14"/>
              </w:rPr>
            </w:pPr>
            <w:proofErr w:type="spellStart"/>
            <w:r w:rsidRPr="008F3469">
              <w:rPr>
                <w:rFonts w:ascii="GHEA Grapalat" w:eastAsia="Times New Roman" w:hAnsi="GHEA Grapalat" w:cs="Calibri"/>
                <w:sz w:val="14"/>
                <w:szCs w:val="14"/>
              </w:rPr>
              <w:t>Դրամ</w:t>
            </w:r>
            <w:proofErr w:type="spellEnd"/>
            <w:r w:rsidRPr="008F3469">
              <w:rPr>
                <w:rFonts w:ascii="GHEA Grapalat" w:eastAsia="Times New Roman" w:hAnsi="GHEA Grapalat" w:cs="Calibri"/>
                <w:sz w:val="14"/>
                <w:szCs w:val="14"/>
              </w:rPr>
              <w:t xml:space="preserve"> (</w:t>
            </w:r>
            <w:r w:rsidRPr="008F3469">
              <w:rPr>
                <w:rFonts w:ascii="GHEA Grapalat" w:eastAsia="Times New Roman" w:hAnsi="GHEA Grapalat" w:cs="Calibri"/>
                <w:sz w:val="14"/>
                <w:szCs w:val="14"/>
                <w:lang w:val="hy-AM"/>
              </w:rPr>
              <w:t>12</w:t>
            </w:r>
            <w:r w:rsidRPr="008F3469">
              <w:rPr>
                <w:rFonts w:ascii="GHEA Grapalat" w:eastAsia="Times New Roman" w:hAnsi="GHEA Grapalat" w:cs="Calibri"/>
                <w:sz w:val="14"/>
                <w:szCs w:val="14"/>
              </w:rPr>
              <w:t>%)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721F" w14:textId="7E3E5ED2" w:rsidR="00326073" w:rsidRPr="007A0F28" w:rsidRDefault="00C923CC" w:rsidP="00700CF4">
            <w:pPr>
              <w:suppressAutoHyphens w:val="0"/>
              <w:spacing w:after="0" w:line="240" w:lineRule="auto"/>
              <w:ind w:left="0" w:firstLine="360"/>
              <w:jc w:val="right"/>
              <w:rPr>
                <w:rFonts w:ascii="Cambria Math" w:eastAsia="Times New Roman" w:hAnsi="Cambria Math" w:cs="Calibri"/>
                <w:sz w:val="14"/>
                <w:szCs w:val="14"/>
                <w:lang w:val="hy-AM"/>
              </w:rPr>
            </w:pPr>
            <w:r>
              <w:rPr>
                <w:rFonts w:ascii="GHEA Grapalat" w:eastAsia="Times New Roman" w:hAnsi="GHEA Grapalat" w:cs="Calibri"/>
                <w:sz w:val="14"/>
                <w:szCs w:val="14"/>
                <w:lang w:val="hy-AM"/>
              </w:rPr>
              <w:t>2</w:t>
            </w:r>
            <w:r w:rsidR="007A0F28" w:rsidRPr="007A0F28">
              <w:rPr>
                <w:rFonts w:ascii="GHEA Grapalat" w:eastAsia="Times New Roman" w:hAnsi="GHEA Grapalat" w:cs="Calibri"/>
                <w:sz w:val="14"/>
                <w:szCs w:val="14"/>
              </w:rPr>
              <w:t>,</w:t>
            </w:r>
            <w:r>
              <w:rPr>
                <w:rFonts w:ascii="GHEA Grapalat" w:eastAsia="Times New Roman" w:hAnsi="GHEA Grapalat" w:cs="Calibri"/>
                <w:sz w:val="14"/>
                <w:szCs w:val="14"/>
                <w:lang w:val="hy-AM"/>
              </w:rPr>
              <w:t>535</w:t>
            </w:r>
            <w:r w:rsidR="007A0F28" w:rsidRPr="007A0F28">
              <w:rPr>
                <w:rFonts w:ascii="GHEA Grapalat" w:eastAsia="Times New Roman" w:hAnsi="GHEA Grapalat" w:cs="Calibri"/>
                <w:sz w:val="14"/>
                <w:szCs w:val="14"/>
              </w:rPr>
              <w:t>,</w:t>
            </w:r>
            <w:r>
              <w:rPr>
                <w:rFonts w:ascii="GHEA Grapalat" w:eastAsia="Times New Roman" w:hAnsi="GHEA Grapalat" w:cs="Calibri"/>
                <w:sz w:val="14"/>
                <w:szCs w:val="14"/>
                <w:lang w:val="hy-AM"/>
              </w:rPr>
              <w:t>0</w:t>
            </w:r>
            <w:r w:rsidR="007A0F28" w:rsidRPr="007A0F28">
              <w:rPr>
                <w:rFonts w:ascii="GHEA Grapalat" w:eastAsia="Times New Roman" w:hAnsi="GHEA Grapalat" w:cs="Calibri"/>
                <w:sz w:val="14"/>
                <w:szCs w:val="14"/>
              </w:rPr>
              <w:t>00</w:t>
            </w:r>
            <w:r w:rsidR="007A0F28">
              <w:rPr>
                <w:rFonts w:ascii="Cambria Math" w:eastAsia="Times New Roman" w:hAnsi="Cambria Math" w:cs="Calibri"/>
                <w:sz w:val="14"/>
                <w:szCs w:val="14"/>
                <w:lang w:val="hy-AM"/>
              </w:rPr>
              <w:t>․00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063F" w14:textId="582259A3" w:rsidR="00326073" w:rsidRPr="008F3469" w:rsidRDefault="00C923CC" w:rsidP="00700CF4">
            <w:pPr>
              <w:suppressAutoHyphens w:val="0"/>
              <w:spacing w:after="0" w:line="240" w:lineRule="auto"/>
              <w:ind w:left="0" w:firstLine="360"/>
              <w:jc w:val="right"/>
              <w:rPr>
                <w:rFonts w:ascii="Cambria Math" w:eastAsia="Times New Roman" w:hAnsi="Cambria Math" w:cs="Calibri"/>
                <w:sz w:val="14"/>
                <w:szCs w:val="14"/>
              </w:rPr>
            </w:pPr>
            <w:r>
              <w:rPr>
                <w:rFonts w:ascii="GHEA Grapalat" w:eastAsia="Times New Roman" w:hAnsi="GHEA Grapalat" w:cs="Calibri"/>
                <w:sz w:val="14"/>
                <w:szCs w:val="14"/>
                <w:lang w:val="hy-AM"/>
              </w:rPr>
              <w:t>304</w:t>
            </w:r>
            <w:r w:rsidR="007A0F28" w:rsidRPr="007A0F28">
              <w:rPr>
                <w:rFonts w:ascii="GHEA Grapalat" w:eastAsia="Times New Roman" w:hAnsi="GHEA Grapalat" w:cs="Calibri"/>
                <w:sz w:val="14"/>
                <w:szCs w:val="14"/>
                <w:lang w:val="ru-RU"/>
              </w:rPr>
              <w:t>,</w:t>
            </w:r>
            <w:r>
              <w:rPr>
                <w:rFonts w:ascii="GHEA Grapalat" w:eastAsia="Times New Roman" w:hAnsi="GHEA Grapalat" w:cs="Calibri"/>
                <w:sz w:val="14"/>
                <w:szCs w:val="14"/>
                <w:lang w:val="hy-AM"/>
              </w:rPr>
              <w:t>0</w:t>
            </w:r>
            <w:r w:rsidR="007A0F28" w:rsidRPr="007A0F28">
              <w:rPr>
                <w:rFonts w:ascii="GHEA Grapalat" w:eastAsia="Times New Roman" w:hAnsi="GHEA Grapalat" w:cs="Calibri"/>
                <w:sz w:val="14"/>
                <w:szCs w:val="14"/>
                <w:lang w:val="ru-RU"/>
              </w:rPr>
              <w:t>00</w:t>
            </w:r>
          </w:p>
        </w:tc>
      </w:tr>
      <w:tr w:rsidR="00C923CC" w:rsidRPr="008F3469" w14:paraId="2607AF79" w14:textId="77777777" w:rsidTr="00C923CC">
        <w:trPr>
          <w:trHeight w:val="200"/>
        </w:trPr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5ABD5" w14:textId="77777777" w:rsidR="00326073" w:rsidRPr="008F3469" w:rsidRDefault="00326073" w:rsidP="00700CF4">
            <w:pPr>
              <w:suppressAutoHyphens w:val="0"/>
              <w:spacing w:after="0" w:line="240" w:lineRule="auto"/>
              <w:ind w:left="0" w:firstLine="360"/>
              <w:jc w:val="left"/>
              <w:rPr>
                <w:rFonts w:ascii="GHEA Grapalat" w:eastAsia="Times New Roman" w:hAnsi="GHEA Grapalat" w:cs="Calibri"/>
                <w:sz w:val="14"/>
                <w:szCs w:val="14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9DD7DA" w14:textId="77777777" w:rsidR="00326073" w:rsidRPr="008F3469" w:rsidRDefault="00326073" w:rsidP="00700CF4">
            <w:pPr>
              <w:suppressAutoHyphens w:val="0"/>
              <w:spacing w:after="0" w:line="240" w:lineRule="auto"/>
              <w:ind w:left="0" w:firstLine="360"/>
              <w:jc w:val="left"/>
              <w:rPr>
                <w:rFonts w:ascii="GHEA Grapalat" w:eastAsia="Times New Roman" w:hAnsi="GHEA Grapalat" w:cs="Calibri"/>
                <w:sz w:val="14"/>
                <w:szCs w:val="1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EBF5B" w14:textId="77777777" w:rsidR="00326073" w:rsidRPr="008F3469" w:rsidRDefault="00326073" w:rsidP="00700CF4">
            <w:pPr>
              <w:suppressAutoHyphens w:val="0"/>
              <w:spacing w:after="0" w:line="240" w:lineRule="auto"/>
              <w:ind w:left="0" w:firstLine="360"/>
              <w:jc w:val="left"/>
              <w:rPr>
                <w:rFonts w:ascii="GHEA Grapalat" w:eastAsia="Times New Roman" w:hAnsi="GHEA Grapalat" w:cs="Calibri"/>
                <w:sz w:val="14"/>
                <w:szCs w:val="14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FD4F6" w14:textId="77777777" w:rsidR="00326073" w:rsidRPr="008F3469" w:rsidRDefault="00326073" w:rsidP="00700CF4">
            <w:pPr>
              <w:suppressAutoHyphens w:val="0"/>
              <w:spacing w:after="0" w:line="240" w:lineRule="auto"/>
              <w:ind w:left="0" w:firstLine="360"/>
              <w:jc w:val="left"/>
              <w:rPr>
                <w:rFonts w:ascii="GHEA Grapalat" w:eastAsia="Times New Roman" w:hAnsi="GHEA Grapalat" w:cs="Calibri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9F1B" w14:textId="6BA2B7AC" w:rsidR="00326073" w:rsidRPr="008F3469" w:rsidRDefault="00326073" w:rsidP="00700CF4">
            <w:pPr>
              <w:suppressAutoHyphens w:val="0"/>
              <w:spacing w:after="0" w:line="240" w:lineRule="auto"/>
              <w:ind w:left="0" w:firstLine="360"/>
              <w:jc w:val="left"/>
              <w:rPr>
                <w:rFonts w:ascii="GHEA Grapalat" w:eastAsia="Times New Roman" w:hAnsi="GHEA Grapalat" w:cs="Calibri"/>
                <w:sz w:val="14"/>
                <w:szCs w:val="14"/>
              </w:rPr>
            </w:pPr>
            <w:proofErr w:type="spellStart"/>
            <w:r w:rsidRPr="008F3469">
              <w:rPr>
                <w:rFonts w:ascii="GHEA Grapalat" w:eastAsia="Times New Roman" w:hAnsi="GHEA Grapalat" w:cs="Calibri"/>
                <w:sz w:val="14"/>
                <w:szCs w:val="14"/>
              </w:rPr>
              <w:t>Արտարժույթ</w:t>
            </w:r>
            <w:proofErr w:type="spellEnd"/>
            <w:r w:rsidRPr="008F3469">
              <w:rPr>
                <w:rFonts w:ascii="GHEA Grapalat" w:eastAsia="Times New Roman" w:hAnsi="GHEA Grapalat" w:cs="Calibri"/>
                <w:sz w:val="14"/>
                <w:szCs w:val="14"/>
              </w:rPr>
              <w:t xml:space="preserve"> (</w:t>
            </w:r>
            <w:r w:rsidRPr="008F3469">
              <w:rPr>
                <w:rFonts w:ascii="GHEA Grapalat" w:eastAsia="Times New Roman" w:hAnsi="GHEA Grapalat" w:cs="Calibri"/>
                <w:sz w:val="14"/>
                <w:szCs w:val="14"/>
                <w:lang w:val="hy-AM"/>
              </w:rPr>
              <w:t>8</w:t>
            </w:r>
            <w:r w:rsidRPr="008F3469">
              <w:rPr>
                <w:rFonts w:ascii="GHEA Grapalat" w:eastAsia="Times New Roman" w:hAnsi="GHEA Grapalat" w:cs="Calibri"/>
                <w:sz w:val="14"/>
                <w:szCs w:val="14"/>
              </w:rPr>
              <w:t>%)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C26D" w14:textId="2AD81AB7" w:rsidR="00326073" w:rsidRPr="008F3469" w:rsidRDefault="00C923CC" w:rsidP="00700CF4">
            <w:pPr>
              <w:suppressAutoHyphens w:val="0"/>
              <w:spacing w:after="0" w:line="240" w:lineRule="auto"/>
              <w:ind w:left="0" w:firstLine="360"/>
              <w:jc w:val="right"/>
              <w:rPr>
                <w:rFonts w:ascii="GHEA Grapalat" w:eastAsia="Times New Roman" w:hAnsi="GHEA Grapalat" w:cs="Calibri"/>
                <w:sz w:val="14"/>
                <w:szCs w:val="14"/>
              </w:rPr>
            </w:pPr>
            <w:r>
              <w:rPr>
                <w:rFonts w:ascii="GHEA Grapalat" w:eastAsia="Times New Roman" w:hAnsi="GHEA Grapalat" w:cs="Calibri"/>
                <w:sz w:val="14"/>
                <w:szCs w:val="14"/>
                <w:lang w:val="hy-AM"/>
              </w:rPr>
              <w:t>1</w:t>
            </w:r>
            <w:r w:rsidR="007A0F28" w:rsidRPr="007A0F28">
              <w:rPr>
                <w:rFonts w:ascii="GHEA Grapalat" w:eastAsia="Times New Roman" w:hAnsi="GHEA Grapalat" w:cs="Calibri"/>
                <w:sz w:val="14"/>
                <w:szCs w:val="14"/>
              </w:rPr>
              <w:t>,</w:t>
            </w:r>
            <w:r>
              <w:rPr>
                <w:rFonts w:ascii="GHEA Grapalat" w:eastAsia="Times New Roman" w:hAnsi="GHEA Grapalat" w:cs="Calibri"/>
                <w:sz w:val="14"/>
                <w:szCs w:val="14"/>
                <w:lang w:val="hy-AM"/>
              </w:rPr>
              <w:t>365</w:t>
            </w:r>
            <w:r w:rsidR="007A0F28" w:rsidRPr="007A0F28">
              <w:rPr>
                <w:rFonts w:ascii="GHEA Grapalat" w:eastAsia="Times New Roman" w:hAnsi="GHEA Grapalat" w:cs="Calibri"/>
                <w:sz w:val="14"/>
                <w:szCs w:val="14"/>
              </w:rPr>
              <w:t>,</w:t>
            </w:r>
            <w:r>
              <w:rPr>
                <w:rFonts w:ascii="GHEA Grapalat" w:eastAsia="Times New Roman" w:hAnsi="GHEA Grapalat" w:cs="Calibri"/>
                <w:sz w:val="14"/>
                <w:szCs w:val="14"/>
                <w:lang w:val="hy-AM"/>
              </w:rPr>
              <w:t>0</w:t>
            </w:r>
            <w:r w:rsidR="007A0F28" w:rsidRPr="007A0F28">
              <w:rPr>
                <w:rFonts w:ascii="GHEA Grapalat" w:eastAsia="Times New Roman" w:hAnsi="GHEA Grapalat" w:cs="Calibri"/>
                <w:sz w:val="14"/>
                <w:szCs w:val="14"/>
              </w:rPr>
              <w:t>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8D90" w14:textId="47483019" w:rsidR="00326073" w:rsidRPr="007A0F28" w:rsidRDefault="00C923CC" w:rsidP="00700CF4">
            <w:pPr>
              <w:suppressAutoHyphens w:val="0"/>
              <w:spacing w:after="0" w:line="240" w:lineRule="auto"/>
              <w:ind w:left="0" w:firstLine="360"/>
              <w:jc w:val="right"/>
              <w:rPr>
                <w:rFonts w:ascii="Cambria Math" w:eastAsia="Times New Roman" w:hAnsi="Cambria Math" w:cs="Calibri"/>
                <w:sz w:val="14"/>
                <w:szCs w:val="14"/>
                <w:lang w:val="hy-AM"/>
              </w:rPr>
            </w:pPr>
            <w:r>
              <w:rPr>
                <w:rFonts w:ascii="GHEA Grapalat" w:eastAsia="Times New Roman" w:hAnsi="GHEA Grapalat" w:cs="Calibri"/>
                <w:sz w:val="14"/>
                <w:szCs w:val="14"/>
                <w:lang w:val="hy-AM"/>
              </w:rPr>
              <w:t>109</w:t>
            </w:r>
            <w:r w:rsidR="007A0F28" w:rsidRPr="007A0F28">
              <w:rPr>
                <w:rFonts w:ascii="GHEA Grapalat" w:eastAsia="Times New Roman" w:hAnsi="GHEA Grapalat" w:cs="Calibri"/>
                <w:sz w:val="14"/>
                <w:szCs w:val="14"/>
              </w:rPr>
              <w:t>,</w:t>
            </w:r>
            <w:r>
              <w:rPr>
                <w:rFonts w:ascii="GHEA Grapalat" w:eastAsia="Times New Roman" w:hAnsi="GHEA Grapalat" w:cs="Calibri"/>
                <w:sz w:val="14"/>
                <w:szCs w:val="14"/>
                <w:lang w:val="hy-AM"/>
              </w:rPr>
              <w:t>2</w:t>
            </w:r>
            <w:r w:rsidR="007A0F28" w:rsidRPr="007A0F28">
              <w:rPr>
                <w:rFonts w:ascii="GHEA Grapalat" w:eastAsia="Times New Roman" w:hAnsi="GHEA Grapalat" w:cs="Calibri"/>
                <w:sz w:val="14"/>
                <w:szCs w:val="14"/>
              </w:rPr>
              <w:t>00</w:t>
            </w:r>
            <w:r w:rsidR="007A0F28">
              <w:rPr>
                <w:rFonts w:ascii="Cambria Math" w:eastAsia="Times New Roman" w:hAnsi="Cambria Math" w:cs="Calibri"/>
                <w:sz w:val="14"/>
                <w:szCs w:val="14"/>
                <w:lang w:val="hy-AM"/>
              </w:rPr>
              <w:t>․00</w:t>
            </w:r>
          </w:p>
        </w:tc>
      </w:tr>
      <w:tr w:rsidR="00C923CC" w:rsidRPr="008F3469" w14:paraId="45241864" w14:textId="77777777" w:rsidTr="00C923CC">
        <w:trPr>
          <w:trHeight w:val="200"/>
        </w:trPr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631C" w14:textId="77777777" w:rsidR="00326073" w:rsidRPr="008F3469" w:rsidRDefault="00326073" w:rsidP="00700CF4">
            <w:pPr>
              <w:suppressAutoHyphens w:val="0"/>
              <w:spacing w:after="0" w:line="240" w:lineRule="auto"/>
              <w:ind w:left="0" w:firstLine="360"/>
              <w:jc w:val="right"/>
              <w:rPr>
                <w:rFonts w:ascii="GHEA Grapalat" w:eastAsia="Times New Roman" w:hAnsi="GHEA Grapalat" w:cs="Calibri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0D20" w14:textId="77777777" w:rsidR="00326073" w:rsidRPr="008F3469" w:rsidRDefault="00326073" w:rsidP="00700CF4">
            <w:pPr>
              <w:suppressAutoHyphens w:val="0"/>
              <w:spacing w:after="0" w:line="240" w:lineRule="auto"/>
              <w:ind w:left="0" w:firstLine="360"/>
              <w:jc w:val="left"/>
              <w:rPr>
                <w:rFonts w:ascii="GHEA Grapalat" w:eastAsia="Times New Roman" w:hAnsi="GHEA Grapalat"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6A4D" w14:textId="77777777" w:rsidR="00326073" w:rsidRPr="008F3469" w:rsidRDefault="00326073" w:rsidP="00700CF4">
            <w:pPr>
              <w:suppressAutoHyphens w:val="0"/>
              <w:spacing w:after="0" w:line="240" w:lineRule="auto"/>
              <w:ind w:left="0" w:firstLine="360"/>
              <w:jc w:val="left"/>
              <w:rPr>
                <w:rFonts w:ascii="GHEA Grapalat" w:eastAsia="Times New Roman" w:hAnsi="GHEA Grapalat"/>
                <w:sz w:val="14"/>
                <w:szCs w:val="1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F878" w14:textId="77777777" w:rsidR="00326073" w:rsidRPr="008F3469" w:rsidRDefault="00326073" w:rsidP="00700CF4">
            <w:pPr>
              <w:suppressAutoHyphens w:val="0"/>
              <w:spacing w:after="0" w:line="240" w:lineRule="auto"/>
              <w:ind w:left="0" w:firstLine="360"/>
              <w:jc w:val="left"/>
              <w:rPr>
                <w:rFonts w:ascii="GHEA Grapalat" w:eastAsia="Times New Roman" w:hAnsi="GHEA Grapalat"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EE08" w14:textId="77777777" w:rsidR="00326073" w:rsidRPr="008F3469" w:rsidRDefault="00326073" w:rsidP="00700CF4">
            <w:pPr>
              <w:suppressAutoHyphens w:val="0"/>
              <w:spacing w:after="0" w:line="240" w:lineRule="auto"/>
              <w:ind w:left="0" w:firstLine="360"/>
              <w:jc w:val="left"/>
              <w:rPr>
                <w:rFonts w:ascii="GHEA Grapalat" w:eastAsia="Times New Roman" w:hAnsi="GHEA Grapalat"/>
                <w:sz w:val="14"/>
                <w:szCs w:val="14"/>
              </w:rPr>
            </w:pP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8BF7" w14:textId="6EDF5EBE" w:rsidR="00326073" w:rsidRPr="008F3469" w:rsidRDefault="00C923CC" w:rsidP="00700CF4">
            <w:pPr>
              <w:suppressAutoHyphens w:val="0"/>
              <w:spacing w:after="0" w:line="240" w:lineRule="auto"/>
              <w:ind w:left="0" w:firstLine="360"/>
              <w:jc w:val="right"/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</w:pPr>
            <w:r>
              <w:rPr>
                <w:rFonts w:ascii="GHEA Grapalat" w:eastAsia="Times New Roman" w:hAnsi="GHEA Grapalat" w:cs="Calibri"/>
                <w:b/>
                <w:bCs/>
                <w:sz w:val="14"/>
                <w:szCs w:val="14"/>
                <w:lang w:val="hy-AM"/>
              </w:rPr>
              <w:t>3,900</w:t>
            </w:r>
            <w:r w:rsidR="008A3067" w:rsidRPr="008F3469"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  <w:t>,000.00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3B26" w14:textId="213B197D" w:rsidR="00326073" w:rsidRPr="008F3469" w:rsidRDefault="00C923CC" w:rsidP="00700CF4">
            <w:pPr>
              <w:suppressAutoHyphens w:val="0"/>
              <w:spacing w:after="0" w:line="240" w:lineRule="auto"/>
              <w:ind w:left="0" w:firstLine="360"/>
              <w:jc w:val="right"/>
              <w:rPr>
                <w:rFonts w:ascii="GHEA Grapalat" w:eastAsia="Times New Roman" w:hAnsi="GHEA Grapalat" w:cs="Calibri"/>
                <w:b/>
                <w:bCs/>
                <w:sz w:val="14"/>
                <w:szCs w:val="14"/>
              </w:rPr>
            </w:pPr>
            <w:r>
              <w:rPr>
                <w:rFonts w:ascii="GHEA Grapalat" w:eastAsia="Times New Roman" w:hAnsi="GHEA Grapalat" w:cs="Calibri"/>
                <w:b/>
                <w:bCs/>
                <w:sz w:val="14"/>
                <w:szCs w:val="14"/>
                <w:lang w:val="hy-AM"/>
              </w:rPr>
              <w:t>413</w:t>
            </w:r>
            <w:r w:rsidR="007A0F28" w:rsidRPr="007A0F28">
              <w:rPr>
                <w:rFonts w:ascii="GHEA Grapalat" w:eastAsia="Times New Roman" w:hAnsi="GHEA Grapalat" w:cs="Calibri"/>
                <w:b/>
                <w:bCs/>
                <w:sz w:val="14"/>
                <w:szCs w:val="14"/>
                <w:lang w:val="ru-RU"/>
              </w:rPr>
              <w:t>,</w:t>
            </w:r>
            <w:r>
              <w:rPr>
                <w:rFonts w:ascii="GHEA Grapalat" w:eastAsia="Times New Roman" w:hAnsi="GHEA Grapalat" w:cs="Calibri"/>
                <w:b/>
                <w:bCs/>
                <w:sz w:val="14"/>
                <w:szCs w:val="14"/>
                <w:lang w:val="hy-AM"/>
              </w:rPr>
              <w:t>2</w:t>
            </w:r>
            <w:r w:rsidR="007A0F28" w:rsidRPr="007A0F28">
              <w:rPr>
                <w:rFonts w:ascii="GHEA Grapalat" w:eastAsia="Times New Roman" w:hAnsi="GHEA Grapalat" w:cs="Calibri"/>
                <w:b/>
                <w:bCs/>
                <w:sz w:val="14"/>
                <w:szCs w:val="14"/>
                <w:lang w:val="ru-RU"/>
              </w:rPr>
              <w:t>00</w:t>
            </w:r>
          </w:p>
        </w:tc>
      </w:tr>
    </w:tbl>
    <w:p w14:paraId="36B5775B" w14:textId="77777777" w:rsidR="00326073" w:rsidRPr="008F3469" w:rsidRDefault="00326073" w:rsidP="00700CF4">
      <w:pPr>
        <w:spacing w:line="360" w:lineRule="auto"/>
        <w:ind w:left="0" w:firstLine="360"/>
        <w:rPr>
          <w:rFonts w:ascii="GHEA Grapalat" w:hAnsi="GHEA Grapalat" w:cs="Arial"/>
          <w:sz w:val="16"/>
          <w:szCs w:val="16"/>
          <w:lang w:val="hy-AM"/>
        </w:rPr>
      </w:pPr>
    </w:p>
    <w:p w14:paraId="62D49E3D" w14:textId="66409D09" w:rsidR="00326073" w:rsidRPr="008F3469" w:rsidRDefault="00326073" w:rsidP="00700CF4">
      <w:pPr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Կանխատեսումն իրականացնելիս հաշվի է առնվել այն փաստը, որ դասընթացին մասնակցողների մեծամասնությունը սկսնակ ձեռներեցներ են` կանխատեսվել է 60%</w:t>
      </w:r>
      <w:r w:rsidR="00222243" w:rsidRPr="008F3469">
        <w:rPr>
          <w:rFonts w:ascii="GHEA Grapalat" w:hAnsi="GHEA Grapalat" w:cs="Arial"/>
          <w:sz w:val="24"/>
          <w:szCs w:val="24"/>
          <w:lang w:val="hy-AM"/>
        </w:rPr>
        <w:t>՝ հաշվի առնելով Կորոնավիրուսի տնտեսական հետևանքների չեզոքացման 19-րդ միջոցառման դիմումատուների վերլուծությունը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: Դրամային և արտարժութային </w:t>
      </w:r>
      <w:r w:rsidR="00700CF4" w:rsidRPr="008F3469">
        <w:rPr>
          <w:rFonts w:ascii="GHEA Grapalat" w:hAnsi="GHEA Grapalat" w:cs="Arial"/>
          <w:sz w:val="24"/>
          <w:szCs w:val="24"/>
          <w:lang w:val="hy-AM"/>
        </w:rPr>
        <w:t xml:space="preserve">վարկերի տեսակարար կշիռը </w:t>
      </w:r>
      <w:r w:rsidRPr="008F3469">
        <w:rPr>
          <w:rFonts w:ascii="GHEA Grapalat" w:hAnsi="GHEA Grapalat" w:cs="Arial"/>
          <w:sz w:val="24"/>
          <w:szCs w:val="24"/>
          <w:lang w:val="hy-AM"/>
        </w:rPr>
        <w:t>կանխատե</w:t>
      </w:r>
      <w:r w:rsidR="00700CF4" w:rsidRPr="008F3469">
        <w:rPr>
          <w:rFonts w:ascii="GHEA Grapalat" w:hAnsi="GHEA Grapalat" w:cs="Arial"/>
          <w:sz w:val="24"/>
          <w:szCs w:val="24"/>
          <w:lang w:val="hy-AM"/>
        </w:rPr>
        <w:t xml:space="preserve">սելիս 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դիտարկվել է Արտադրական կարողությունների արդիականացման միջոցառման շրջանակներում ձևավորված պորտֆելի վերլուծությունը</w:t>
      </w:r>
      <w:r w:rsidR="00700CF4" w:rsidRPr="008F3469">
        <w:rPr>
          <w:rFonts w:ascii="GHEA Grapalat" w:hAnsi="GHEA Grapalat" w:cs="Arial"/>
          <w:sz w:val="24"/>
          <w:szCs w:val="24"/>
          <w:lang w:val="hy-AM"/>
        </w:rPr>
        <w:t xml:space="preserve">՝ դրամային վարկերի տեսակարար կշիռը՝ 65%, արտարժութային վարկերի տեսակարար </w:t>
      </w:r>
      <w:r w:rsidR="00700CF4" w:rsidRPr="008F3469">
        <w:rPr>
          <w:rFonts w:ascii="GHEA Grapalat" w:hAnsi="GHEA Grapalat" w:cs="Arial"/>
          <w:sz w:val="24"/>
          <w:szCs w:val="24"/>
          <w:lang w:val="hy-AM"/>
        </w:rPr>
        <w:lastRenderedPageBreak/>
        <w:t>կշիռը՝ 35%, ընդ որում դիտարկվել է հիմնականում ՓՄՁ սուբյեկտներին վարկեր տրամադրող ֆինանսական կառույցների պորտֆելները</w:t>
      </w:r>
      <w:r w:rsidRPr="008F3469">
        <w:rPr>
          <w:rFonts w:ascii="GHEA Grapalat" w:hAnsi="GHEA Grapalat" w:cs="Arial"/>
          <w:sz w:val="24"/>
          <w:szCs w:val="24"/>
          <w:lang w:val="hy-AM"/>
        </w:rPr>
        <w:t>։</w:t>
      </w:r>
    </w:p>
    <w:p w14:paraId="360729B4" w14:textId="159B0726" w:rsidR="007D6020" w:rsidRDefault="007D6020" w:rsidP="00700CF4">
      <w:pPr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00CF4" w:rsidRPr="008F3469">
        <w:rPr>
          <w:rFonts w:ascii="GHEA Grapalat" w:hAnsi="GHEA Grapalat" w:cs="Arial"/>
          <w:sz w:val="24"/>
          <w:szCs w:val="24"/>
          <w:lang w:val="hy-AM"/>
        </w:rPr>
        <w:t>Կանխատեսվում է, որ նշված վարկերի մասով վարկային երաշխ</w:t>
      </w:r>
      <w:r w:rsidR="00E31314">
        <w:rPr>
          <w:rFonts w:ascii="GHEA Grapalat" w:hAnsi="GHEA Grapalat" w:cs="Arial"/>
          <w:sz w:val="24"/>
          <w:szCs w:val="24"/>
          <w:lang w:val="hy-AM"/>
        </w:rPr>
        <w:t>իքի</w:t>
      </w:r>
      <w:r w:rsidR="00700CF4" w:rsidRPr="008F3469">
        <w:rPr>
          <w:rFonts w:ascii="GHEA Grapalat" w:hAnsi="GHEA Grapalat" w:cs="Arial"/>
          <w:sz w:val="24"/>
          <w:szCs w:val="24"/>
          <w:lang w:val="hy-AM"/>
        </w:rPr>
        <w:t xml:space="preserve"> կարիք կլինի՝ ձևավորված պորտֆելի 80%-ի համար, վարկային երաշխ</w:t>
      </w:r>
      <w:r w:rsidR="00E31314">
        <w:rPr>
          <w:rFonts w:ascii="GHEA Grapalat" w:hAnsi="GHEA Grapalat" w:cs="Arial"/>
          <w:sz w:val="24"/>
          <w:szCs w:val="24"/>
          <w:lang w:val="hy-AM"/>
        </w:rPr>
        <w:t>իքի</w:t>
      </w:r>
      <w:r w:rsidR="00700CF4" w:rsidRPr="008F3469">
        <w:rPr>
          <w:rFonts w:ascii="GHEA Grapalat" w:hAnsi="GHEA Grapalat" w:cs="Arial"/>
          <w:sz w:val="24"/>
          <w:szCs w:val="24"/>
          <w:lang w:val="hy-AM"/>
        </w:rPr>
        <w:t xml:space="preserve"> չափը միջինացված 60%-ով հաշվարկելիս 2024 թվականի համար երաշխ</w:t>
      </w:r>
      <w:r w:rsidR="00E31314">
        <w:rPr>
          <w:rFonts w:ascii="GHEA Grapalat" w:hAnsi="GHEA Grapalat" w:cs="Arial"/>
          <w:sz w:val="24"/>
          <w:szCs w:val="24"/>
          <w:lang w:val="hy-AM"/>
        </w:rPr>
        <w:t>իք</w:t>
      </w:r>
      <w:r w:rsidR="00700CF4" w:rsidRPr="008F3469">
        <w:rPr>
          <w:rFonts w:ascii="GHEA Grapalat" w:hAnsi="GHEA Grapalat" w:cs="Arial"/>
          <w:sz w:val="24"/>
          <w:szCs w:val="24"/>
          <w:lang w:val="hy-AM"/>
        </w:rPr>
        <w:t>ների չափը կկազմի 4</w:t>
      </w:r>
      <w:r w:rsidR="00700CF4" w:rsidRPr="008F3469">
        <w:rPr>
          <w:rFonts w:ascii="Cambria Math" w:hAnsi="Cambria Math" w:cs="Cambria Math"/>
          <w:sz w:val="24"/>
          <w:szCs w:val="24"/>
          <w:lang w:val="hy-AM"/>
        </w:rPr>
        <w:t>․</w:t>
      </w:r>
      <w:r w:rsidR="00700CF4" w:rsidRPr="008F3469">
        <w:rPr>
          <w:rFonts w:ascii="GHEA Grapalat" w:hAnsi="GHEA Grapalat" w:cs="Arial"/>
          <w:sz w:val="24"/>
          <w:szCs w:val="24"/>
          <w:lang w:val="hy-AM"/>
        </w:rPr>
        <w:t xml:space="preserve">2 մլրդ դրամ։ </w:t>
      </w:r>
      <w:r w:rsidR="008A3067" w:rsidRPr="008F3469">
        <w:rPr>
          <w:rFonts w:ascii="GHEA Grapalat" w:hAnsi="GHEA Grapalat" w:cs="Arial"/>
          <w:sz w:val="24"/>
          <w:szCs w:val="24"/>
          <w:lang w:val="hy-AM"/>
        </w:rPr>
        <w:t xml:space="preserve">Ընդ որում, անկախ այս հանգամանքից, յուրաքանչյուր ֆինանսական կազմակերպության հետ </w:t>
      </w:r>
      <w:r w:rsidR="00AA228F" w:rsidRPr="008F3469">
        <w:rPr>
          <w:rFonts w:ascii="GHEA Grapalat" w:hAnsi="GHEA Grapalat" w:cs="Arial"/>
          <w:sz w:val="24"/>
          <w:szCs w:val="24"/>
          <w:lang w:val="hy-AM"/>
        </w:rPr>
        <w:t xml:space="preserve">միջոցառման շրջանակներում </w:t>
      </w:r>
      <w:r w:rsidR="008A3067" w:rsidRPr="008F3469">
        <w:rPr>
          <w:rFonts w:ascii="GHEA Grapalat" w:hAnsi="GHEA Grapalat" w:cs="Arial"/>
          <w:sz w:val="24"/>
          <w:szCs w:val="24"/>
          <w:lang w:val="hy-AM"/>
        </w:rPr>
        <w:t>կնքվելու է մինչև 5 մլրդ դրամ պորտֆել ձևավորելու վերաբերյալ պայմանագիր, որի շրջանակներում պետությա</w:t>
      </w:r>
      <w:r w:rsidR="00AA228F" w:rsidRPr="008F3469">
        <w:rPr>
          <w:rFonts w:ascii="GHEA Grapalat" w:hAnsi="GHEA Grapalat" w:cs="Arial"/>
          <w:sz w:val="24"/>
          <w:szCs w:val="24"/>
          <w:lang w:val="hy-AM"/>
        </w:rPr>
        <w:t>ն</w:t>
      </w:r>
      <w:r w:rsidR="008A3067" w:rsidRPr="008F3469">
        <w:rPr>
          <w:rFonts w:ascii="GHEA Grapalat" w:hAnsi="GHEA Grapalat" w:cs="Arial"/>
          <w:sz w:val="24"/>
          <w:szCs w:val="24"/>
          <w:lang w:val="hy-AM"/>
        </w:rPr>
        <w:t xml:space="preserve"> ծախսը առաջիկա 3-6 տարիների ընթացքում յուրաքանչյուր ֆինանսական կազմակերպության հետ չի գերազանցի 500 մլն դրամը։ Հետևաբար, առաջիկա 3 տարիների ընթացքում կանխատեսվում է, որ երաշխիքի գծով ծախս չի լինելու։</w:t>
      </w:r>
    </w:p>
    <w:p w14:paraId="10B3694B" w14:textId="33155524" w:rsidR="007A0F28" w:rsidRPr="008F3469" w:rsidRDefault="007A0F28" w:rsidP="00700CF4">
      <w:pPr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>Լեռնային Ղարաբաղից բռնի տեղահանված բնակչության՝ դասընթացի մասնակիցների թվաքանակը կանխատեսվել է 500 մասնակից՝ հաշվի առնելով աշխատունակ տարիքի բնակիչների թվաքանակը և վերջիններիս կողմից զինվորական ծառայությամբ չզբաղվելու հանգամանքը։</w:t>
      </w:r>
    </w:p>
    <w:p w14:paraId="66AE6806" w14:textId="4212AAAD" w:rsidR="00700CF4" w:rsidRPr="008F3469" w:rsidRDefault="00700CF4" w:rsidP="00700CF4">
      <w:pPr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>Արդյունքում</w:t>
      </w:r>
      <w:r w:rsidRPr="008F3469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618261CC" w14:textId="669B3ED1" w:rsidR="00700CF4" w:rsidRDefault="00700CF4" w:rsidP="00700CF4">
      <w:pPr>
        <w:pStyle w:val="ListParagraph"/>
        <w:numPr>
          <w:ilvl w:val="0"/>
          <w:numId w:val="15"/>
        </w:numPr>
        <w:spacing w:line="360" w:lineRule="auto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2024 թվականին </w:t>
      </w:r>
      <w:r w:rsidR="00AA228F" w:rsidRPr="008F3469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է ծախսել 1</w:t>
      </w:r>
      <w:r w:rsidR="008F024D" w:rsidRPr="008F3469">
        <w:rPr>
          <w:rFonts w:ascii="GHEA Grapalat" w:hAnsi="GHEA Grapalat" w:cs="Arial"/>
          <w:sz w:val="24"/>
          <w:szCs w:val="24"/>
          <w:lang w:val="hy-AM"/>
        </w:rPr>
        <w:t>.</w:t>
      </w:r>
      <w:r w:rsidR="001F37B3">
        <w:rPr>
          <w:rFonts w:ascii="GHEA Grapalat" w:hAnsi="GHEA Grapalat" w:cs="Arial"/>
          <w:sz w:val="24"/>
          <w:szCs w:val="24"/>
          <w:lang w:val="hy-AM"/>
        </w:rPr>
        <w:t>8</w:t>
      </w:r>
      <w:r w:rsidRPr="008F3469">
        <w:rPr>
          <w:rFonts w:ascii="GHEA Grapalat" w:hAnsi="GHEA Grapalat" w:cs="Arial"/>
          <w:sz w:val="24"/>
          <w:szCs w:val="24"/>
          <w:lang w:val="hy-AM"/>
        </w:rPr>
        <w:t xml:space="preserve"> մլրդ դրամ՝ սուբսիդավորման և դասընթացների իրականացման նպատակով</w:t>
      </w:r>
      <w:r w:rsidR="00773F84" w:rsidRPr="008F3469">
        <w:rPr>
          <w:rFonts w:ascii="GHEA Grapalat" w:hAnsi="GHEA Grapalat" w:cs="Arial"/>
          <w:sz w:val="24"/>
          <w:szCs w:val="24"/>
          <w:lang w:val="hy-AM"/>
        </w:rPr>
        <w:t>։</w:t>
      </w:r>
    </w:p>
    <w:p w14:paraId="35759162" w14:textId="7F63EBEE" w:rsidR="00B72233" w:rsidRPr="008F3469" w:rsidRDefault="00E31314" w:rsidP="00700CF4">
      <w:pPr>
        <w:spacing w:line="360" w:lineRule="auto"/>
        <w:ind w:left="0" w:firstLine="360"/>
        <w:rPr>
          <w:rFonts w:ascii="GHEA Grapalat" w:hAnsi="GHEA Grapalat" w:cs="Arial"/>
          <w:sz w:val="24"/>
          <w:szCs w:val="24"/>
          <w:lang w:val="hy-AM"/>
        </w:rPr>
      </w:pPr>
      <w:r w:rsidRPr="008F3469">
        <w:rPr>
          <w:rFonts w:ascii="GHEA Grapalat" w:hAnsi="GHEA Grapalat"/>
          <w:b/>
          <w:bCs/>
          <w:sz w:val="24"/>
          <w:szCs w:val="24"/>
          <w:lang w:val="hy-AM"/>
        </w:rPr>
        <w:t>7.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3F41C9" w:rsidRPr="008F3469"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 w:rsidR="00B72233" w:rsidRPr="008F3469">
        <w:rPr>
          <w:rFonts w:ascii="GHEA Grapalat" w:hAnsi="GHEA Grapalat"/>
          <w:b/>
          <w:bCs/>
          <w:sz w:val="24"/>
          <w:szCs w:val="24"/>
          <w:lang w:val="hy-AM"/>
        </w:rPr>
        <w:t>այաստանի Հանրապետության պետական բյուջեի եկամուտներում և ծախսերում սպասվելիք փոփոխությունները.</w:t>
      </w:r>
    </w:p>
    <w:p w14:paraId="16CB4F86" w14:textId="6C3B013C" w:rsidR="00B72233" w:rsidRPr="008F3469" w:rsidRDefault="00B72233" w:rsidP="00700CF4">
      <w:pPr>
        <w:spacing w:after="0" w:line="36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8F3469">
        <w:rPr>
          <w:rFonts w:ascii="GHEA Grapalat" w:hAnsi="GHEA Grapalat"/>
          <w:sz w:val="24"/>
          <w:szCs w:val="24"/>
          <w:lang w:val="hy-AM"/>
        </w:rPr>
        <w:t>Նախագծի ընդունման կապակցությամբ նախատեսվում է պետական բյուջեի ծախսերի ավելացում</w:t>
      </w:r>
      <w:r w:rsidR="00735D65" w:rsidRPr="008F3469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76269957" w14:textId="50CC757E" w:rsidR="004B4AEC" w:rsidRPr="008F3469" w:rsidRDefault="00E31314" w:rsidP="00700CF4">
      <w:pPr>
        <w:spacing w:line="360" w:lineRule="auto"/>
        <w:ind w:left="0" w:firstLine="360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8</w:t>
      </w:r>
      <w:r w:rsidR="004B4AEC" w:rsidRPr="008F3469">
        <w:rPr>
          <w:rFonts w:ascii="GHEA Grapalat" w:hAnsi="GHEA Grapalat"/>
          <w:b/>
          <w:bCs/>
          <w:sz w:val="24"/>
          <w:szCs w:val="24"/>
          <w:lang w:val="hy-AM"/>
        </w:rPr>
        <w:t>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14:paraId="7340ABD8" w14:textId="56FAACB6" w:rsidR="008D558F" w:rsidRPr="008F3469" w:rsidRDefault="004B4AEC" w:rsidP="00700CF4">
      <w:pPr>
        <w:spacing w:after="0" w:line="360" w:lineRule="auto"/>
        <w:ind w:left="0" w:firstLine="360"/>
        <w:rPr>
          <w:rFonts w:ascii="GHEA Grapalat" w:hAnsi="GHEA Grapalat"/>
          <w:sz w:val="20"/>
          <w:szCs w:val="20"/>
          <w:lang w:val="hy-AM"/>
        </w:rPr>
      </w:pPr>
      <w:r w:rsidRPr="008F3469">
        <w:rPr>
          <w:rFonts w:ascii="GHEA Grapalat" w:hAnsi="GHEA Grapalat" w:cs="GHEA Grapalat"/>
          <w:sz w:val="24"/>
          <w:szCs w:val="24"/>
          <w:lang w:val="hy-AM"/>
        </w:rPr>
        <w:t>Որոշման</w:t>
      </w:r>
      <w:r w:rsidRPr="008F34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F3469">
        <w:rPr>
          <w:rFonts w:ascii="GHEA Grapalat" w:hAnsi="GHEA Grapalat" w:cs="GHEA Grapalat"/>
          <w:sz w:val="24"/>
          <w:szCs w:val="24"/>
          <w:lang w:val="hy-AM"/>
        </w:rPr>
        <w:t>նախագիծը</w:t>
      </w:r>
      <w:r w:rsidRPr="008F34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F3469">
        <w:rPr>
          <w:rFonts w:ascii="GHEA Grapalat" w:hAnsi="GHEA Grapalat" w:cs="GHEA Grapalat"/>
          <w:sz w:val="24"/>
          <w:szCs w:val="24"/>
          <w:lang w:val="hy-AM"/>
        </w:rPr>
        <w:t>մշակվել</w:t>
      </w:r>
      <w:r w:rsidRPr="008F34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F3469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8F34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8F3469">
        <w:rPr>
          <w:rFonts w:ascii="GHEA Grapalat" w:hAnsi="GHEA Grapalat" w:cs="GHEA Grapalat"/>
          <w:sz w:val="24"/>
          <w:szCs w:val="24"/>
          <w:lang w:val="hy-AM"/>
        </w:rPr>
        <w:t>հիմք</w:t>
      </w:r>
      <w:r w:rsidRPr="008F34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E00972" w:rsidRPr="008F3469">
        <w:rPr>
          <w:rFonts w:ascii="GHEA Grapalat" w:hAnsi="GHEA Grapalat" w:cs="GHEA Grapalat"/>
          <w:sz w:val="24"/>
          <w:szCs w:val="24"/>
          <w:lang w:val="hy-AM"/>
        </w:rPr>
        <w:t xml:space="preserve">ընդունելով՝ </w:t>
      </w:r>
      <w:r w:rsidRPr="008F3469">
        <w:rPr>
          <w:rFonts w:ascii="GHEA Grapalat" w:hAnsi="GHEA Grapalat"/>
          <w:sz w:val="24"/>
          <w:szCs w:val="24"/>
          <w:lang w:val="hy-AM"/>
        </w:rPr>
        <w:t>ՀՀ կառավարության 2021 թվականի նոյեմբերի 18-ի N1902-Լ որոշման Հավելված N1-ով նախատեսված</w:t>
      </w:r>
      <w:r w:rsidR="00E06F11" w:rsidRPr="008F3469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911" w:rsidRPr="008F3469">
        <w:rPr>
          <w:rFonts w:ascii="GHEA Grapalat" w:hAnsi="GHEA Grapalat"/>
          <w:sz w:val="24"/>
          <w:szCs w:val="24"/>
          <w:lang w:val="hy-AM"/>
        </w:rPr>
        <w:t xml:space="preserve"> 4</w:t>
      </w:r>
      <w:r w:rsidR="000A4911" w:rsidRPr="008F3469">
        <w:rPr>
          <w:rFonts w:ascii="Cambria Math" w:hAnsi="Cambria Math" w:cs="Cambria Math"/>
          <w:sz w:val="24"/>
          <w:szCs w:val="24"/>
          <w:lang w:val="hy-AM"/>
        </w:rPr>
        <w:t>․</w:t>
      </w:r>
      <w:r w:rsidR="00735D65" w:rsidRPr="008F3469">
        <w:rPr>
          <w:rFonts w:ascii="GHEA Grapalat" w:hAnsi="GHEA Grapalat"/>
          <w:sz w:val="24"/>
          <w:szCs w:val="24"/>
          <w:lang w:val="hy-AM"/>
        </w:rPr>
        <w:t>1</w:t>
      </w:r>
      <w:r w:rsidR="000A4911" w:rsidRPr="008F3469">
        <w:rPr>
          <w:rFonts w:ascii="GHEA Grapalat" w:hAnsi="GHEA Grapalat"/>
          <w:sz w:val="24"/>
          <w:szCs w:val="24"/>
          <w:lang w:val="hy-AM"/>
        </w:rPr>
        <w:t xml:space="preserve"> </w:t>
      </w:r>
      <w:r w:rsidR="00B7332F" w:rsidRPr="008F3469">
        <w:rPr>
          <w:rFonts w:ascii="GHEA Grapalat" w:eastAsia="Times New Roman" w:hAnsi="GHEA Grapalat"/>
          <w:sz w:val="24"/>
          <w:szCs w:val="24"/>
          <w:lang w:val="hy-AM"/>
        </w:rPr>
        <w:t>կետը</w:t>
      </w:r>
      <w:r w:rsidR="005740D3" w:rsidRPr="008F3469">
        <w:rPr>
          <w:rFonts w:ascii="GHEA Grapalat" w:hAnsi="GHEA Grapalat"/>
          <w:sz w:val="24"/>
          <w:szCs w:val="24"/>
          <w:lang w:val="hy-AM"/>
        </w:rPr>
        <w:t>,</w:t>
      </w:r>
      <w:r w:rsidR="00B7332F" w:rsidRPr="008F3469">
        <w:rPr>
          <w:rFonts w:ascii="GHEA Grapalat" w:hAnsi="GHEA Grapalat"/>
          <w:sz w:val="24"/>
          <w:szCs w:val="24"/>
          <w:lang w:val="hy-AM"/>
        </w:rPr>
        <w:t xml:space="preserve"> ինչպես նաև  </w:t>
      </w:r>
      <w:r w:rsidR="005740D3" w:rsidRPr="008F3469">
        <w:rPr>
          <w:rFonts w:ascii="GHEA Grapalat" w:hAnsi="GHEA Grapalat"/>
          <w:sz w:val="24"/>
          <w:szCs w:val="24"/>
          <w:lang w:val="hy-AM"/>
        </w:rPr>
        <w:lastRenderedPageBreak/>
        <w:t>Կառավարության 2020թ</w:t>
      </w:r>
      <w:r w:rsidR="005740D3" w:rsidRPr="008F3469">
        <w:rPr>
          <w:rFonts w:ascii="Cambria Math" w:hAnsi="Cambria Math" w:cs="Cambria Math"/>
          <w:sz w:val="24"/>
          <w:szCs w:val="24"/>
          <w:lang w:val="hy-AM"/>
        </w:rPr>
        <w:t>․</w:t>
      </w:r>
      <w:r w:rsidR="005740D3" w:rsidRPr="008F3469">
        <w:rPr>
          <w:rFonts w:ascii="GHEA Grapalat" w:hAnsi="GHEA Grapalat"/>
          <w:sz w:val="24"/>
          <w:szCs w:val="24"/>
          <w:lang w:val="hy-AM"/>
        </w:rPr>
        <w:t xml:space="preserve">-ի </w:t>
      </w:r>
      <w:r w:rsidR="009E24C1" w:rsidRPr="008F3469">
        <w:rPr>
          <w:rFonts w:ascii="GHEA Grapalat" w:hAnsi="GHEA Grapalat"/>
          <w:sz w:val="24"/>
          <w:szCs w:val="24"/>
          <w:lang w:val="hy-AM"/>
        </w:rPr>
        <w:t>օգոստոսի</w:t>
      </w:r>
      <w:r w:rsidR="005740D3" w:rsidRPr="008F3469">
        <w:rPr>
          <w:rFonts w:ascii="GHEA Grapalat" w:hAnsi="GHEA Grapalat"/>
          <w:sz w:val="24"/>
          <w:szCs w:val="24"/>
          <w:lang w:val="hy-AM"/>
        </w:rPr>
        <w:t xml:space="preserve"> 27-ի թիվ 1443-Լ որոշմամբ հաստատված ՓՄՁ զարգացման 2020-2024 թվականների ռազմավարությունը</w:t>
      </w:r>
      <w:r w:rsidR="008D558F" w:rsidRPr="008F3469">
        <w:rPr>
          <w:rFonts w:ascii="GHEA Grapalat" w:hAnsi="GHEA Grapalat"/>
          <w:sz w:val="24"/>
          <w:szCs w:val="24"/>
          <w:lang w:val="hy-AM"/>
        </w:rPr>
        <w:t>։</w:t>
      </w:r>
    </w:p>
    <w:sectPr w:rsidR="008D558F" w:rsidRPr="008F3469" w:rsidSect="002A5BD2">
      <w:footerReference w:type="default" r:id="rId13"/>
      <w:pgSz w:w="11906" w:h="16838"/>
      <w:pgMar w:top="993" w:right="849" w:bottom="990" w:left="1138" w:header="0" w:footer="58" w:gutter="0"/>
      <w:cols w:space="720"/>
      <w:formProt w:val="0"/>
      <w:titlePg/>
      <w:docGrid w:linePitch="32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DD7E" w14:textId="77777777" w:rsidR="002A5BD2" w:rsidRDefault="002A5BD2">
      <w:pPr>
        <w:spacing w:after="0" w:line="240" w:lineRule="auto"/>
      </w:pPr>
      <w:r>
        <w:separator/>
      </w:r>
    </w:p>
  </w:endnote>
  <w:endnote w:type="continuationSeparator" w:id="0">
    <w:p w14:paraId="7F834500" w14:textId="77777777" w:rsidR="002A5BD2" w:rsidRDefault="002A5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JP Regular"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931088"/>
      <w:docPartObj>
        <w:docPartGallery w:val="Page Numbers (Bottom of Page)"/>
        <w:docPartUnique/>
      </w:docPartObj>
    </w:sdtPr>
    <w:sdtContent>
      <w:p w14:paraId="0335BB0A" w14:textId="0786539C" w:rsidR="00950154" w:rsidRDefault="00674884">
        <w:pPr>
          <w:pStyle w:val="Footer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331F52">
          <w:rPr>
            <w:noProof/>
          </w:rPr>
          <w:t>15</w:t>
        </w:r>
        <w:r>
          <w:fldChar w:fldCharType="end"/>
        </w:r>
      </w:p>
    </w:sdtContent>
  </w:sdt>
  <w:p w14:paraId="3F5524CE" w14:textId="77777777" w:rsidR="00950154" w:rsidRDefault="00950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4BFE0" w14:textId="77777777" w:rsidR="002A5BD2" w:rsidRDefault="002A5BD2">
      <w:pPr>
        <w:rPr>
          <w:sz w:val="12"/>
        </w:rPr>
      </w:pPr>
      <w:r>
        <w:separator/>
      </w:r>
    </w:p>
  </w:footnote>
  <w:footnote w:type="continuationSeparator" w:id="0">
    <w:p w14:paraId="4C360E0F" w14:textId="77777777" w:rsidR="002A5BD2" w:rsidRDefault="002A5BD2">
      <w:pPr>
        <w:rPr>
          <w:sz w:val="12"/>
        </w:rPr>
      </w:pPr>
      <w:r>
        <w:continuationSeparator/>
      </w:r>
    </w:p>
  </w:footnote>
  <w:footnote w:id="1">
    <w:p w14:paraId="59869251" w14:textId="7FEA0FA2" w:rsidR="004F03F6" w:rsidRPr="004F03F6" w:rsidRDefault="004F03F6" w:rsidP="004F03F6">
      <w:pPr>
        <w:pStyle w:val="FootnoteText"/>
        <w:spacing w:line="240" w:lineRule="auto"/>
        <w:ind w:left="0" w:firstLine="360"/>
        <w:rPr>
          <w:rFonts w:ascii="GHEA Grapalat" w:hAnsi="GHEA Grapalat"/>
          <w:lang w:val="hy-AM"/>
        </w:rPr>
      </w:pPr>
      <w:r w:rsidRPr="004F03F6">
        <w:rPr>
          <w:rStyle w:val="FootnoteReference"/>
          <w:rFonts w:ascii="GHEA Grapalat" w:hAnsi="GHEA Grapalat"/>
        </w:rPr>
        <w:footnoteRef/>
      </w:r>
      <w:r w:rsidRPr="004F03F6">
        <w:rPr>
          <w:rFonts w:ascii="GHEA Grapalat" w:hAnsi="GHEA Grapalat"/>
        </w:rPr>
        <w:t xml:space="preserve"> </w:t>
      </w:r>
      <w:r w:rsidRPr="004F03F6">
        <w:rPr>
          <w:rFonts w:ascii="GHEA Grapalat" w:hAnsi="GHEA Grapalat"/>
          <w:lang w:val="hy-AM"/>
        </w:rPr>
        <w:t>Փոքր և միջին ձեռնարկատիրությունը Հայաստանի Հանրապետությունում 2022 թվականի հունվարի 1-ի դրությամբ, վիճակագրական տեղեկագիր, Երևան, 2022</w:t>
      </w:r>
    </w:p>
  </w:footnote>
  <w:footnote w:id="2">
    <w:p w14:paraId="3D69CE65" w14:textId="18396C4F" w:rsidR="004B4B35" w:rsidRPr="004B4B35" w:rsidRDefault="004B4B35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4B4B35">
        <w:rPr>
          <w:lang w:val="hy-AM"/>
        </w:rPr>
        <w:t xml:space="preserve"> </w:t>
      </w:r>
      <w:r w:rsidRPr="004B4B35">
        <w:rPr>
          <w:rFonts w:ascii="GHEA Grapalat" w:hAnsi="GHEA Grapalat"/>
          <w:lang w:val="hy-AM"/>
        </w:rPr>
        <w:t>https://data.oecd.org/entrepreneur/employees-by-business-size.htm#indicator-chart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B5CB9"/>
    <w:multiLevelType w:val="hybridMultilevel"/>
    <w:tmpl w:val="C8A860F6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1E277F21"/>
    <w:multiLevelType w:val="multilevel"/>
    <w:tmpl w:val="F4C27B2A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0A210CB"/>
    <w:multiLevelType w:val="hybridMultilevel"/>
    <w:tmpl w:val="E35E4C1C"/>
    <w:lvl w:ilvl="0" w:tplc="EC5ACEE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F0029"/>
    <w:multiLevelType w:val="hybridMultilevel"/>
    <w:tmpl w:val="685C05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D201C9"/>
    <w:multiLevelType w:val="hybridMultilevel"/>
    <w:tmpl w:val="100E4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194528"/>
    <w:multiLevelType w:val="hybridMultilevel"/>
    <w:tmpl w:val="B5EA87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D7948"/>
    <w:multiLevelType w:val="multilevel"/>
    <w:tmpl w:val="FF3EB1F6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GHEA Grapalat" w:hAnsi="GHEA Grapalat" w:cs="GHEA Grapalat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E91A9E"/>
    <w:multiLevelType w:val="hybridMultilevel"/>
    <w:tmpl w:val="FD3EB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BA4954"/>
    <w:multiLevelType w:val="hybridMultilevel"/>
    <w:tmpl w:val="C23C0530"/>
    <w:lvl w:ilvl="0" w:tplc="0409000F">
      <w:start w:val="1"/>
      <w:numFmt w:val="decimal"/>
      <w:lvlText w:val="%1."/>
      <w:lvlJc w:val="left"/>
      <w:pPr>
        <w:ind w:left="1168" w:hanging="360"/>
      </w:p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9" w15:restartNumberingAfterBreak="0">
    <w:nsid w:val="38AD1556"/>
    <w:multiLevelType w:val="hybridMultilevel"/>
    <w:tmpl w:val="52E0D9A4"/>
    <w:lvl w:ilvl="0" w:tplc="FE80F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B77EBF"/>
    <w:multiLevelType w:val="hybridMultilevel"/>
    <w:tmpl w:val="5D3C5AB6"/>
    <w:lvl w:ilvl="0" w:tplc="4C42ED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42E2D"/>
    <w:multiLevelType w:val="hybridMultilevel"/>
    <w:tmpl w:val="8536E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5531F0"/>
    <w:multiLevelType w:val="hybridMultilevel"/>
    <w:tmpl w:val="EC7ACB1A"/>
    <w:lvl w:ilvl="0" w:tplc="0409000F">
      <w:start w:val="1"/>
      <w:numFmt w:val="decimal"/>
      <w:lvlText w:val="%1."/>
      <w:lvlJc w:val="left"/>
      <w:pPr>
        <w:ind w:left="1168" w:hanging="360"/>
      </w:p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" w15:restartNumberingAfterBreak="0">
    <w:nsid w:val="498122E0"/>
    <w:multiLevelType w:val="hybridMultilevel"/>
    <w:tmpl w:val="3112DB02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>
      <w:start w:val="1"/>
      <w:numFmt w:val="lowerRoman"/>
      <w:lvlText w:val="%3."/>
      <w:lvlJc w:val="right"/>
      <w:pPr>
        <w:ind w:left="2736" w:hanging="180"/>
      </w:pPr>
    </w:lvl>
    <w:lvl w:ilvl="3" w:tplc="0409000F">
      <w:start w:val="1"/>
      <w:numFmt w:val="decimal"/>
      <w:lvlText w:val="%4."/>
      <w:lvlJc w:val="left"/>
      <w:pPr>
        <w:ind w:left="3456" w:hanging="360"/>
      </w:pPr>
    </w:lvl>
    <w:lvl w:ilvl="4" w:tplc="04090019">
      <w:start w:val="1"/>
      <w:numFmt w:val="lowerLetter"/>
      <w:lvlText w:val="%5."/>
      <w:lvlJc w:val="left"/>
      <w:pPr>
        <w:ind w:left="4176" w:hanging="360"/>
      </w:pPr>
    </w:lvl>
    <w:lvl w:ilvl="5" w:tplc="0409001B">
      <w:start w:val="1"/>
      <w:numFmt w:val="lowerRoman"/>
      <w:lvlText w:val="%6."/>
      <w:lvlJc w:val="right"/>
      <w:pPr>
        <w:ind w:left="4896" w:hanging="180"/>
      </w:pPr>
    </w:lvl>
    <w:lvl w:ilvl="6" w:tplc="0409000F">
      <w:start w:val="1"/>
      <w:numFmt w:val="decimal"/>
      <w:lvlText w:val="%7."/>
      <w:lvlJc w:val="left"/>
      <w:pPr>
        <w:ind w:left="5616" w:hanging="360"/>
      </w:pPr>
    </w:lvl>
    <w:lvl w:ilvl="7" w:tplc="04090019">
      <w:start w:val="1"/>
      <w:numFmt w:val="lowerLetter"/>
      <w:lvlText w:val="%8."/>
      <w:lvlJc w:val="left"/>
      <w:pPr>
        <w:ind w:left="6336" w:hanging="360"/>
      </w:pPr>
    </w:lvl>
    <w:lvl w:ilvl="8" w:tplc="0409001B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4BD736BC"/>
    <w:multiLevelType w:val="hybridMultilevel"/>
    <w:tmpl w:val="2BF488A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0FF1752"/>
    <w:multiLevelType w:val="hybridMultilevel"/>
    <w:tmpl w:val="4DD2C44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E113D9"/>
    <w:multiLevelType w:val="hybridMultilevel"/>
    <w:tmpl w:val="054C9C16"/>
    <w:lvl w:ilvl="0" w:tplc="8C4248DE">
      <w:start w:val="1"/>
      <w:numFmt w:val="decimal"/>
      <w:lvlText w:val="%1."/>
      <w:lvlJc w:val="left"/>
      <w:pPr>
        <w:ind w:left="786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41A2E"/>
    <w:multiLevelType w:val="hybridMultilevel"/>
    <w:tmpl w:val="C9C2C754"/>
    <w:lvl w:ilvl="0" w:tplc="7102D802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357E2"/>
    <w:multiLevelType w:val="hybridMultilevel"/>
    <w:tmpl w:val="1B18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116091"/>
    <w:multiLevelType w:val="hybridMultilevel"/>
    <w:tmpl w:val="A6965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7C7036"/>
    <w:multiLevelType w:val="hybridMultilevel"/>
    <w:tmpl w:val="2E3C2C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3B7940"/>
    <w:multiLevelType w:val="hybridMultilevel"/>
    <w:tmpl w:val="BDD06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C7F90"/>
    <w:multiLevelType w:val="hybridMultilevel"/>
    <w:tmpl w:val="2A28A8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543B05"/>
    <w:multiLevelType w:val="hybridMultilevel"/>
    <w:tmpl w:val="EA402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F4D29"/>
    <w:multiLevelType w:val="hybridMultilevel"/>
    <w:tmpl w:val="8D78D722"/>
    <w:lvl w:ilvl="0" w:tplc="04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 w16cid:durableId="1140615734">
    <w:abstractNumId w:val="1"/>
  </w:num>
  <w:num w:numId="2" w16cid:durableId="442042318">
    <w:abstractNumId w:val="6"/>
  </w:num>
  <w:num w:numId="3" w16cid:durableId="1384255110">
    <w:abstractNumId w:val="9"/>
  </w:num>
  <w:num w:numId="4" w16cid:durableId="1816533461">
    <w:abstractNumId w:val="14"/>
  </w:num>
  <w:num w:numId="5" w16cid:durableId="372656205">
    <w:abstractNumId w:val="21"/>
  </w:num>
  <w:num w:numId="6" w16cid:durableId="637801188">
    <w:abstractNumId w:val="10"/>
  </w:num>
  <w:num w:numId="7" w16cid:durableId="279410921">
    <w:abstractNumId w:val="17"/>
  </w:num>
  <w:num w:numId="8" w16cid:durableId="13539139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994356">
    <w:abstractNumId w:val="2"/>
  </w:num>
  <w:num w:numId="10" w16cid:durableId="492642171">
    <w:abstractNumId w:val="0"/>
  </w:num>
  <w:num w:numId="11" w16cid:durableId="2129078461">
    <w:abstractNumId w:val="3"/>
  </w:num>
  <w:num w:numId="12" w16cid:durableId="6033448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7390844">
    <w:abstractNumId w:val="13"/>
  </w:num>
  <w:num w:numId="14" w16cid:durableId="1389378325">
    <w:abstractNumId w:val="24"/>
  </w:num>
  <w:num w:numId="15" w16cid:durableId="1067606435">
    <w:abstractNumId w:val="4"/>
  </w:num>
  <w:num w:numId="16" w16cid:durableId="1130706503">
    <w:abstractNumId w:val="15"/>
  </w:num>
  <w:num w:numId="17" w16cid:durableId="995379490">
    <w:abstractNumId w:val="22"/>
  </w:num>
  <w:num w:numId="18" w16cid:durableId="776217530">
    <w:abstractNumId w:val="7"/>
  </w:num>
  <w:num w:numId="19" w16cid:durableId="1622881890">
    <w:abstractNumId w:val="12"/>
  </w:num>
  <w:num w:numId="20" w16cid:durableId="1469740219">
    <w:abstractNumId w:val="5"/>
  </w:num>
  <w:num w:numId="21" w16cid:durableId="687831689">
    <w:abstractNumId w:val="20"/>
  </w:num>
  <w:num w:numId="22" w16cid:durableId="336616425">
    <w:abstractNumId w:val="19"/>
  </w:num>
  <w:num w:numId="23" w16cid:durableId="894314684">
    <w:abstractNumId w:val="11"/>
  </w:num>
  <w:num w:numId="24" w16cid:durableId="1820882718">
    <w:abstractNumId w:val="18"/>
  </w:num>
  <w:num w:numId="25" w16cid:durableId="1318924612">
    <w:abstractNumId w:val="8"/>
  </w:num>
  <w:num w:numId="26" w16cid:durableId="103935558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154"/>
    <w:rsid w:val="00004624"/>
    <w:rsid w:val="000072C2"/>
    <w:rsid w:val="00010517"/>
    <w:rsid w:val="00013047"/>
    <w:rsid w:val="000166E3"/>
    <w:rsid w:val="00024319"/>
    <w:rsid w:val="0003047C"/>
    <w:rsid w:val="00032852"/>
    <w:rsid w:val="00032DD5"/>
    <w:rsid w:val="00047AD7"/>
    <w:rsid w:val="00050277"/>
    <w:rsid w:val="00050677"/>
    <w:rsid w:val="000546C5"/>
    <w:rsid w:val="000626BB"/>
    <w:rsid w:val="00066FF4"/>
    <w:rsid w:val="00067D90"/>
    <w:rsid w:val="000715E6"/>
    <w:rsid w:val="00087C11"/>
    <w:rsid w:val="0009140D"/>
    <w:rsid w:val="00094248"/>
    <w:rsid w:val="000946C6"/>
    <w:rsid w:val="000A3384"/>
    <w:rsid w:val="000A4911"/>
    <w:rsid w:val="000A62D3"/>
    <w:rsid w:val="000B6395"/>
    <w:rsid w:val="000B7220"/>
    <w:rsid w:val="000B7BE6"/>
    <w:rsid w:val="000C4E31"/>
    <w:rsid w:val="000D33A2"/>
    <w:rsid w:val="000D587B"/>
    <w:rsid w:val="000D58A8"/>
    <w:rsid w:val="000E0072"/>
    <w:rsid w:val="000E4EEE"/>
    <w:rsid w:val="000E7951"/>
    <w:rsid w:val="000F47D9"/>
    <w:rsid w:val="00103588"/>
    <w:rsid w:val="00104B37"/>
    <w:rsid w:val="0011222D"/>
    <w:rsid w:val="00113DE9"/>
    <w:rsid w:val="00123E6B"/>
    <w:rsid w:val="00125F36"/>
    <w:rsid w:val="00142A54"/>
    <w:rsid w:val="00143293"/>
    <w:rsid w:val="00146262"/>
    <w:rsid w:val="00161F68"/>
    <w:rsid w:val="001623E2"/>
    <w:rsid w:val="001648CA"/>
    <w:rsid w:val="0016771F"/>
    <w:rsid w:val="00172E78"/>
    <w:rsid w:val="001739FD"/>
    <w:rsid w:val="00175E96"/>
    <w:rsid w:val="00186B3D"/>
    <w:rsid w:val="00192CA0"/>
    <w:rsid w:val="00193C79"/>
    <w:rsid w:val="001A067A"/>
    <w:rsid w:val="001A2948"/>
    <w:rsid w:val="001B04E2"/>
    <w:rsid w:val="001B1589"/>
    <w:rsid w:val="001B25CD"/>
    <w:rsid w:val="001B74D7"/>
    <w:rsid w:val="001B7597"/>
    <w:rsid w:val="001C1DE0"/>
    <w:rsid w:val="001C27D6"/>
    <w:rsid w:val="001C2C68"/>
    <w:rsid w:val="001C7720"/>
    <w:rsid w:val="001C7C5C"/>
    <w:rsid w:val="001D21A3"/>
    <w:rsid w:val="001E0277"/>
    <w:rsid w:val="001E1B85"/>
    <w:rsid w:val="001E3B3B"/>
    <w:rsid w:val="001E4246"/>
    <w:rsid w:val="001E4766"/>
    <w:rsid w:val="001F097C"/>
    <w:rsid w:val="001F2652"/>
    <w:rsid w:val="001F37B3"/>
    <w:rsid w:val="001F41B7"/>
    <w:rsid w:val="001F74FD"/>
    <w:rsid w:val="001F7AAF"/>
    <w:rsid w:val="002017E9"/>
    <w:rsid w:val="00205BD4"/>
    <w:rsid w:val="002135D2"/>
    <w:rsid w:val="002146D9"/>
    <w:rsid w:val="00215F4F"/>
    <w:rsid w:val="00216736"/>
    <w:rsid w:val="00220756"/>
    <w:rsid w:val="00222243"/>
    <w:rsid w:val="00225590"/>
    <w:rsid w:val="002318C2"/>
    <w:rsid w:val="0023292A"/>
    <w:rsid w:val="00233B47"/>
    <w:rsid w:val="00233DAB"/>
    <w:rsid w:val="00235361"/>
    <w:rsid w:val="002420BB"/>
    <w:rsid w:val="0024621A"/>
    <w:rsid w:val="002501FB"/>
    <w:rsid w:val="00251713"/>
    <w:rsid w:val="00255B01"/>
    <w:rsid w:val="00257AAB"/>
    <w:rsid w:val="002635CF"/>
    <w:rsid w:val="00265781"/>
    <w:rsid w:val="0026662A"/>
    <w:rsid w:val="00267B67"/>
    <w:rsid w:val="002733EE"/>
    <w:rsid w:val="00284D5B"/>
    <w:rsid w:val="00285BBD"/>
    <w:rsid w:val="002928B3"/>
    <w:rsid w:val="00296C2E"/>
    <w:rsid w:val="002A5BD2"/>
    <w:rsid w:val="002B1416"/>
    <w:rsid w:val="002B6365"/>
    <w:rsid w:val="002C2061"/>
    <w:rsid w:val="002C59EA"/>
    <w:rsid w:val="002C6876"/>
    <w:rsid w:val="002D151D"/>
    <w:rsid w:val="002D4F2F"/>
    <w:rsid w:val="002D73D9"/>
    <w:rsid w:val="002E094B"/>
    <w:rsid w:val="002E226E"/>
    <w:rsid w:val="002E422D"/>
    <w:rsid w:val="002E46CC"/>
    <w:rsid w:val="002E4E74"/>
    <w:rsid w:val="002E74D9"/>
    <w:rsid w:val="002F019E"/>
    <w:rsid w:val="002F269D"/>
    <w:rsid w:val="002F777C"/>
    <w:rsid w:val="00300AD7"/>
    <w:rsid w:val="00305C65"/>
    <w:rsid w:val="00305CC3"/>
    <w:rsid w:val="00307E1D"/>
    <w:rsid w:val="00326073"/>
    <w:rsid w:val="0033118D"/>
    <w:rsid w:val="00331F52"/>
    <w:rsid w:val="00335064"/>
    <w:rsid w:val="00341BA0"/>
    <w:rsid w:val="003462D6"/>
    <w:rsid w:val="003545B6"/>
    <w:rsid w:val="003637A6"/>
    <w:rsid w:val="003642C2"/>
    <w:rsid w:val="00366717"/>
    <w:rsid w:val="00367E73"/>
    <w:rsid w:val="0037490D"/>
    <w:rsid w:val="00390866"/>
    <w:rsid w:val="003953D5"/>
    <w:rsid w:val="00395D4B"/>
    <w:rsid w:val="003A4269"/>
    <w:rsid w:val="003A5B0A"/>
    <w:rsid w:val="003B6088"/>
    <w:rsid w:val="003C0617"/>
    <w:rsid w:val="003C626C"/>
    <w:rsid w:val="003D14AE"/>
    <w:rsid w:val="003D29FC"/>
    <w:rsid w:val="003D3CA0"/>
    <w:rsid w:val="003D63C2"/>
    <w:rsid w:val="003F1617"/>
    <w:rsid w:val="003F2B26"/>
    <w:rsid w:val="003F41C9"/>
    <w:rsid w:val="003F672E"/>
    <w:rsid w:val="00404662"/>
    <w:rsid w:val="00416970"/>
    <w:rsid w:val="00421BB8"/>
    <w:rsid w:val="00422ADE"/>
    <w:rsid w:val="004244E8"/>
    <w:rsid w:val="00424EEF"/>
    <w:rsid w:val="00427EC0"/>
    <w:rsid w:val="004323E3"/>
    <w:rsid w:val="00442EDC"/>
    <w:rsid w:val="004431E1"/>
    <w:rsid w:val="00444880"/>
    <w:rsid w:val="00445A26"/>
    <w:rsid w:val="00450638"/>
    <w:rsid w:val="00452238"/>
    <w:rsid w:val="0045294A"/>
    <w:rsid w:val="00453D14"/>
    <w:rsid w:val="00461B2C"/>
    <w:rsid w:val="004624D6"/>
    <w:rsid w:val="0046653D"/>
    <w:rsid w:val="00472AEA"/>
    <w:rsid w:val="004927AE"/>
    <w:rsid w:val="004A119F"/>
    <w:rsid w:val="004A1774"/>
    <w:rsid w:val="004A1AB4"/>
    <w:rsid w:val="004A3761"/>
    <w:rsid w:val="004B4AEC"/>
    <w:rsid w:val="004B4B35"/>
    <w:rsid w:val="004B5112"/>
    <w:rsid w:val="004B60A8"/>
    <w:rsid w:val="004C3389"/>
    <w:rsid w:val="004D09AE"/>
    <w:rsid w:val="004D16F1"/>
    <w:rsid w:val="004D1744"/>
    <w:rsid w:val="004E0999"/>
    <w:rsid w:val="004E471E"/>
    <w:rsid w:val="004E627C"/>
    <w:rsid w:val="004F03F6"/>
    <w:rsid w:val="004F0961"/>
    <w:rsid w:val="004F162B"/>
    <w:rsid w:val="004F6857"/>
    <w:rsid w:val="004F7D82"/>
    <w:rsid w:val="00502A26"/>
    <w:rsid w:val="00503E2D"/>
    <w:rsid w:val="0051282B"/>
    <w:rsid w:val="00515B53"/>
    <w:rsid w:val="00516A9A"/>
    <w:rsid w:val="00521C9E"/>
    <w:rsid w:val="00522157"/>
    <w:rsid w:val="005335FB"/>
    <w:rsid w:val="00540ACD"/>
    <w:rsid w:val="0054181E"/>
    <w:rsid w:val="00547F67"/>
    <w:rsid w:val="005522B2"/>
    <w:rsid w:val="00563923"/>
    <w:rsid w:val="0056547A"/>
    <w:rsid w:val="005657BE"/>
    <w:rsid w:val="00566F95"/>
    <w:rsid w:val="005740D3"/>
    <w:rsid w:val="00593867"/>
    <w:rsid w:val="00595FA6"/>
    <w:rsid w:val="00597DAD"/>
    <w:rsid w:val="005A28CD"/>
    <w:rsid w:val="005C0F3A"/>
    <w:rsid w:val="005C3AC0"/>
    <w:rsid w:val="005C6209"/>
    <w:rsid w:val="005D25D6"/>
    <w:rsid w:val="005D37F0"/>
    <w:rsid w:val="005D7A16"/>
    <w:rsid w:val="005E052D"/>
    <w:rsid w:val="005F3513"/>
    <w:rsid w:val="005F353F"/>
    <w:rsid w:val="00602C4B"/>
    <w:rsid w:val="00602C66"/>
    <w:rsid w:val="00605C35"/>
    <w:rsid w:val="00613258"/>
    <w:rsid w:val="00613FE9"/>
    <w:rsid w:val="00614BCE"/>
    <w:rsid w:val="00625D87"/>
    <w:rsid w:val="00626658"/>
    <w:rsid w:val="006303E3"/>
    <w:rsid w:val="00630CE9"/>
    <w:rsid w:val="00634CF7"/>
    <w:rsid w:val="00635561"/>
    <w:rsid w:val="006404C7"/>
    <w:rsid w:val="0064365E"/>
    <w:rsid w:val="0065043C"/>
    <w:rsid w:val="0065133D"/>
    <w:rsid w:val="00651D97"/>
    <w:rsid w:val="0065665E"/>
    <w:rsid w:val="00660E7B"/>
    <w:rsid w:val="00665679"/>
    <w:rsid w:val="00670DF4"/>
    <w:rsid w:val="006717B6"/>
    <w:rsid w:val="0067367A"/>
    <w:rsid w:val="00674884"/>
    <w:rsid w:val="006757C6"/>
    <w:rsid w:val="00684362"/>
    <w:rsid w:val="00684BF3"/>
    <w:rsid w:val="0068721C"/>
    <w:rsid w:val="00691E9D"/>
    <w:rsid w:val="00692523"/>
    <w:rsid w:val="00692901"/>
    <w:rsid w:val="00694F5C"/>
    <w:rsid w:val="0069610D"/>
    <w:rsid w:val="00696696"/>
    <w:rsid w:val="006A00E6"/>
    <w:rsid w:val="006A22C1"/>
    <w:rsid w:val="006A2401"/>
    <w:rsid w:val="006A3CAB"/>
    <w:rsid w:val="006A407B"/>
    <w:rsid w:val="006A76E9"/>
    <w:rsid w:val="006B2A40"/>
    <w:rsid w:val="006B3A68"/>
    <w:rsid w:val="006C0A10"/>
    <w:rsid w:val="006C50A0"/>
    <w:rsid w:val="006D0E8F"/>
    <w:rsid w:val="006D2422"/>
    <w:rsid w:val="006D428A"/>
    <w:rsid w:val="006D43BC"/>
    <w:rsid w:val="006D6868"/>
    <w:rsid w:val="006D76F4"/>
    <w:rsid w:val="006E486D"/>
    <w:rsid w:val="006E5478"/>
    <w:rsid w:val="006E7D6A"/>
    <w:rsid w:val="006F2A2C"/>
    <w:rsid w:val="006F726F"/>
    <w:rsid w:val="00700CF4"/>
    <w:rsid w:val="00700E9F"/>
    <w:rsid w:val="00701F72"/>
    <w:rsid w:val="00702BB8"/>
    <w:rsid w:val="007032F9"/>
    <w:rsid w:val="00704FB1"/>
    <w:rsid w:val="00705410"/>
    <w:rsid w:val="00712329"/>
    <w:rsid w:val="00712D52"/>
    <w:rsid w:val="00713FA9"/>
    <w:rsid w:val="00714D3B"/>
    <w:rsid w:val="007159C5"/>
    <w:rsid w:val="00716470"/>
    <w:rsid w:val="00717EAF"/>
    <w:rsid w:val="00720B54"/>
    <w:rsid w:val="00723444"/>
    <w:rsid w:val="00723F02"/>
    <w:rsid w:val="00724497"/>
    <w:rsid w:val="00726073"/>
    <w:rsid w:val="007262DB"/>
    <w:rsid w:val="00730F6F"/>
    <w:rsid w:val="007327C2"/>
    <w:rsid w:val="00735D65"/>
    <w:rsid w:val="0074200C"/>
    <w:rsid w:val="00745275"/>
    <w:rsid w:val="00746C47"/>
    <w:rsid w:val="007505DF"/>
    <w:rsid w:val="007648D3"/>
    <w:rsid w:val="00773F84"/>
    <w:rsid w:val="007857D3"/>
    <w:rsid w:val="00786873"/>
    <w:rsid w:val="007871C4"/>
    <w:rsid w:val="00787E82"/>
    <w:rsid w:val="00791E9E"/>
    <w:rsid w:val="0079272C"/>
    <w:rsid w:val="00795622"/>
    <w:rsid w:val="007A0F28"/>
    <w:rsid w:val="007A5446"/>
    <w:rsid w:val="007A5FCF"/>
    <w:rsid w:val="007A5FDD"/>
    <w:rsid w:val="007C2777"/>
    <w:rsid w:val="007C3045"/>
    <w:rsid w:val="007C3495"/>
    <w:rsid w:val="007C550F"/>
    <w:rsid w:val="007C7241"/>
    <w:rsid w:val="007D4D18"/>
    <w:rsid w:val="007D6020"/>
    <w:rsid w:val="007E09BF"/>
    <w:rsid w:val="007E20CC"/>
    <w:rsid w:val="007E2604"/>
    <w:rsid w:val="007E57E4"/>
    <w:rsid w:val="007E7918"/>
    <w:rsid w:val="00804756"/>
    <w:rsid w:val="00805FCD"/>
    <w:rsid w:val="008116B1"/>
    <w:rsid w:val="00816568"/>
    <w:rsid w:val="00821514"/>
    <w:rsid w:val="00821C85"/>
    <w:rsid w:val="00824382"/>
    <w:rsid w:val="00825DCE"/>
    <w:rsid w:val="0082704B"/>
    <w:rsid w:val="00830539"/>
    <w:rsid w:val="008320A0"/>
    <w:rsid w:val="00833B8F"/>
    <w:rsid w:val="008415ED"/>
    <w:rsid w:val="00843BED"/>
    <w:rsid w:val="008472D1"/>
    <w:rsid w:val="008615E7"/>
    <w:rsid w:val="00863115"/>
    <w:rsid w:val="00867BC6"/>
    <w:rsid w:val="00881849"/>
    <w:rsid w:val="00882FD1"/>
    <w:rsid w:val="008835D6"/>
    <w:rsid w:val="0088392C"/>
    <w:rsid w:val="00885797"/>
    <w:rsid w:val="00896225"/>
    <w:rsid w:val="00896F97"/>
    <w:rsid w:val="008A3067"/>
    <w:rsid w:val="008A76D8"/>
    <w:rsid w:val="008A7A73"/>
    <w:rsid w:val="008B268B"/>
    <w:rsid w:val="008B5069"/>
    <w:rsid w:val="008B6A64"/>
    <w:rsid w:val="008C213A"/>
    <w:rsid w:val="008C2B82"/>
    <w:rsid w:val="008C33C6"/>
    <w:rsid w:val="008C36CC"/>
    <w:rsid w:val="008D558F"/>
    <w:rsid w:val="008D7CBA"/>
    <w:rsid w:val="008E5AA5"/>
    <w:rsid w:val="008E68F8"/>
    <w:rsid w:val="008F024D"/>
    <w:rsid w:val="008F19F1"/>
    <w:rsid w:val="008F316B"/>
    <w:rsid w:val="008F3469"/>
    <w:rsid w:val="009001B0"/>
    <w:rsid w:val="00904FCA"/>
    <w:rsid w:val="0090732F"/>
    <w:rsid w:val="00914991"/>
    <w:rsid w:val="009163BB"/>
    <w:rsid w:val="009271E2"/>
    <w:rsid w:val="0093094B"/>
    <w:rsid w:val="009319EF"/>
    <w:rsid w:val="00933E38"/>
    <w:rsid w:val="00934069"/>
    <w:rsid w:val="00936F49"/>
    <w:rsid w:val="009448E0"/>
    <w:rsid w:val="00950154"/>
    <w:rsid w:val="00951853"/>
    <w:rsid w:val="00951D62"/>
    <w:rsid w:val="009605F9"/>
    <w:rsid w:val="0096062A"/>
    <w:rsid w:val="00967D67"/>
    <w:rsid w:val="009712C9"/>
    <w:rsid w:val="0098047E"/>
    <w:rsid w:val="00986EE3"/>
    <w:rsid w:val="0099188D"/>
    <w:rsid w:val="009B117E"/>
    <w:rsid w:val="009B1C1F"/>
    <w:rsid w:val="009B3BBF"/>
    <w:rsid w:val="009C1A40"/>
    <w:rsid w:val="009C218B"/>
    <w:rsid w:val="009C4A0C"/>
    <w:rsid w:val="009D23EA"/>
    <w:rsid w:val="009D29C6"/>
    <w:rsid w:val="009D7DEA"/>
    <w:rsid w:val="009D7EA9"/>
    <w:rsid w:val="009E0909"/>
    <w:rsid w:val="009E1098"/>
    <w:rsid w:val="009E24C1"/>
    <w:rsid w:val="009E29D6"/>
    <w:rsid w:val="009F0D3C"/>
    <w:rsid w:val="009F51E0"/>
    <w:rsid w:val="00A003B2"/>
    <w:rsid w:val="00A07ED2"/>
    <w:rsid w:val="00A14FD3"/>
    <w:rsid w:val="00A20C14"/>
    <w:rsid w:val="00A24CEE"/>
    <w:rsid w:val="00A276A8"/>
    <w:rsid w:val="00A27BD9"/>
    <w:rsid w:val="00A302D4"/>
    <w:rsid w:val="00A36850"/>
    <w:rsid w:val="00A36FD2"/>
    <w:rsid w:val="00A37758"/>
    <w:rsid w:val="00A405BE"/>
    <w:rsid w:val="00A57C66"/>
    <w:rsid w:val="00A61D5E"/>
    <w:rsid w:val="00A65117"/>
    <w:rsid w:val="00A65919"/>
    <w:rsid w:val="00A669B7"/>
    <w:rsid w:val="00A66A41"/>
    <w:rsid w:val="00A71A65"/>
    <w:rsid w:val="00A74AF5"/>
    <w:rsid w:val="00A82650"/>
    <w:rsid w:val="00A8513B"/>
    <w:rsid w:val="00A85561"/>
    <w:rsid w:val="00A902FA"/>
    <w:rsid w:val="00A9542E"/>
    <w:rsid w:val="00A9650C"/>
    <w:rsid w:val="00AA228F"/>
    <w:rsid w:val="00AB4724"/>
    <w:rsid w:val="00AC06A6"/>
    <w:rsid w:val="00AC0C44"/>
    <w:rsid w:val="00AC29A6"/>
    <w:rsid w:val="00AC3A76"/>
    <w:rsid w:val="00AD3301"/>
    <w:rsid w:val="00AD5E52"/>
    <w:rsid w:val="00AD70EA"/>
    <w:rsid w:val="00AD79BE"/>
    <w:rsid w:val="00AF3B90"/>
    <w:rsid w:val="00AF51B8"/>
    <w:rsid w:val="00B05A7C"/>
    <w:rsid w:val="00B07554"/>
    <w:rsid w:val="00B075DE"/>
    <w:rsid w:val="00B10619"/>
    <w:rsid w:val="00B15DF2"/>
    <w:rsid w:val="00B1722A"/>
    <w:rsid w:val="00B2462C"/>
    <w:rsid w:val="00B26251"/>
    <w:rsid w:val="00B27925"/>
    <w:rsid w:val="00B3111E"/>
    <w:rsid w:val="00B31C24"/>
    <w:rsid w:val="00B331DD"/>
    <w:rsid w:val="00B33764"/>
    <w:rsid w:val="00B4655C"/>
    <w:rsid w:val="00B50F4C"/>
    <w:rsid w:val="00B51A2B"/>
    <w:rsid w:val="00B51E16"/>
    <w:rsid w:val="00B5449B"/>
    <w:rsid w:val="00B616F4"/>
    <w:rsid w:val="00B61ECF"/>
    <w:rsid w:val="00B638D4"/>
    <w:rsid w:val="00B72233"/>
    <w:rsid w:val="00B7332F"/>
    <w:rsid w:val="00B77A2B"/>
    <w:rsid w:val="00B82BC1"/>
    <w:rsid w:val="00B85EBF"/>
    <w:rsid w:val="00B92B73"/>
    <w:rsid w:val="00BA6E73"/>
    <w:rsid w:val="00BB2B46"/>
    <w:rsid w:val="00BB517A"/>
    <w:rsid w:val="00BB56E1"/>
    <w:rsid w:val="00BB798B"/>
    <w:rsid w:val="00BD024C"/>
    <w:rsid w:val="00BD4553"/>
    <w:rsid w:val="00BE552B"/>
    <w:rsid w:val="00BE6DC7"/>
    <w:rsid w:val="00BE71AC"/>
    <w:rsid w:val="00BF41CC"/>
    <w:rsid w:val="00BF4312"/>
    <w:rsid w:val="00BF445B"/>
    <w:rsid w:val="00BF771E"/>
    <w:rsid w:val="00BF7B87"/>
    <w:rsid w:val="00C0163F"/>
    <w:rsid w:val="00C0707E"/>
    <w:rsid w:val="00C11028"/>
    <w:rsid w:val="00C1286C"/>
    <w:rsid w:val="00C1390F"/>
    <w:rsid w:val="00C17BAE"/>
    <w:rsid w:val="00C33E68"/>
    <w:rsid w:val="00C443E1"/>
    <w:rsid w:val="00C44803"/>
    <w:rsid w:val="00C47C66"/>
    <w:rsid w:val="00C52839"/>
    <w:rsid w:val="00C53329"/>
    <w:rsid w:val="00C6479F"/>
    <w:rsid w:val="00C66BAD"/>
    <w:rsid w:val="00C702D1"/>
    <w:rsid w:val="00C750EB"/>
    <w:rsid w:val="00C90BB2"/>
    <w:rsid w:val="00C923CC"/>
    <w:rsid w:val="00C950B4"/>
    <w:rsid w:val="00C95654"/>
    <w:rsid w:val="00C95B4F"/>
    <w:rsid w:val="00CA1B77"/>
    <w:rsid w:val="00CA289B"/>
    <w:rsid w:val="00CA3B3E"/>
    <w:rsid w:val="00CB299B"/>
    <w:rsid w:val="00CB3797"/>
    <w:rsid w:val="00CB4105"/>
    <w:rsid w:val="00CB5D5A"/>
    <w:rsid w:val="00CB62D7"/>
    <w:rsid w:val="00CC18E2"/>
    <w:rsid w:val="00CC2AE0"/>
    <w:rsid w:val="00CC36EA"/>
    <w:rsid w:val="00CC39C5"/>
    <w:rsid w:val="00CC6B4A"/>
    <w:rsid w:val="00CD2A30"/>
    <w:rsid w:val="00CD5935"/>
    <w:rsid w:val="00CE0BF0"/>
    <w:rsid w:val="00CE5521"/>
    <w:rsid w:val="00CF30A3"/>
    <w:rsid w:val="00CF400F"/>
    <w:rsid w:val="00CF41D8"/>
    <w:rsid w:val="00CF65F4"/>
    <w:rsid w:val="00D02AF6"/>
    <w:rsid w:val="00D07FF8"/>
    <w:rsid w:val="00D152DC"/>
    <w:rsid w:val="00D23272"/>
    <w:rsid w:val="00D256BA"/>
    <w:rsid w:val="00D25792"/>
    <w:rsid w:val="00D311C7"/>
    <w:rsid w:val="00D33186"/>
    <w:rsid w:val="00D331F1"/>
    <w:rsid w:val="00D33BA9"/>
    <w:rsid w:val="00D42BCC"/>
    <w:rsid w:val="00D5050B"/>
    <w:rsid w:val="00D51108"/>
    <w:rsid w:val="00D53C8F"/>
    <w:rsid w:val="00D56476"/>
    <w:rsid w:val="00D61DA5"/>
    <w:rsid w:val="00D64F8B"/>
    <w:rsid w:val="00D65280"/>
    <w:rsid w:val="00D67906"/>
    <w:rsid w:val="00D730D4"/>
    <w:rsid w:val="00D739AF"/>
    <w:rsid w:val="00D73CF0"/>
    <w:rsid w:val="00D90818"/>
    <w:rsid w:val="00D952B3"/>
    <w:rsid w:val="00DA1491"/>
    <w:rsid w:val="00DA47C0"/>
    <w:rsid w:val="00DA4B45"/>
    <w:rsid w:val="00DA582C"/>
    <w:rsid w:val="00DA6216"/>
    <w:rsid w:val="00DB12F4"/>
    <w:rsid w:val="00DB1FB1"/>
    <w:rsid w:val="00DB3233"/>
    <w:rsid w:val="00DC2046"/>
    <w:rsid w:val="00DD05F6"/>
    <w:rsid w:val="00DD5AAE"/>
    <w:rsid w:val="00DE01C5"/>
    <w:rsid w:val="00DE0A3E"/>
    <w:rsid w:val="00DE0E66"/>
    <w:rsid w:val="00DE34A4"/>
    <w:rsid w:val="00DF0896"/>
    <w:rsid w:val="00DF0DCB"/>
    <w:rsid w:val="00E00972"/>
    <w:rsid w:val="00E01A61"/>
    <w:rsid w:val="00E02542"/>
    <w:rsid w:val="00E06F11"/>
    <w:rsid w:val="00E127AA"/>
    <w:rsid w:val="00E13781"/>
    <w:rsid w:val="00E17158"/>
    <w:rsid w:val="00E176B2"/>
    <w:rsid w:val="00E22632"/>
    <w:rsid w:val="00E230B7"/>
    <w:rsid w:val="00E252A6"/>
    <w:rsid w:val="00E30B15"/>
    <w:rsid w:val="00E31314"/>
    <w:rsid w:val="00E32034"/>
    <w:rsid w:val="00E32F9C"/>
    <w:rsid w:val="00E352BB"/>
    <w:rsid w:val="00E36DEE"/>
    <w:rsid w:val="00E37765"/>
    <w:rsid w:val="00E41CB6"/>
    <w:rsid w:val="00E50F53"/>
    <w:rsid w:val="00E510CA"/>
    <w:rsid w:val="00E650EC"/>
    <w:rsid w:val="00E66224"/>
    <w:rsid w:val="00E72DC1"/>
    <w:rsid w:val="00E7495F"/>
    <w:rsid w:val="00E800ED"/>
    <w:rsid w:val="00E814E9"/>
    <w:rsid w:val="00E816C7"/>
    <w:rsid w:val="00E85C38"/>
    <w:rsid w:val="00E877EB"/>
    <w:rsid w:val="00E87DC0"/>
    <w:rsid w:val="00E87EC1"/>
    <w:rsid w:val="00E9450B"/>
    <w:rsid w:val="00E94BCA"/>
    <w:rsid w:val="00E97CA4"/>
    <w:rsid w:val="00EA12FC"/>
    <w:rsid w:val="00EA5229"/>
    <w:rsid w:val="00EB13B1"/>
    <w:rsid w:val="00EB6671"/>
    <w:rsid w:val="00EB7BC5"/>
    <w:rsid w:val="00EC5D84"/>
    <w:rsid w:val="00EC6710"/>
    <w:rsid w:val="00ED51DE"/>
    <w:rsid w:val="00EE3154"/>
    <w:rsid w:val="00EE360B"/>
    <w:rsid w:val="00EE53DD"/>
    <w:rsid w:val="00EE6A8F"/>
    <w:rsid w:val="00EF08C5"/>
    <w:rsid w:val="00EF3971"/>
    <w:rsid w:val="00EF4C73"/>
    <w:rsid w:val="00F007E4"/>
    <w:rsid w:val="00F06892"/>
    <w:rsid w:val="00F07A3F"/>
    <w:rsid w:val="00F15EBE"/>
    <w:rsid w:val="00F203E0"/>
    <w:rsid w:val="00F2585A"/>
    <w:rsid w:val="00F25992"/>
    <w:rsid w:val="00F279C8"/>
    <w:rsid w:val="00F300F9"/>
    <w:rsid w:val="00F31C0C"/>
    <w:rsid w:val="00F41A20"/>
    <w:rsid w:val="00F43366"/>
    <w:rsid w:val="00F436CF"/>
    <w:rsid w:val="00F46EBC"/>
    <w:rsid w:val="00F50631"/>
    <w:rsid w:val="00F52108"/>
    <w:rsid w:val="00F57C3A"/>
    <w:rsid w:val="00F6059C"/>
    <w:rsid w:val="00F6089F"/>
    <w:rsid w:val="00F616F8"/>
    <w:rsid w:val="00F640B2"/>
    <w:rsid w:val="00F6612A"/>
    <w:rsid w:val="00F71C66"/>
    <w:rsid w:val="00F80ACB"/>
    <w:rsid w:val="00F860F3"/>
    <w:rsid w:val="00F868EF"/>
    <w:rsid w:val="00F871D7"/>
    <w:rsid w:val="00F929CF"/>
    <w:rsid w:val="00FA3382"/>
    <w:rsid w:val="00FA47CA"/>
    <w:rsid w:val="00FA5D4E"/>
    <w:rsid w:val="00FB1F36"/>
    <w:rsid w:val="00FC657E"/>
    <w:rsid w:val="00FD3CD6"/>
    <w:rsid w:val="00FD59EA"/>
    <w:rsid w:val="00FF48B0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DE72"/>
  <w15:docId w15:val="{85506D9C-9686-42B2-9D1F-309198D0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18"/>
    <w:pPr>
      <w:spacing w:after="160" w:line="432" w:lineRule="auto"/>
      <w:ind w:left="-57" w:firstLine="505"/>
      <w:jc w:val="both"/>
    </w:p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link w:val="NormalWeb"/>
    <w:uiPriority w:val="99"/>
    <w:qFormat/>
    <w:locked/>
    <w:rsid w:val="0052681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F1888"/>
    <w:rPr>
      <w:rFonts w:asciiTheme="minorHAnsi" w:eastAsiaTheme="minorHAnsi" w:hAnsiTheme="minorHAnsi" w:cstheme="minorBidi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link w:val="NormalWebChar"/>
    <w:uiPriority w:val="99"/>
    <w:unhideWhenUsed/>
    <w:qFormat/>
    <w:rsid w:val="0052681C"/>
    <w:pPr>
      <w:spacing w:beforeAutospacing="1" w:afterAutospacing="1" w:line="240" w:lineRule="auto"/>
    </w:pPr>
    <w:rPr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List Paragraph1,Bullet1,Bullets,References,IBL List Paragraph,List Paragraph nowy,Resume Title"/>
    <w:basedOn w:val="Normal"/>
    <w:link w:val="ListParagraphChar"/>
    <w:uiPriority w:val="34"/>
    <w:qFormat/>
    <w:rsid w:val="0052681C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unhideWhenUsed/>
    <w:rsid w:val="00AF188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pPr>
      <w:suppressLineNumbers/>
      <w:ind w:left="340" w:hanging="340"/>
    </w:pPr>
    <w:rPr>
      <w:sz w:val="20"/>
      <w:szCs w:val="20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B85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BF771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03E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03E0"/>
    <w:rPr>
      <w:rFonts w:ascii="Consolas" w:hAnsi="Consola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42A54"/>
    <w:rPr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List Paragraph1 Char,Bullet1 Char,Bullets Char"/>
    <w:link w:val="ListParagraph"/>
    <w:uiPriority w:val="34"/>
    <w:locked/>
    <w:rsid w:val="009448E0"/>
  </w:style>
  <w:style w:type="paragraph" w:styleId="Header">
    <w:name w:val="header"/>
    <w:basedOn w:val="Normal"/>
    <w:link w:val="HeaderChar"/>
    <w:uiPriority w:val="99"/>
    <w:unhideWhenUsed/>
    <w:rsid w:val="00D73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9AF"/>
  </w:style>
  <w:style w:type="paragraph" w:styleId="Revision">
    <w:name w:val="Revision"/>
    <w:hidden/>
    <w:uiPriority w:val="99"/>
    <w:semiHidden/>
    <w:rsid w:val="00E87EC1"/>
    <w:pPr>
      <w:suppressAutoHyphens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F06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8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8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8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enovo\Downloads\DP_LIVE_22072023171548438.csv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msargsyan\AppData\Local\Microsoft\Windows\INetCache\Content.Outlook\E18IMJ1F\SME_2019-2022%20F%20new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msargsyan\Desktop\&#1329;&#1404;&#1377;&#1403;&#1377;&#1380;&#1408;&#1377;&#1398;&#1412;&#1398;&#1381;&#1408;\&#1405;&#1391;&#1405;&#1398;&#1377;&#1391;&#1398;&#1381;&#1408;&#1387;%20&#1390;&#1408;&#1377;&#1379;&#1387;&#1408;\Copy%20of%20SME_2019-2022%20F%20new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tamsargsyan\Desktop\&#1329;&#1404;&#1377;&#1403;&#1377;&#1380;&#1408;&#1377;&#1398;&#1412;&#1398;&#1381;&#1408;\&#1405;&#1391;&#1405;&#1398;&#1377;&#1391;&#1398;&#1381;&#1408;&#1387;%20&#1390;&#1408;&#1377;&#1379;&#1387;&#1408;\Copy%20of%20SME_2019-2022%20F%20new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sz="1200"/>
              <a:t>Գրաֆիկ </a:t>
            </a:r>
            <a:r>
              <a:rPr lang="en-US" sz="1200"/>
              <a:t>1. </a:t>
            </a:r>
            <a:r>
              <a:rPr lang="hy-AM" sz="1200"/>
              <a:t>ՓՄՁ սուբյեկտների ստեղծած աշխատատեղերի տեսակարար կշիռը </a:t>
            </a:r>
            <a:r>
              <a:rPr lang="en-US" sz="1200"/>
              <a:t>2020 </a:t>
            </a:r>
            <a:r>
              <a:rPr lang="hy-AM" sz="1200"/>
              <a:t>թվականի դրությամբ</a:t>
            </a:r>
            <a:r>
              <a:rPr lang="en-US" sz="1200"/>
              <a:t> </a:t>
            </a:r>
            <a:r>
              <a:rPr lang="ru-RU" sz="1200"/>
              <a:t>(</a:t>
            </a:r>
            <a:r>
              <a:rPr lang="en-US" sz="1200"/>
              <a:t>%</a:t>
            </a:r>
            <a:r>
              <a:rPr lang="ru-RU" sz="1200"/>
              <a:t>)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08347422829815"/>
          <c:y val="0.19482837972718198"/>
          <c:w val="0.81052052821339327"/>
          <c:h val="0.59186869246977936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Sheet1!$B$5</c:f>
              <c:strCache>
                <c:ptCount val="1"/>
                <c:pt idx="0">
                  <c:v>Խոշոր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Sheet1!$A$6:$A$11</c:f>
              <c:strCache>
                <c:ptCount val="6"/>
                <c:pt idx="0">
                  <c:v>Բելգիա</c:v>
                </c:pt>
                <c:pt idx="1">
                  <c:v>Բուլղարիա</c:v>
                </c:pt>
                <c:pt idx="2">
                  <c:v>Էստոնիա</c:v>
                </c:pt>
                <c:pt idx="3">
                  <c:v>Ճապոնիա</c:v>
                </c:pt>
                <c:pt idx="4">
                  <c:v>Պորտուգալիա</c:v>
                </c:pt>
                <c:pt idx="5">
                  <c:v>Հայաստան</c:v>
                </c:pt>
              </c:strCache>
            </c:strRef>
          </c:cat>
          <c:val>
            <c:numRef>
              <c:f>Sheet1!$B$6:$B$11</c:f>
              <c:numCache>
                <c:formatCode>0</c:formatCode>
                <c:ptCount val="6"/>
                <c:pt idx="0">
                  <c:v>51.912049535708682</c:v>
                </c:pt>
                <c:pt idx="1">
                  <c:v>37.016141410537756</c:v>
                </c:pt>
                <c:pt idx="2">
                  <c:v>22.483047898503699</c:v>
                </c:pt>
                <c:pt idx="3">
                  <c:v>37.382942176546997</c:v>
                </c:pt>
                <c:pt idx="4">
                  <c:v>25.03100732210552</c:v>
                </c:pt>
                <c:pt idx="5">
                  <c:v>31.281305494427698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2B-4666-B969-B6BBA3037411}"/>
            </c:ext>
          </c:extLst>
        </c:ser>
        <c:ser>
          <c:idx val="1"/>
          <c:order val="1"/>
          <c:tx>
            <c:strRef>
              <c:f>Sheet1!$C$5</c:f>
              <c:strCache>
                <c:ptCount val="1"/>
                <c:pt idx="0">
                  <c:v>ՓՄՁ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Sheet1!$A$6:$A$11</c:f>
              <c:strCache>
                <c:ptCount val="6"/>
                <c:pt idx="0">
                  <c:v>Բելգիա</c:v>
                </c:pt>
                <c:pt idx="1">
                  <c:v>Բուլղարիա</c:v>
                </c:pt>
                <c:pt idx="2">
                  <c:v>Էստոնիա</c:v>
                </c:pt>
                <c:pt idx="3">
                  <c:v>Ճապոնիա</c:v>
                </c:pt>
                <c:pt idx="4">
                  <c:v>Պորտուգալիա</c:v>
                </c:pt>
                <c:pt idx="5">
                  <c:v>Հայաստան</c:v>
                </c:pt>
              </c:strCache>
            </c:strRef>
          </c:cat>
          <c:val>
            <c:numRef>
              <c:f>Sheet1!$C$6:$C$11</c:f>
              <c:numCache>
                <c:formatCode>0</c:formatCode>
                <c:ptCount val="6"/>
                <c:pt idx="0">
                  <c:v>48.087950464291318</c:v>
                </c:pt>
                <c:pt idx="1">
                  <c:v>62.983858589462244</c:v>
                </c:pt>
                <c:pt idx="2">
                  <c:v>77.516952101496301</c:v>
                </c:pt>
                <c:pt idx="3">
                  <c:v>62.617057823453003</c:v>
                </c:pt>
                <c:pt idx="4">
                  <c:v>74.968992677894477</c:v>
                </c:pt>
                <c:pt idx="5">
                  <c:v>68.718694505572302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2B-4666-B969-B6BBA303741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22819000"/>
        <c:axId val="422818608"/>
      </c:barChart>
      <c:catAx>
        <c:axId val="4228190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422818608"/>
        <c:crosses val="autoZero"/>
        <c:auto val="1"/>
        <c:lblAlgn val="ctr"/>
        <c:lblOffset val="100"/>
        <c:noMultiLvlLbl val="0"/>
      </c:catAx>
      <c:valAx>
        <c:axId val="4228186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422819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GHEA Grapalat" panose="02000506050000020003" pitchFamily="50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sz="1200"/>
              <a:t>Գծապատկեր</a:t>
            </a:r>
            <a:r>
              <a:rPr lang="hy-AM" sz="1200" baseline="0"/>
              <a:t> 1․ </a:t>
            </a:r>
            <a:r>
              <a:rPr lang="hy-AM" sz="1200"/>
              <a:t>ՓՄՁ սուբյեկտների 1 վարկի միջին արժեքը</a:t>
            </a:r>
            <a:r>
              <a:rPr lang="en-US" sz="1200"/>
              <a:t> </a:t>
            </a:r>
            <a:r>
              <a:rPr lang="ru-RU" sz="1200"/>
              <a:t>(</a:t>
            </a:r>
            <a:r>
              <a:rPr lang="hy-AM" sz="1200"/>
              <a:t>հազ․</a:t>
            </a:r>
            <a:r>
              <a:rPr lang="hy-AM" sz="1200" baseline="0"/>
              <a:t> դրամ</a:t>
            </a:r>
            <a:r>
              <a:rPr lang="ru-RU" sz="1200"/>
              <a:t>)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Total!$H$5</c:f>
              <c:strCache>
                <c:ptCount val="1"/>
                <c:pt idx="0">
                  <c:v>Միջին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2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Total!$I$4:$M$4</c:f>
              <c:strCache>
                <c:ptCount val="5"/>
                <c:pt idx="0">
                  <c:v>2019-12</c:v>
                </c:pt>
                <c:pt idx="1">
                  <c:v>2020-12</c:v>
                </c:pt>
                <c:pt idx="2">
                  <c:v>2021-12</c:v>
                </c:pt>
                <c:pt idx="3">
                  <c:v>2022-08</c:v>
                </c:pt>
                <c:pt idx="4">
                  <c:v>2022-10</c:v>
                </c:pt>
              </c:strCache>
            </c:strRef>
          </c:cat>
          <c:val>
            <c:numRef>
              <c:f>Total!$I$5:$M$5</c:f>
              <c:numCache>
                <c:formatCode>_(* #,##0_);_(* \(#,##0\);_(* "-"??_);_(@_)</c:formatCode>
                <c:ptCount val="5"/>
                <c:pt idx="0">
                  <c:v>83526.319615184693</c:v>
                </c:pt>
                <c:pt idx="1">
                  <c:v>87261.621498886874</c:v>
                </c:pt>
                <c:pt idx="2">
                  <c:v>75675.936257912501</c:v>
                </c:pt>
                <c:pt idx="3">
                  <c:v>75972.360789929444</c:v>
                </c:pt>
                <c:pt idx="4">
                  <c:v>75923.498845837064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1F-46ED-8AE2-15491D137110}"/>
            </c:ext>
          </c:extLst>
        </c:ser>
        <c:ser>
          <c:idx val="1"/>
          <c:order val="1"/>
          <c:tx>
            <c:strRef>
              <c:f>Total!$H$6</c:f>
              <c:strCache>
                <c:ptCount val="1"/>
                <c:pt idx="0">
                  <c:v>Փոքր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2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Total!$I$4:$M$4</c:f>
              <c:strCache>
                <c:ptCount val="5"/>
                <c:pt idx="0">
                  <c:v>2019-12</c:v>
                </c:pt>
                <c:pt idx="1">
                  <c:v>2020-12</c:v>
                </c:pt>
                <c:pt idx="2">
                  <c:v>2021-12</c:v>
                </c:pt>
                <c:pt idx="3">
                  <c:v>2022-08</c:v>
                </c:pt>
                <c:pt idx="4">
                  <c:v>2022-10</c:v>
                </c:pt>
              </c:strCache>
            </c:strRef>
          </c:cat>
          <c:val>
            <c:numRef>
              <c:f>Total!$I$6:$M$6</c:f>
              <c:numCache>
                <c:formatCode>_(* #,##0_);_(* \(#,##0\);_(* "-"??_);_(@_)</c:formatCode>
                <c:ptCount val="5"/>
                <c:pt idx="0">
                  <c:v>27369.314493019541</c:v>
                </c:pt>
                <c:pt idx="1">
                  <c:v>31034.930881965258</c:v>
                </c:pt>
                <c:pt idx="2">
                  <c:v>29171.422530593383</c:v>
                </c:pt>
                <c:pt idx="3">
                  <c:v>28516.096170876415</c:v>
                </c:pt>
                <c:pt idx="4">
                  <c:v>29122.514365169278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1F-46ED-8AE2-15491D137110}"/>
            </c:ext>
          </c:extLst>
        </c:ser>
        <c:ser>
          <c:idx val="2"/>
          <c:order val="2"/>
          <c:tx>
            <c:strRef>
              <c:f>Total!$H$7</c:f>
              <c:strCache>
                <c:ptCount val="1"/>
                <c:pt idx="0">
                  <c:v>Գերփոքր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2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Total!$I$4:$M$4</c:f>
              <c:strCache>
                <c:ptCount val="5"/>
                <c:pt idx="0">
                  <c:v>2019-12</c:v>
                </c:pt>
                <c:pt idx="1">
                  <c:v>2020-12</c:v>
                </c:pt>
                <c:pt idx="2">
                  <c:v>2021-12</c:v>
                </c:pt>
                <c:pt idx="3">
                  <c:v>2022-08</c:v>
                </c:pt>
                <c:pt idx="4">
                  <c:v>2022-10</c:v>
                </c:pt>
              </c:strCache>
            </c:strRef>
          </c:cat>
          <c:val>
            <c:numRef>
              <c:f>Total!$I$7:$M$7</c:f>
              <c:numCache>
                <c:formatCode>_(* #,##0_);_(* \(#,##0\);_(* "-"??_);_(@_)</c:formatCode>
                <c:ptCount val="5"/>
                <c:pt idx="0">
                  <c:v>19967.733992450831</c:v>
                </c:pt>
                <c:pt idx="1">
                  <c:v>24196.325270342051</c:v>
                </c:pt>
                <c:pt idx="2">
                  <c:v>24114.226080489574</c:v>
                </c:pt>
                <c:pt idx="3">
                  <c:v>22398.85851684284</c:v>
                </c:pt>
                <c:pt idx="4">
                  <c:v>22642.896725758921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1F-46ED-8AE2-15491D1371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22815472"/>
        <c:axId val="422816256"/>
      </c:barChart>
      <c:catAx>
        <c:axId val="422815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422816256"/>
        <c:crosses val="autoZero"/>
        <c:auto val="1"/>
        <c:lblAlgn val="ctr"/>
        <c:lblOffset val="100"/>
        <c:noMultiLvlLbl val="0"/>
      </c:catAx>
      <c:valAx>
        <c:axId val="422816256"/>
        <c:scaling>
          <c:orientation val="minMax"/>
        </c:scaling>
        <c:delete val="1"/>
        <c:axPos val="l"/>
        <c:numFmt formatCode="_(* #,##0_);_(* \(#,##0\);_(* &quot;-&quot;??_);_(@_)" sourceLinked="1"/>
        <c:majorTickMark val="none"/>
        <c:minorTickMark val="none"/>
        <c:tickLblPos val="nextTo"/>
        <c:crossAx val="422815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GHEA Grapalat" panose="02000506050000020003" pitchFamily="50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2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sz="1100">
                <a:latin typeface="GHEA Grapalat" panose="02000506050000020003" pitchFamily="50" charset="0"/>
              </a:rPr>
              <a:t>ՓՄՁ-երին տրամադրվող վարկերի միջին տոկոսադրույքը </a:t>
            </a:r>
            <a:r>
              <a:rPr lang="en-US" sz="1100">
                <a:latin typeface="GHEA Grapalat" panose="02000506050000020003" pitchFamily="50" charset="0"/>
              </a:rPr>
              <a:t>(</a:t>
            </a:r>
            <a:r>
              <a:rPr lang="ru-RU" sz="1100">
                <a:latin typeface="GHEA Grapalat" panose="02000506050000020003" pitchFamily="50" charset="0"/>
              </a:rPr>
              <a:t>%</a:t>
            </a:r>
            <a:r>
              <a:rPr lang="en-US" sz="1100">
                <a:latin typeface="GHEA Grapalat" panose="02000506050000020003" pitchFamily="50" charset="0"/>
              </a:rPr>
              <a:t>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2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Sheet1!$F$21</c:f>
              <c:strCache>
                <c:ptCount val="1"/>
                <c:pt idx="0">
                  <c:v>Բելգիա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Sheet1!$G$20</c:f>
              <c:strCache>
                <c:ptCount val="1"/>
                <c:pt idx="0">
                  <c:v>Տոկոսադրույք</c:v>
                </c:pt>
              </c:strCache>
            </c:strRef>
          </c:cat>
          <c:val>
            <c:numRef>
              <c:f>Sheet1!$G$21</c:f>
              <c:numCache>
                <c:formatCode>General</c:formatCode>
                <c:ptCount val="1"/>
                <c:pt idx="0">
                  <c:v>1.55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4E-41AD-81C6-BBB71C9B3CB3}"/>
            </c:ext>
          </c:extLst>
        </c:ser>
        <c:ser>
          <c:idx val="1"/>
          <c:order val="1"/>
          <c:tx>
            <c:strRef>
              <c:f>Sheet1!$F$22</c:f>
              <c:strCache>
                <c:ptCount val="1"/>
                <c:pt idx="0">
                  <c:v>Էստոնիա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Sheet1!$G$20</c:f>
              <c:strCache>
                <c:ptCount val="1"/>
                <c:pt idx="0">
                  <c:v>Տոկոսադրույք</c:v>
                </c:pt>
              </c:strCache>
            </c:strRef>
          </c:cat>
          <c:val>
            <c:numRef>
              <c:f>Sheet1!$G$22</c:f>
              <c:numCache>
                <c:formatCode>General</c:formatCode>
                <c:ptCount val="1"/>
                <c:pt idx="0">
                  <c:v>4.08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4E-41AD-81C6-BBB71C9B3CB3}"/>
            </c:ext>
          </c:extLst>
        </c:ser>
        <c:ser>
          <c:idx val="2"/>
          <c:order val="2"/>
          <c:tx>
            <c:strRef>
              <c:f>Sheet1!$F$23</c:f>
              <c:strCache>
                <c:ptCount val="1"/>
                <c:pt idx="0">
                  <c:v>Ֆրանսիա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Sheet1!$G$20</c:f>
              <c:strCache>
                <c:ptCount val="1"/>
                <c:pt idx="0">
                  <c:v>Տոկոսադրույք</c:v>
                </c:pt>
              </c:strCache>
            </c:strRef>
          </c:cat>
          <c:val>
            <c:numRef>
              <c:f>Sheet1!$G$23</c:f>
              <c:numCache>
                <c:formatCode>General</c:formatCode>
                <c:ptCount val="1"/>
                <c:pt idx="0">
                  <c:v>1.03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4E-41AD-81C6-BBB71C9B3CB3}"/>
            </c:ext>
          </c:extLst>
        </c:ser>
        <c:ser>
          <c:idx val="3"/>
          <c:order val="3"/>
          <c:tx>
            <c:strRef>
              <c:f>Sheet1!$F$24</c:f>
              <c:strCache>
                <c:ptCount val="1"/>
                <c:pt idx="0">
                  <c:v>Հունաստան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Sheet1!$G$20</c:f>
              <c:strCache>
                <c:ptCount val="1"/>
                <c:pt idx="0">
                  <c:v>Տոկոսադրույք</c:v>
                </c:pt>
              </c:strCache>
            </c:strRef>
          </c:cat>
          <c:val>
            <c:numRef>
              <c:f>Sheet1!$G$24</c:f>
              <c:numCache>
                <c:formatCode>General</c:formatCode>
                <c:ptCount val="1"/>
                <c:pt idx="0">
                  <c:v>3.94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14E-41AD-81C6-BBB71C9B3CB3}"/>
            </c:ext>
          </c:extLst>
        </c:ser>
        <c:ser>
          <c:idx val="4"/>
          <c:order val="4"/>
          <c:tx>
            <c:strRef>
              <c:f>Sheet1!$F$25</c:f>
              <c:strCache>
                <c:ptCount val="1"/>
                <c:pt idx="0">
                  <c:v>Բելառուս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Sheet1!$G$20</c:f>
              <c:strCache>
                <c:ptCount val="1"/>
                <c:pt idx="0">
                  <c:v>Տոկոսադրույք</c:v>
                </c:pt>
              </c:strCache>
            </c:strRef>
          </c:cat>
          <c:val>
            <c:numRef>
              <c:f>Sheet1!$G$25</c:f>
              <c:numCache>
                <c:formatCode>General</c:formatCode>
                <c:ptCount val="1"/>
                <c:pt idx="0">
                  <c:v>10.23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14E-41AD-81C6-BBB71C9B3CB3}"/>
            </c:ext>
          </c:extLst>
        </c:ser>
        <c:ser>
          <c:idx val="5"/>
          <c:order val="5"/>
          <c:tx>
            <c:strRef>
              <c:f>Sheet1!$F$26</c:f>
              <c:strCache>
                <c:ptCount val="1"/>
                <c:pt idx="0">
                  <c:v>Վրաստան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Sheet1!$G$20</c:f>
              <c:strCache>
                <c:ptCount val="1"/>
                <c:pt idx="0">
                  <c:v>Տոկոսադրույք</c:v>
                </c:pt>
              </c:strCache>
            </c:strRef>
          </c:cat>
          <c:val>
            <c:numRef>
              <c:f>Sheet1!$G$26</c:f>
              <c:numCache>
                <c:formatCode>General</c:formatCode>
                <c:ptCount val="1"/>
                <c:pt idx="0">
                  <c:v>9.3000000000000007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14E-41AD-81C6-BBB71C9B3CB3}"/>
            </c:ext>
          </c:extLst>
        </c:ser>
        <c:ser>
          <c:idx val="6"/>
          <c:order val="6"/>
          <c:tx>
            <c:strRef>
              <c:f>Sheet1!$F$27</c:f>
              <c:strCache>
                <c:ptCount val="1"/>
                <c:pt idx="0">
                  <c:v>Ղազախստան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Sheet1!$G$20</c:f>
              <c:strCache>
                <c:ptCount val="1"/>
                <c:pt idx="0">
                  <c:v>Տոկոսադրույք</c:v>
                </c:pt>
              </c:strCache>
            </c:strRef>
          </c:cat>
          <c:val>
            <c:numRef>
              <c:f>Sheet1!$G$27</c:f>
              <c:numCache>
                <c:formatCode>General</c:formatCode>
                <c:ptCount val="1"/>
                <c:pt idx="0">
                  <c:v>12.72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14E-41AD-81C6-BBB71C9B3CB3}"/>
            </c:ext>
          </c:extLst>
        </c:ser>
        <c:ser>
          <c:idx val="7"/>
          <c:order val="7"/>
          <c:tx>
            <c:strRef>
              <c:f>Sheet1!$F$28</c:f>
              <c:strCache>
                <c:ptCount val="1"/>
                <c:pt idx="0">
                  <c:v>Ռուսաստան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hade val="51000"/>
                    <a:satMod val="130000"/>
                  </a:schemeClr>
                </a:gs>
                <a:gs pos="80000">
                  <a:schemeClr val="accent2">
                    <a:lumMod val="60000"/>
                    <a:shade val="93000"/>
                    <a:satMod val="130000"/>
                  </a:schemeClr>
                </a:gs>
                <a:gs pos="100000">
                  <a:schemeClr val="accent2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Sheet1!$G$20</c:f>
              <c:strCache>
                <c:ptCount val="1"/>
                <c:pt idx="0">
                  <c:v>Տոկոսադրույք</c:v>
                </c:pt>
              </c:strCache>
            </c:strRef>
          </c:cat>
          <c:val>
            <c:numRef>
              <c:f>Sheet1!$G$28</c:f>
              <c:numCache>
                <c:formatCode>General</c:formatCode>
                <c:ptCount val="1"/>
                <c:pt idx="0">
                  <c:v>7.62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14E-41AD-81C6-BBB71C9B3CB3}"/>
            </c:ext>
          </c:extLst>
        </c:ser>
        <c:ser>
          <c:idx val="8"/>
          <c:order val="8"/>
          <c:tx>
            <c:strRef>
              <c:f>Sheet1!$F$29</c:f>
              <c:strCache>
                <c:ptCount val="1"/>
                <c:pt idx="0">
                  <c:v>Հայաստան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hade val="51000"/>
                    <a:satMod val="130000"/>
                  </a:schemeClr>
                </a:gs>
                <a:gs pos="80000">
                  <a:schemeClr val="accent3">
                    <a:lumMod val="60000"/>
                    <a:shade val="93000"/>
                    <a:satMod val="130000"/>
                  </a:schemeClr>
                </a:gs>
                <a:gs pos="100000">
                  <a:schemeClr val="accent3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Sheet1!$G$20</c:f>
              <c:strCache>
                <c:ptCount val="1"/>
                <c:pt idx="0">
                  <c:v>Տոկոսադրույք</c:v>
                </c:pt>
              </c:strCache>
            </c:strRef>
          </c:cat>
          <c:val>
            <c:numRef>
              <c:f>Sheet1!$G$29</c:f>
              <c:numCache>
                <c:formatCode>General</c:formatCode>
                <c:ptCount val="1"/>
                <c:pt idx="0">
                  <c:v>15.4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14E-41AD-81C6-BBB71C9B3CB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22817824"/>
        <c:axId val="422818216"/>
      </c:barChart>
      <c:catAx>
        <c:axId val="42281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2818216"/>
        <c:crosses val="autoZero"/>
        <c:auto val="1"/>
        <c:lblAlgn val="ctr"/>
        <c:lblOffset val="100"/>
        <c:noMultiLvlLbl val="0"/>
      </c:catAx>
      <c:valAx>
        <c:axId val="4228182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2281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"/>
          <c:y val="0.12188046485376167"/>
          <c:w val="1"/>
          <c:h val="0.111265262102716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2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2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r>
              <a:rPr lang="hy-AM" sz="1200">
                <a:latin typeface="GHEA Grapalat" panose="02000506050000020003" pitchFamily="50" charset="0"/>
              </a:rPr>
              <a:t>ՓՄՁ-երին տրամադրված չաշխատող վարկերի տեսակարար կշիռը </a:t>
            </a:r>
            <a:r>
              <a:rPr lang="en-US" sz="1200">
                <a:latin typeface="GHEA Grapalat" panose="02000506050000020003" pitchFamily="50" charset="0"/>
              </a:rPr>
              <a:t>(</a:t>
            </a:r>
            <a:r>
              <a:rPr lang="ru-RU" sz="1200">
                <a:latin typeface="GHEA Grapalat" panose="02000506050000020003" pitchFamily="50" charset="0"/>
              </a:rPr>
              <a:t>%</a:t>
            </a:r>
            <a:r>
              <a:rPr lang="en-US" sz="1200">
                <a:latin typeface="GHEA Grapalat" panose="02000506050000020003" pitchFamily="50" charset="0"/>
              </a:rPr>
              <a:t>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2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Sheet1!$F$8</c:f>
              <c:strCache>
                <c:ptCount val="1"/>
                <c:pt idx="0">
                  <c:v>Հայաստան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Sheet1!$G$7</c:f>
              <c:strCache>
                <c:ptCount val="1"/>
                <c:pt idx="0">
                  <c:v>Չաշխատող վարկեր (%)</c:v>
                </c:pt>
              </c:strCache>
            </c:strRef>
          </c:cat>
          <c:val>
            <c:numRef>
              <c:f>Sheet1!$G$8</c:f>
              <c:numCache>
                <c:formatCode>#,##0.00</c:formatCode>
                <c:ptCount val="1"/>
                <c:pt idx="0">
                  <c:v>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18-476D-9807-747D1FCC2ACE}"/>
            </c:ext>
          </c:extLst>
        </c:ser>
        <c:ser>
          <c:idx val="1"/>
          <c:order val="1"/>
          <c:tx>
            <c:strRef>
              <c:f>Sheet1!$F$9</c:f>
              <c:strCache>
                <c:ptCount val="1"/>
                <c:pt idx="0">
                  <c:v>Էստոնիա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Sheet1!$G$7</c:f>
              <c:strCache>
                <c:ptCount val="1"/>
                <c:pt idx="0">
                  <c:v>Չաշխատող վարկեր (%)</c:v>
                </c:pt>
              </c:strCache>
            </c:strRef>
          </c:cat>
          <c:val>
            <c:numRef>
              <c:f>Sheet1!$G$9</c:f>
              <c:numCache>
                <c:formatCode>#,##0.00</c:formatCode>
                <c:ptCount val="1"/>
                <c:pt idx="0">
                  <c:v>2.09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218-476D-9807-747D1FCC2ACE}"/>
            </c:ext>
          </c:extLst>
        </c:ser>
        <c:ser>
          <c:idx val="2"/>
          <c:order val="2"/>
          <c:tx>
            <c:strRef>
              <c:f>Sheet1!$F$10</c:f>
              <c:strCache>
                <c:ptCount val="1"/>
                <c:pt idx="0">
                  <c:v>Ֆրանսիա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Sheet1!$G$7</c:f>
              <c:strCache>
                <c:ptCount val="1"/>
                <c:pt idx="0">
                  <c:v>Չաշխատող վարկեր (%)</c:v>
                </c:pt>
              </c:strCache>
            </c:strRef>
          </c:cat>
          <c:val>
            <c:numRef>
              <c:f>Sheet1!$G$10</c:f>
              <c:numCache>
                <c:formatCode>General</c:formatCode>
                <c:ptCount val="1"/>
                <c:pt idx="0">
                  <c:v>2.38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218-476D-9807-747D1FCC2ACE}"/>
            </c:ext>
          </c:extLst>
        </c:ser>
        <c:ser>
          <c:idx val="3"/>
          <c:order val="3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Sheet1!$G$7</c:f>
              <c:strCache>
                <c:ptCount val="1"/>
                <c:pt idx="0">
                  <c:v>Չաշխատող վարկեր (%)</c:v>
                </c:pt>
              </c:strCache>
            </c:str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218-476D-9807-747D1FCC2ACE}"/>
            </c:ext>
          </c:extLst>
        </c:ser>
        <c:ser>
          <c:idx val="4"/>
          <c:order val="4"/>
          <c:tx>
            <c:strRef>
              <c:f>Sheet1!$F$11</c:f>
              <c:strCache>
                <c:ptCount val="1"/>
                <c:pt idx="0">
                  <c:v>Իսրայել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Sheet1!$G$7</c:f>
              <c:strCache>
                <c:ptCount val="1"/>
                <c:pt idx="0">
                  <c:v>Չաշխատող վարկեր (%)</c:v>
                </c:pt>
              </c:strCache>
            </c:strRef>
          </c:cat>
          <c:val>
            <c:numRef>
              <c:f>Sheet1!$G$11</c:f>
              <c:numCache>
                <c:formatCode>General</c:formatCode>
                <c:ptCount val="1"/>
                <c:pt idx="0">
                  <c:v>1.77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18-476D-9807-747D1FCC2ACE}"/>
            </c:ext>
          </c:extLst>
        </c:ser>
        <c:ser>
          <c:idx val="5"/>
          <c:order val="5"/>
          <c:tx>
            <c:strRef>
              <c:f>Sheet1!$F$12</c:f>
              <c:strCache>
                <c:ptCount val="1"/>
                <c:pt idx="0">
                  <c:v>Լատվիա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Sheet1!$G$7</c:f>
              <c:strCache>
                <c:ptCount val="1"/>
                <c:pt idx="0">
                  <c:v>Չաշխատող վարկեր (%)</c:v>
                </c:pt>
              </c:strCache>
            </c:strRef>
          </c:cat>
          <c:val>
            <c:numRef>
              <c:f>Sheet1!$G$12</c:f>
              <c:numCache>
                <c:formatCode>General</c:formatCode>
                <c:ptCount val="1"/>
                <c:pt idx="0">
                  <c:v>2.48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218-476D-9807-747D1FCC2ACE}"/>
            </c:ext>
          </c:extLst>
        </c:ser>
        <c:ser>
          <c:idx val="6"/>
          <c:order val="6"/>
          <c:tx>
            <c:strRef>
              <c:f>Sheet1!$F$13</c:f>
              <c:strCache>
                <c:ptCount val="1"/>
                <c:pt idx="0">
                  <c:v>Բելառուս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Sheet1!$G$7</c:f>
              <c:strCache>
                <c:ptCount val="1"/>
                <c:pt idx="0">
                  <c:v>Չաշխատող վարկեր (%)</c:v>
                </c:pt>
              </c:strCache>
            </c:strRef>
          </c:cat>
          <c:val>
            <c:numRef>
              <c:f>Sheet1!$G$13</c:f>
              <c:numCache>
                <c:formatCode>General</c:formatCode>
                <c:ptCount val="1"/>
                <c:pt idx="0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218-476D-9807-747D1FCC2ACE}"/>
            </c:ext>
          </c:extLst>
        </c:ser>
        <c:ser>
          <c:idx val="7"/>
          <c:order val="7"/>
          <c:tx>
            <c:strRef>
              <c:f>Sheet1!$F$14</c:f>
              <c:strCache>
                <c:ptCount val="1"/>
                <c:pt idx="0">
                  <c:v>Վրաստան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hade val="51000"/>
                    <a:satMod val="130000"/>
                  </a:schemeClr>
                </a:gs>
                <a:gs pos="80000">
                  <a:schemeClr val="accent2">
                    <a:lumMod val="60000"/>
                    <a:shade val="93000"/>
                    <a:satMod val="130000"/>
                  </a:schemeClr>
                </a:gs>
                <a:gs pos="100000">
                  <a:schemeClr val="accent2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Sheet1!$G$7</c:f>
              <c:strCache>
                <c:ptCount val="1"/>
                <c:pt idx="0">
                  <c:v>Չաշխատող վարկեր (%)</c:v>
                </c:pt>
              </c:strCache>
            </c:strRef>
          </c:cat>
          <c:val>
            <c:numRef>
              <c:f>Sheet1!$G$14</c:f>
              <c:numCache>
                <c:formatCode>General</c:formatCode>
                <c:ptCount val="1"/>
                <c:pt idx="0">
                  <c:v>9.8000000000000007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218-476D-9807-747D1FCC2ACE}"/>
            </c:ext>
          </c:extLst>
        </c:ser>
        <c:ser>
          <c:idx val="8"/>
          <c:order val="8"/>
          <c:tx>
            <c:strRef>
              <c:f>Sheet1!$F$15</c:f>
              <c:strCache>
                <c:ptCount val="1"/>
                <c:pt idx="0">
                  <c:v>Ղազախստան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hade val="51000"/>
                    <a:satMod val="130000"/>
                  </a:schemeClr>
                </a:gs>
                <a:gs pos="80000">
                  <a:schemeClr val="accent3">
                    <a:lumMod val="60000"/>
                    <a:shade val="93000"/>
                    <a:satMod val="130000"/>
                  </a:schemeClr>
                </a:gs>
                <a:gs pos="100000">
                  <a:schemeClr val="accent3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Sheet1!$G$7</c:f>
              <c:strCache>
                <c:ptCount val="1"/>
                <c:pt idx="0">
                  <c:v>Չաշխատող վարկեր (%)</c:v>
                </c:pt>
              </c:strCache>
            </c:strRef>
          </c:cat>
          <c:val>
            <c:numRef>
              <c:f>Sheet1!$G$15</c:f>
              <c:numCache>
                <c:formatCode>General</c:formatCode>
                <c:ptCount val="1"/>
                <c:pt idx="0">
                  <c:v>11.9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218-476D-9807-747D1FCC2ACE}"/>
            </c:ext>
          </c:extLst>
        </c:ser>
        <c:ser>
          <c:idx val="9"/>
          <c:order val="9"/>
          <c:tx>
            <c:strRef>
              <c:f>Sheet1!$F$16</c:f>
              <c:strCache>
                <c:ptCount val="1"/>
                <c:pt idx="0">
                  <c:v>Ռուսաստան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hade val="51000"/>
                    <a:satMod val="130000"/>
                  </a:schemeClr>
                </a:gs>
                <a:gs pos="80000">
                  <a:schemeClr val="accent4">
                    <a:lumMod val="60000"/>
                    <a:shade val="93000"/>
                    <a:satMod val="130000"/>
                  </a:schemeClr>
                </a:gs>
                <a:gs pos="100000">
                  <a:schemeClr val="accent4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GHEA Grapalat" panose="02000506050000020003" pitchFamily="50" charset="0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Sheet1!$G$7</c:f>
              <c:strCache>
                <c:ptCount val="1"/>
                <c:pt idx="0">
                  <c:v>Չաշխատող վարկեր (%)</c:v>
                </c:pt>
              </c:strCache>
            </c:strRef>
          </c:cat>
          <c:val>
            <c:numRef>
              <c:f>Sheet1!$G$16</c:f>
              <c:numCache>
                <c:formatCode>General</c:formatCode>
                <c:ptCount val="1"/>
                <c:pt idx="0">
                  <c:v>11.02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218-476D-9807-747D1FCC2AC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93297288"/>
        <c:axId val="493299640"/>
      </c:barChart>
      <c:catAx>
        <c:axId val="493297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493299640"/>
        <c:crosses val="autoZero"/>
        <c:auto val="1"/>
        <c:lblAlgn val="ctr"/>
        <c:lblOffset val="100"/>
        <c:noMultiLvlLbl val="0"/>
      </c:catAx>
      <c:valAx>
        <c:axId val="493299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GHEA Grapalat" panose="02000506050000020003" pitchFamily="50" charset="0"/>
                <a:ea typeface="+mn-ea"/>
                <a:cs typeface="+mn-cs"/>
              </a:defRPr>
            </a:pPr>
            <a:endParaRPr lang="en-US"/>
          </a:p>
        </c:txPr>
        <c:crossAx val="493297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4.1069518199239125E-2"/>
          <c:y val="0.88795719160959652"/>
          <c:w val="0.94857663883444898"/>
          <c:h val="0.112042808390403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2"/>
              </a:solidFill>
              <a:latin typeface="GHEA Grapalat" panose="02000506050000020003" pitchFamily="50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GHEA Grapalat" panose="02000506050000020003" pitchFamily="50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7ED7B-1783-4CC5-8087-C0175E2E1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3017</Words>
  <Characters>17202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Hripsime H. Hovhannisyan</dc:creator>
  <cp:keywords>https:/mul2.gov.am/tasks/931963/oneclick/06f23e8970adfc8f7a218fb8319a5b49fb948557755a6bdc56473ede318a2977.docx?token=c17b8983f63ed1cdb17c53741cdd136c</cp:keywords>
  <dc:description/>
  <cp:lastModifiedBy>Narine T. Haroyan</cp:lastModifiedBy>
  <cp:revision>4</cp:revision>
  <dcterms:created xsi:type="dcterms:W3CDTF">2024-03-11T16:43:00Z</dcterms:created>
  <dcterms:modified xsi:type="dcterms:W3CDTF">2024-03-11T17:08:00Z</dcterms:modified>
  <dc:language>en-US</dc:language>
</cp:coreProperties>
</file>