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A5" w:rsidRPr="00582678" w:rsidRDefault="001221A5" w:rsidP="00F72BF6">
      <w:pPr>
        <w:pStyle w:val="NoSpacing"/>
        <w:spacing w:line="360" w:lineRule="auto"/>
        <w:ind w:right="-330"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82678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1221A5" w:rsidRPr="00AD74D8" w:rsidRDefault="008C2FE3" w:rsidP="00AD74D8">
      <w:pPr>
        <w:shd w:val="clear" w:color="auto" w:fill="FFFFFF"/>
        <w:spacing w:line="360" w:lineRule="auto"/>
        <w:ind w:firstLine="426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58267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«</w:t>
      </w:r>
      <w:bookmarkStart w:id="0" w:name="_Hlk130222136"/>
      <w:r w:rsidR="00AD74D8" w:rsidRPr="00AD74D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ՏԵԽՆԻԿԱԿԱՆ ԿԱՆՈՆԱԿԱՐԳԵՐԻ ՊԱՀԱՆՋՆԵՐԻՆ ԱՐՏԱԴՐԱՆՔԻ ՀԱՄԱՊԱՏԱՍԽԱՆՈՒԹՅԱՆ ՆԿԱՏՄԱՄԲ</w:t>
      </w:r>
      <w:r w:rsidR="00AD74D8" w:rsidRPr="00AD74D8">
        <w:rPr>
          <w:rFonts w:cs="Calibri"/>
          <w:b/>
          <w:color w:val="000000"/>
          <w:sz w:val="24"/>
          <w:szCs w:val="24"/>
          <w:shd w:val="clear" w:color="auto" w:fill="FFFFFF"/>
          <w:lang w:val="hy-AM"/>
        </w:rPr>
        <w:t> </w:t>
      </w:r>
      <w:r w:rsidR="00AD74D8" w:rsidRPr="00AD74D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ՎԵՐԱՀՍԿՈՂՈՒԹՅԱՆ ԻՐԱԿԱՆԱՑՄԱՆ ՆՊԱՏԱԿՈՎ ՆՄՈՒՇԱՌՄԱՆ, ԻՆՉՊԵՍ ՆԱԵՎ ՓՈՐՁԱՆՄՈՒՇՆԵՐԻ ԳՆՄԱՆ ՖԻՆԱՆՍԱՎՈՐՄԱՆ, ԳՆՎԱԾ ԱՐՏԱԴՐԱՆՔԻ ՏՆՕՐԻՆՄԱՆ ԿԱՐԳԸ </w:t>
      </w:r>
      <w:bookmarkEnd w:id="0"/>
      <w:r w:rsidR="00AD74D8" w:rsidRPr="00AD74D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ՍԱՀՄԱՆԵԼՈՒ ԵՎ ՀԱՅԱՍՏԱՆԻ ՀԱՆՐԱՊԵՏՈՒԹՅԱՆ ԿԱՌԱՎԱՐՈՒԹՅԱՆ 2005 ԹՎԱԿԱՆԻ ՀՈՒՆԻՍԻ 16 N 895-Ն ՈՐՈՇՈՒՄԸ ՈՒԺԸ ԿՈՐՑՐԱԾ ՃԱՆԱՉԵԼՈՒ ՄԱՍԻՆ</w:t>
      </w:r>
      <w:r w:rsidRPr="00582678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="00974556" w:rsidRPr="00582678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r w:rsidRPr="00582678">
        <w:rPr>
          <w:rFonts w:ascii="GHEA Grapalat" w:hAnsi="GHEA Grapalat"/>
          <w:b/>
          <w:sz w:val="24"/>
          <w:szCs w:val="24"/>
          <w:lang w:val="hy-AM"/>
        </w:rPr>
        <w:t xml:space="preserve">ԿԱՌԱՎԱՐՈՒԹՅԱՆ ՈՐՈՇՄԱՆ </w:t>
      </w:r>
      <w:r w:rsidR="00BF4987" w:rsidRPr="00582678">
        <w:rPr>
          <w:rFonts w:ascii="GHEA Grapalat" w:hAnsi="GHEA Grapalat"/>
          <w:b/>
          <w:sz w:val="24"/>
          <w:szCs w:val="24"/>
          <w:lang w:val="hy-AM"/>
        </w:rPr>
        <w:t xml:space="preserve">ՆԱԽԱԳԾԻ </w:t>
      </w:r>
    </w:p>
    <w:p w:rsidR="00EB6094" w:rsidRPr="00582678" w:rsidRDefault="00EB6094" w:rsidP="00F72BF6">
      <w:pPr>
        <w:shd w:val="clear" w:color="auto" w:fill="FFFFFF"/>
        <w:spacing w:after="0" w:line="360" w:lineRule="auto"/>
        <w:ind w:right="-330" w:firstLine="426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:rsidR="002646F9" w:rsidRPr="00582678" w:rsidRDefault="001221A5" w:rsidP="00F72BF6">
      <w:pPr>
        <w:pStyle w:val="NormalWeb"/>
        <w:tabs>
          <w:tab w:val="left" w:pos="567"/>
        </w:tabs>
        <w:spacing w:before="0" w:beforeAutospacing="0" w:after="0" w:afterAutospacing="0" w:line="360" w:lineRule="auto"/>
        <w:ind w:right="95" w:firstLine="426"/>
        <w:jc w:val="both"/>
        <w:rPr>
          <w:rFonts w:ascii="GHEA Grapalat" w:hAnsi="GHEA Grapalat"/>
          <w:b/>
          <w:lang w:val="hy-AM"/>
        </w:rPr>
      </w:pPr>
      <w:r w:rsidRPr="00582678">
        <w:rPr>
          <w:rFonts w:ascii="GHEA Grapalat" w:hAnsi="GHEA Grapalat"/>
          <w:b/>
          <w:lang w:val="hy-AM"/>
        </w:rPr>
        <w:t>1. Ընթացիկ իրավիճակը և իրավական ակտի ընդունման անհրաժեշտությունը</w:t>
      </w:r>
    </w:p>
    <w:p w:rsidR="002A6DAF" w:rsidRPr="00153157" w:rsidRDefault="002A6DAF" w:rsidP="00F72BF6">
      <w:pPr>
        <w:spacing w:after="0" w:line="360" w:lineRule="auto"/>
        <w:ind w:firstLine="426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lang w:val="hy-AM"/>
        </w:rPr>
        <w:t xml:space="preserve">     </w:t>
      </w:r>
      <w:r w:rsidRPr="00153157">
        <w:rPr>
          <w:rFonts w:ascii="GHEA Grapalat" w:hAnsi="GHEA Grapalat"/>
          <w:bCs/>
          <w:sz w:val="24"/>
          <w:szCs w:val="24"/>
          <w:lang w:val="hy-AM"/>
        </w:rPr>
        <w:t xml:space="preserve">2023 թվականի </w:t>
      </w:r>
      <w:r w:rsidR="00B710F5">
        <w:rPr>
          <w:rFonts w:ascii="GHEA Grapalat" w:hAnsi="GHEA Grapalat"/>
          <w:bCs/>
          <w:sz w:val="24"/>
          <w:szCs w:val="24"/>
          <w:lang w:val="hy-AM"/>
        </w:rPr>
        <w:t>հոկտեմբերի 25</w:t>
      </w:r>
      <w:r w:rsidRPr="00153157">
        <w:rPr>
          <w:rFonts w:ascii="GHEA Grapalat" w:hAnsi="GHEA Grapalat"/>
          <w:bCs/>
          <w:sz w:val="24"/>
          <w:szCs w:val="24"/>
          <w:lang w:val="hy-AM"/>
        </w:rPr>
        <w:t xml:space="preserve">-ին Հայաստանի Հանրապետության Ազգային ժողովի կողմից </w:t>
      </w:r>
      <w:hyperlink r:id="rId5" w:anchor="r10183" w:tgtFrame="_new" w:history="1">
        <w:r w:rsidRPr="00153157">
          <w:rPr>
            <w:rFonts w:cs="Calibri"/>
            <w:bCs/>
            <w:sz w:val="24"/>
            <w:szCs w:val="24"/>
            <w:lang w:val="hy-AM"/>
          </w:rPr>
          <w:t> </w:t>
        </w:r>
        <w:r w:rsidRPr="00153157">
          <w:rPr>
            <w:rFonts w:ascii="GHEA Grapalat" w:hAnsi="GHEA Grapalat"/>
            <w:bCs/>
            <w:sz w:val="24"/>
            <w:szCs w:val="24"/>
            <w:lang w:val="hy-AM"/>
          </w:rPr>
          <w:t>ամբողջությամբ</w:t>
        </w:r>
      </w:hyperlink>
      <w:r w:rsidRPr="00153157">
        <w:rPr>
          <w:rFonts w:ascii="GHEA Grapalat" w:hAnsi="GHEA Grapalat"/>
          <w:bCs/>
          <w:sz w:val="24"/>
          <w:szCs w:val="24"/>
          <w:lang w:val="hy-AM"/>
        </w:rPr>
        <w:t xml:space="preserve"> ընդունվել է «Շուկայի վերահսկողության մասին» օրենքը (այսուհետ՝ Օրենք): </w:t>
      </w:r>
    </w:p>
    <w:p w:rsidR="002A6DAF" w:rsidRDefault="002A6DAF" w:rsidP="00F72BF6">
      <w:pPr>
        <w:spacing w:after="0" w:line="360" w:lineRule="auto"/>
        <w:ind w:firstLine="426"/>
        <w:jc w:val="both"/>
        <w:rPr>
          <w:rFonts w:ascii="GHEA Grapalat" w:hAnsi="GHEA Grapalat" w:cs="Sylfaen"/>
          <w:spacing w:val="-2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</w:t>
      </w:r>
      <w:r w:rsidR="00F72B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5315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</w:t>
      </w:r>
      <w:r w:rsidRPr="00153157">
        <w:rPr>
          <w:rFonts w:ascii="GHEA Grapalat" w:hAnsi="GHEA Grapalat" w:cs="Sylfaen"/>
          <w:bCs/>
          <w:spacing w:val="-2"/>
          <w:sz w:val="24"/>
          <w:szCs w:val="24"/>
          <w:lang w:val="hy-AM"/>
        </w:rPr>
        <w:t xml:space="preserve">րենքով սահմանվել է Օրենքի կարգավորման առարկան և գործողության ոլորտը, համապատասխան հասկացությունները, շուկայի վերահսկողության հիմնական սկզբունքները, </w:t>
      </w:r>
      <w:r w:rsidRPr="00153157">
        <w:rPr>
          <w:rFonts w:ascii="GHEA Grapalat" w:hAnsi="GHEA Grapalat"/>
          <w:bCs/>
          <w:sz w:val="24"/>
          <w:szCs w:val="24"/>
          <w:lang w:val="hy-AM"/>
        </w:rPr>
        <w:t xml:space="preserve">Հայաստանի Հանրապետության շուկայի վերահսկողության </w:t>
      </w:r>
      <w:r w:rsidRPr="00153157">
        <w:rPr>
          <w:rFonts w:ascii="GHEA Grapalat" w:hAnsi="GHEA Grapalat" w:cs="Sylfaen"/>
          <w:bCs/>
          <w:spacing w:val="-2"/>
          <w:sz w:val="24"/>
          <w:szCs w:val="24"/>
          <w:lang w:val="hy-AM"/>
        </w:rPr>
        <w:t xml:space="preserve">տեսչական մարմնի գործառույթները, իրականացվող վերահսկողության առանձնահատկությունները և ձևերը, ինչպես նաև շուկայի վերահսկողության </w:t>
      </w:r>
      <w:r w:rsidRPr="00153157">
        <w:rPr>
          <w:rFonts w:ascii="GHEA Grapalat" w:hAnsi="GHEA Grapalat" w:cs="Sylfaen"/>
          <w:spacing w:val="-2"/>
          <w:sz w:val="24"/>
          <w:szCs w:val="24"/>
          <w:lang w:val="hy-AM"/>
        </w:rPr>
        <w:t>ոլորտում Հայաստանի Հանրապետության կառավարության լիազորությունները և վերահսկողություն իրականացնող անձանց և տնտեսավարողների իրավունքները և պարտականությունները:</w:t>
      </w:r>
    </w:p>
    <w:p w:rsidR="002A6DAF" w:rsidRDefault="002A6DAF" w:rsidP="00F72BF6">
      <w:pPr>
        <w:spacing w:after="0" w:line="360" w:lineRule="auto"/>
        <w:ind w:firstLine="426"/>
        <w:jc w:val="both"/>
        <w:rPr>
          <w:rFonts w:ascii="GHEA Grapalat" w:hAnsi="GHEA Grapalat" w:cs="Sylfaen"/>
          <w:spacing w:val="-2"/>
          <w:sz w:val="24"/>
          <w:szCs w:val="24"/>
          <w:lang w:val="hy-AM"/>
        </w:rPr>
      </w:pPr>
      <w:r>
        <w:rPr>
          <w:rFonts w:ascii="GHEA Grapalat" w:hAnsi="GHEA Grapalat" w:cs="Sylfaen"/>
          <w:spacing w:val="-2"/>
          <w:sz w:val="24"/>
          <w:szCs w:val="24"/>
          <w:lang w:val="hy-AM"/>
        </w:rPr>
        <w:t>Հաջորդիվ, Հայաստանի Հանրապետության վարչապետի 2023 թվականի դեկտեմբերի 29-ի թիվ 1324-Ա որոշմամբ հաստատվե</w:t>
      </w:r>
      <w:r w:rsidR="00F72BF6">
        <w:rPr>
          <w:rFonts w:ascii="GHEA Grapalat" w:hAnsi="GHEA Grapalat" w:cs="Sylfaen"/>
          <w:spacing w:val="-2"/>
          <w:sz w:val="24"/>
          <w:szCs w:val="24"/>
          <w:lang w:val="hy-AM"/>
        </w:rPr>
        <w:t>լ է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Օրենքի կիրակումն ապահովող միջոցառումների ցանկը </w:t>
      </w:r>
      <w:r w:rsidR="00F72BF6" w:rsidRPr="00F72BF6">
        <w:rPr>
          <w:rFonts w:ascii="GHEA Grapalat" w:hAnsi="GHEA Grapalat" w:cs="Sylfaen"/>
          <w:spacing w:val="-2"/>
          <w:sz w:val="24"/>
          <w:szCs w:val="24"/>
          <w:lang w:val="hy-AM"/>
        </w:rPr>
        <w:t>(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>այսուհետ՝ Ցանկ</w:t>
      </w:r>
      <w:r w:rsidR="00F72BF6" w:rsidRPr="00F72BF6">
        <w:rPr>
          <w:rFonts w:ascii="GHEA Grapalat" w:hAnsi="GHEA Grapalat" w:cs="Sylfaen"/>
          <w:spacing w:val="-2"/>
          <w:sz w:val="24"/>
          <w:szCs w:val="24"/>
          <w:lang w:val="hy-AM"/>
        </w:rPr>
        <w:t>)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: </w:t>
      </w:r>
    </w:p>
    <w:p w:rsidR="00415B60" w:rsidRDefault="002A6DAF" w:rsidP="00F72BF6">
      <w:pPr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pacing w:val="-2"/>
          <w:sz w:val="24"/>
          <w:szCs w:val="24"/>
          <w:lang w:val="hy-AM"/>
        </w:rPr>
        <w:t>Ցանկի</w:t>
      </w:r>
      <w:r w:rsidR="00AD74D8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2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-րդ կետով սահմանվել է </w:t>
      </w:r>
      <w:r w:rsidRPr="002A6D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AD74D8" w:rsidRPr="00AD74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Տեխնիկական </w:t>
      </w:r>
      <w:proofErr w:type="spellStart"/>
      <w:r w:rsidR="00AD74D8" w:rsidRPr="00AD74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կանոնակարգերի</w:t>
      </w:r>
      <w:proofErr w:type="spellEnd"/>
      <w:r w:rsidR="00AD74D8" w:rsidRPr="00AD74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պահանջներին արտադրանքի համապատասխանության նկատմամբ վերահսկողության իրականացման նպատակով </w:t>
      </w:r>
      <w:proofErr w:type="spellStart"/>
      <w:r w:rsidR="00AD74D8" w:rsidRPr="00AD74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նմուշառում</w:t>
      </w:r>
      <w:proofErr w:type="spellEnd"/>
      <w:r w:rsidR="00AD74D8" w:rsidRPr="00AD74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իրականացնելու, </w:t>
      </w:r>
      <w:r w:rsidR="00AD74D8" w:rsidRPr="00AD74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ինչպես նաև փորձանմուշների գնման ֆինանսավորման և գնված արտադրանքի տնօրինման կարգը սահմանելու մասին» ՀՀ կառավարության որոշման նախագծի </w:t>
      </w:r>
      <w:r>
        <w:rPr>
          <w:rFonts w:ascii="GHEA Grapalat" w:hAnsi="GHEA Grapalat"/>
          <w:sz w:val="24"/>
          <w:szCs w:val="24"/>
          <w:lang w:val="hy-AM"/>
        </w:rPr>
        <w:t xml:space="preserve">մշակումը, որի ներկայացման կամ ընդունման համար պատասխանատու պետական կառավարման համակարգման մարմին սահմանվել </w:t>
      </w:r>
      <w:r w:rsidR="00415B60">
        <w:rPr>
          <w:rFonts w:ascii="GHEA Grapalat" w:hAnsi="GHEA Grapalat"/>
          <w:sz w:val="24"/>
          <w:szCs w:val="24"/>
          <w:lang w:val="hy-AM"/>
        </w:rPr>
        <w:t xml:space="preserve">է </w:t>
      </w:r>
      <w:r>
        <w:rPr>
          <w:rFonts w:ascii="GHEA Grapalat" w:hAnsi="GHEA Grapalat"/>
          <w:sz w:val="24"/>
          <w:szCs w:val="24"/>
          <w:lang w:val="hy-AM"/>
        </w:rPr>
        <w:t xml:space="preserve">Տեսչական մարմինների աշխատանքների համակարգման գրասենյակը: </w:t>
      </w:r>
    </w:p>
    <w:p w:rsidR="00415B60" w:rsidRPr="006A5D21" w:rsidRDefault="00F72BF6" w:rsidP="006A5D21">
      <w:pPr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6A5D21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415B60" w:rsidRPr="006A5D21">
        <w:rPr>
          <w:rFonts w:ascii="GHEA Grapalat" w:hAnsi="GHEA Grapalat"/>
          <w:sz w:val="24"/>
          <w:szCs w:val="24"/>
          <w:lang w:val="hy-AM"/>
        </w:rPr>
        <w:t xml:space="preserve">Հիմք ընդունելով վերոգրյալը՝ անհրաժեշտություն է առաջացել  մշակել </w:t>
      </w:r>
      <w:r w:rsidR="006A5D21" w:rsidRPr="006A5D21">
        <w:rPr>
          <w:rFonts w:ascii="GHEA Grapalat" w:hAnsi="GHEA Grapalat"/>
          <w:sz w:val="24"/>
          <w:szCs w:val="24"/>
          <w:lang w:val="hy-AM"/>
        </w:rPr>
        <w:t xml:space="preserve">«Տեխնիկական </w:t>
      </w:r>
      <w:proofErr w:type="spellStart"/>
      <w:r w:rsidR="006A5D21" w:rsidRPr="006A5D21">
        <w:rPr>
          <w:rFonts w:ascii="GHEA Grapalat" w:hAnsi="GHEA Grapalat"/>
          <w:sz w:val="24"/>
          <w:szCs w:val="24"/>
          <w:lang w:val="hy-AM"/>
        </w:rPr>
        <w:t>կանոնակարգերի</w:t>
      </w:r>
      <w:proofErr w:type="spellEnd"/>
      <w:r w:rsidR="006A5D21" w:rsidRPr="006A5D21">
        <w:rPr>
          <w:rFonts w:ascii="GHEA Grapalat" w:hAnsi="GHEA Grapalat"/>
          <w:sz w:val="24"/>
          <w:szCs w:val="24"/>
          <w:lang w:val="hy-AM"/>
        </w:rPr>
        <w:t xml:space="preserve"> պահանջներին արտադրանքի համապատասխանության նկատմամբ</w:t>
      </w:r>
      <w:r w:rsidR="006A5D21" w:rsidRPr="006A5D21">
        <w:rPr>
          <w:rFonts w:cs="Calibri"/>
          <w:sz w:val="24"/>
          <w:szCs w:val="24"/>
          <w:lang w:val="hy-AM"/>
        </w:rPr>
        <w:t> </w:t>
      </w:r>
      <w:r w:rsidR="006A5D21" w:rsidRPr="006A5D21">
        <w:rPr>
          <w:rFonts w:ascii="GHEA Grapalat" w:hAnsi="GHEA Grapalat"/>
          <w:sz w:val="24"/>
          <w:szCs w:val="24"/>
          <w:lang w:val="hy-AM"/>
        </w:rPr>
        <w:t xml:space="preserve">վերահսկողության իրականացման նպատակով </w:t>
      </w:r>
      <w:proofErr w:type="spellStart"/>
      <w:r w:rsidR="006A5D21" w:rsidRPr="006A5D21">
        <w:rPr>
          <w:rFonts w:ascii="GHEA Grapalat" w:hAnsi="GHEA Grapalat"/>
          <w:sz w:val="24"/>
          <w:szCs w:val="24"/>
          <w:lang w:val="hy-AM"/>
        </w:rPr>
        <w:t>նմուշառման</w:t>
      </w:r>
      <w:proofErr w:type="spellEnd"/>
      <w:r w:rsidR="006A5D21" w:rsidRPr="006A5D21">
        <w:rPr>
          <w:rFonts w:ascii="GHEA Grapalat" w:hAnsi="GHEA Grapalat"/>
          <w:sz w:val="24"/>
          <w:szCs w:val="24"/>
          <w:lang w:val="hy-AM"/>
        </w:rPr>
        <w:t xml:space="preserve">, ինչպես նաև փորձանմուշների գնման ֆինանսավորման, գնված արտադրանքի տնօրինման կարգը սահմանելու և Հայաստանի Հանրապետության կառավարության 2005 թվականի հունիսի 16 N 895-Ն որոշումը ուժը կորցրած ճանաչելու մասին» ՀՀ կառավարության որոշման նախագիծը: </w:t>
      </w:r>
    </w:p>
    <w:p w:rsidR="00622F60" w:rsidRPr="00582678" w:rsidRDefault="00622F60" w:rsidP="00F72BF6">
      <w:pPr>
        <w:spacing w:after="0" w:line="360" w:lineRule="auto"/>
        <w:ind w:firstLine="426"/>
        <w:jc w:val="both"/>
        <w:rPr>
          <w:rFonts w:ascii="GHEA Grapalat" w:hAnsi="GHEA Grapalat"/>
          <w:bCs/>
          <w:lang w:val="hy-AM"/>
        </w:rPr>
      </w:pPr>
    </w:p>
    <w:p w:rsidR="00D37F77" w:rsidRPr="00582678" w:rsidRDefault="008F4F36" w:rsidP="00F72BF6">
      <w:pPr>
        <w:pStyle w:val="NormalWeb"/>
        <w:tabs>
          <w:tab w:val="left" w:pos="851"/>
          <w:tab w:val="left" w:pos="1134"/>
        </w:tabs>
        <w:spacing w:before="0" w:beforeAutospacing="0" w:after="0" w:afterAutospacing="0" w:line="360" w:lineRule="auto"/>
        <w:ind w:right="-330" w:firstLine="426"/>
        <w:jc w:val="both"/>
        <w:rPr>
          <w:rFonts w:ascii="GHEA Grapalat" w:hAnsi="GHEA Grapalat"/>
          <w:b/>
          <w:lang w:val="hy-AM"/>
        </w:rPr>
      </w:pPr>
      <w:r w:rsidRPr="00582678">
        <w:rPr>
          <w:rFonts w:ascii="GHEA Grapalat" w:hAnsi="GHEA Grapalat" w:cs="Sylfaen"/>
          <w:spacing w:val="-2"/>
          <w:lang w:val="hy-AM"/>
        </w:rPr>
        <w:t xml:space="preserve">   </w:t>
      </w:r>
      <w:r w:rsidR="00243D83" w:rsidRPr="00582678">
        <w:rPr>
          <w:rFonts w:ascii="GHEA Grapalat" w:hAnsi="GHEA Grapalat"/>
          <w:b/>
          <w:lang w:val="hy-AM"/>
        </w:rPr>
        <w:t>2. Առաջարկվող կարգավորման բնույթը</w:t>
      </w:r>
    </w:p>
    <w:p w:rsidR="00D37F77" w:rsidRPr="00101531" w:rsidRDefault="008F4F36" w:rsidP="00101531">
      <w:pPr>
        <w:tabs>
          <w:tab w:val="left" w:pos="993"/>
        </w:tabs>
        <w:spacing w:after="0" w:line="360" w:lineRule="auto"/>
        <w:ind w:right="-330" w:firstLine="426"/>
        <w:jc w:val="both"/>
        <w:rPr>
          <w:rFonts w:ascii="GHEA Grapalat" w:hAnsi="GHEA Grapalat"/>
          <w:bCs/>
          <w:color w:val="000000"/>
          <w:sz w:val="24"/>
          <w:shd w:val="clear" w:color="auto" w:fill="FFFFFF"/>
          <w:lang w:val="hy-AM"/>
        </w:rPr>
      </w:pPr>
      <w:r w:rsidRPr="00582678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</w:t>
      </w:r>
      <w:r w:rsidR="00243D83" w:rsidRPr="00582678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Նախագծով առաջարկվում է </w:t>
      </w:r>
      <w:r w:rsidR="00415B60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սահմանել</w:t>
      </w:r>
      <w:r w:rsidR="00D37F77" w:rsidRPr="00582678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r w:rsidR="00101531" w:rsidRPr="00101531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տեխնիկական կանոնակարգերի պահանջներին արտադրանքի համապատասխանության նկատմամբ</w:t>
      </w:r>
      <w:r w:rsidR="00101531" w:rsidRPr="00101531">
        <w:rPr>
          <w:rFonts w:cs="Calibri"/>
          <w:noProof/>
          <w:color w:val="000000"/>
          <w:sz w:val="24"/>
          <w:szCs w:val="24"/>
          <w:lang w:val="hy-AM" w:eastAsia="en-GB"/>
        </w:rPr>
        <w:t> </w:t>
      </w:r>
      <w:r w:rsidR="00101531" w:rsidRPr="00101531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վերահսկողության իրականացման նպատակով նմուշառման, ինչպես նաև փորձանմուշների գնման ֆինանսավորման և գնված արտադրանքի տնօրինման կարգը</w:t>
      </w:r>
      <w:r w:rsidR="00101531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, ինչպես նաև ո</w:t>
      </w:r>
      <w:r w:rsidR="00101531" w:rsidRPr="00101531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ւժը կորցրած ճանաչել Հայաստանի Հանրապետության կառավարության 2005 թվականի հունիսի 16-ի «</w:t>
      </w:r>
      <w:r w:rsidR="00101531" w:rsidRPr="00101531">
        <w:rPr>
          <w:rFonts w:ascii="GHEA Grapalat" w:hAnsi="GHEA Grapalat"/>
          <w:bCs/>
          <w:color w:val="000000"/>
          <w:sz w:val="24"/>
          <w:shd w:val="clear" w:color="auto" w:fill="FFFFFF"/>
          <w:lang w:val="hy-AM"/>
        </w:rPr>
        <w:t xml:space="preserve">Տեխնիկական </w:t>
      </w:r>
      <w:proofErr w:type="spellStart"/>
      <w:r w:rsidR="00101531" w:rsidRPr="00101531">
        <w:rPr>
          <w:rFonts w:ascii="GHEA Grapalat" w:hAnsi="GHEA Grapalat"/>
          <w:bCs/>
          <w:color w:val="000000"/>
          <w:sz w:val="24"/>
          <w:shd w:val="clear" w:color="auto" w:fill="FFFFFF"/>
          <w:lang w:val="hy-AM"/>
        </w:rPr>
        <w:t>կանոնակարգերի</w:t>
      </w:r>
      <w:proofErr w:type="spellEnd"/>
      <w:r w:rsidR="00101531" w:rsidRPr="00101531">
        <w:rPr>
          <w:rFonts w:ascii="GHEA Grapalat" w:hAnsi="GHEA Grapalat"/>
          <w:bCs/>
          <w:color w:val="000000"/>
          <w:sz w:val="24"/>
          <w:shd w:val="clear" w:color="auto" w:fill="FFFFFF"/>
          <w:lang w:val="hy-AM"/>
        </w:rPr>
        <w:t xml:space="preserve"> պահանջներին արտադրանքի համապատասխանության նկատմամբ պետական վերահսկողության և պետական չափագիտական վերահսկողության իրականացման նպատակով փորձանմուշների գնման և գնված ապրանքների տնօրինման կարգը հաստատելու մասին» N 895-Ն որոշումը։</w:t>
      </w:r>
    </w:p>
    <w:p w:rsidR="001221A5" w:rsidRPr="00582678" w:rsidRDefault="001221A5" w:rsidP="00F72BF6">
      <w:pPr>
        <w:pStyle w:val="NormalWeb"/>
        <w:spacing w:before="0" w:beforeAutospacing="0" w:after="0" w:afterAutospacing="0" w:line="360" w:lineRule="auto"/>
        <w:ind w:right="-330" w:firstLine="426"/>
        <w:rPr>
          <w:rFonts w:ascii="GHEA Grapalat" w:hAnsi="GHEA Grapalat"/>
          <w:b/>
          <w:lang w:val="hy-AM"/>
        </w:rPr>
      </w:pPr>
      <w:r w:rsidRPr="00582678">
        <w:rPr>
          <w:rFonts w:ascii="GHEA Grapalat" w:hAnsi="GHEA Grapalat"/>
          <w:b/>
          <w:lang w:val="hy-AM"/>
        </w:rPr>
        <w:t>3. Նախագծի մշակման գործընթ</w:t>
      </w:r>
      <w:r w:rsidR="00326ED7" w:rsidRPr="00582678">
        <w:rPr>
          <w:rFonts w:ascii="GHEA Grapalat" w:hAnsi="GHEA Grapalat"/>
          <w:b/>
          <w:lang w:val="hy-AM"/>
        </w:rPr>
        <w:t>ացում ներգրավված ինստիտուտները</w:t>
      </w:r>
    </w:p>
    <w:p w:rsidR="007E5F7B" w:rsidRPr="00582678" w:rsidRDefault="001171F6" w:rsidP="00F72BF6">
      <w:pPr>
        <w:pStyle w:val="BodyTextIndent3"/>
        <w:tabs>
          <w:tab w:val="left" w:pos="851"/>
          <w:tab w:val="left" w:pos="993"/>
        </w:tabs>
        <w:spacing w:after="0" w:line="360" w:lineRule="auto"/>
        <w:ind w:left="0" w:right="-330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82678"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1221A5" w:rsidRPr="00582678"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="001221A5" w:rsidRPr="00582678">
        <w:rPr>
          <w:rFonts w:ascii="GHEA Grapalat" w:hAnsi="GHEA Grapalat"/>
          <w:sz w:val="24"/>
          <w:szCs w:val="24"/>
          <w:lang w:val="hy-AM"/>
        </w:rPr>
        <w:t xml:space="preserve"> </w:t>
      </w:r>
      <w:r w:rsidR="001221A5" w:rsidRPr="00582678">
        <w:rPr>
          <w:rFonts w:ascii="GHEA Grapalat" w:hAnsi="GHEA Grapalat" w:cs="Sylfaen"/>
          <w:sz w:val="24"/>
          <w:szCs w:val="24"/>
          <w:lang w:val="hy-AM"/>
        </w:rPr>
        <w:t>մշակվել</w:t>
      </w:r>
      <w:r w:rsidR="001221A5" w:rsidRPr="00582678">
        <w:rPr>
          <w:rFonts w:ascii="GHEA Grapalat" w:hAnsi="GHEA Grapalat"/>
          <w:sz w:val="24"/>
          <w:szCs w:val="24"/>
          <w:lang w:val="hy-AM"/>
        </w:rPr>
        <w:t xml:space="preserve"> </w:t>
      </w:r>
      <w:r w:rsidR="001221A5" w:rsidRPr="00582678">
        <w:rPr>
          <w:rFonts w:ascii="GHEA Grapalat" w:hAnsi="GHEA Grapalat" w:cs="Sylfaen"/>
          <w:sz w:val="24"/>
          <w:szCs w:val="24"/>
          <w:lang w:val="hy-AM"/>
        </w:rPr>
        <w:t>է</w:t>
      </w:r>
      <w:r w:rsidR="001221A5" w:rsidRPr="00582678">
        <w:rPr>
          <w:rFonts w:ascii="GHEA Grapalat" w:hAnsi="GHEA Grapalat"/>
          <w:sz w:val="24"/>
          <w:szCs w:val="24"/>
          <w:lang w:val="hy-AM"/>
        </w:rPr>
        <w:t xml:space="preserve"> </w:t>
      </w:r>
      <w:r w:rsidR="001221A5" w:rsidRPr="00582678">
        <w:rPr>
          <w:rFonts w:ascii="GHEA Grapalat" w:hAnsi="GHEA Grapalat" w:cs="Sylfaen"/>
          <w:sz w:val="24"/>
          <w:szCs w:val="24"/>
          <w:lang w:val="hy-AM"/>
        </w:rPr>
        <w:t>Վարչապետի</w:t>
      </w:r>
      <w:r w:rsidR="001221A5" w:rsidRPr="00582678">
        <w:rPr>
          <w:rFonts w:ascii="GHEA Grapalat" w:hAnsi="GHEA Grapalat"/>
          <w:sz w:val="24"/>
          <w:szCs w:val="24"/>
          <w:lang w:val="hy-AM"/>
        </w:rPr>
        <w:t xml:space="preserve"> </w:t>
      </w:r>
      <w:r w:rsidR="001221A5" w:rsidRPr="00582678">
        <w:rPr>
          <w:rFonts w:ascii="GHEA Grapalat" w:hAnsi="GHEA Grapalat" w:cs="Sylfaen"/>
          <w:sz w:val="24"/>
          <w:szCs w:val="24"/>
          <w:lang w:val="hy-AM"/>
        </w:rPr>
        <w:t>աշխատակազմի</w:t>
      </w:r>
      <w:r w:rsidR="001221A5" w:rsidRPr="00582678">
        <w:rPr>
          <w:rFonts w:ascii="GHEA Grapalat" w:hAnsi="GHEA Grapalat"/>
          <w:sz w:val="24"/>
          <w:szCs w:val="24"/>
          <w:lang w:val="hy-AM"/>
        </w:rPr>
        <w:t xml:space="preserve"> </w:t>
      </w:r>
      <w:r w:rsidR="001221A5" w:rsidRPr="00582678">
        <w:rPr>
          <w:rFonts w:ascii="GHEA Grapalat" w:hAnsi="GHEA Grapalat" w:cs="Sylfaen"/>
          <w:sz w:val="24"/>
          <w:szCs w:val="24"/>
          <w:lang w:val="hy-AM"/>
        </w:rPr>
        <w:t>տեսչական</w:t>
      </w:r>
      <w:r w:rsidR="001221A5" w:rsidRPr="00582678">
        <w:rPr>
          <w:rFonts w:ascii="GHEA Grapalat" w:hAnsi="GHEA Grapalat"/>
          <w:sz w:val="24"/>
          <w:szCs w:val="24"/>
          <w:lang w:val="hy-AM"/>
        </w:rPr>
        <w:t xml:space="preserve"> </w:t>
      </w:r>
      <w:r w:rsidR="001221A5" w:rsidRPr="00582678">
        <w:rPr>
          <w:rFonts w:ascii="GHEA Grapalat" w:hAnsi="GHEA Grapalat" w:cs="Sylfaen"/>
          <w:sz w:val="24"/>
          <w:szCs w:val="24"/>
          <w:lang w:val="hy-AM"/>
        </w:rPr>
        <w:t>մարմինների</w:t>
      </w:r>
      <w:r w:rsidR="001221A5" w:rsidRPr="00582678">
        <w:rPr>
          <w:rFonts w:ascii="GHEA Grapalat" w:hAnsi="GHEA Grapalat"/>
          <w:sz w:val="24"/>
          <w:szCs w:val="24"/>
          <w:lang w:val="hy-AM"/>
        </w:rPr>
        <w:t xml:space="preserve"> </w:t>
      </w:r>
      <w:r w:rsidR="001221A5" w:rsidRPr="00582678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="001221A5" w:rsidRPr="00582678">
        <w:rPr>
          <w:rFonts w:ascii="GHEA Grapalat" w:hAnsi="GHEA Grapalat"/>
          <w:sz w:val="24"/>
          <w:szCs w:val="24"/>
          <w:lang w:val="hy-AM"/>
        </w:rPr>
        <w:t xml:space="preserve"> </w:t>
      </w:r>
      <w:r w:rsidR="001221A5" w:rsidRPr="00582678">
        <w:rPr>
          <w:rFonts w:ascii="GHEA Grapalat" w:hAnsi="GHEA Grapalat" w:cs="Sylfaen"/>
          <w:sz w:val="24"/>
          <w:szCs w:val="24"/>
          <w:lang w:val="hy-AM"/>
        </w:rPr>
        <w:t>համակարգման</w:t>
      </w:r>
      <w:r w:rsidR="001221A5" w:rsidRPr="00582678">
        <w:rPr>
          <w:rFonts w:ascii="GHEA Grapalat" w:hAnsi="GHEA Grapalat"/>
          <w:sz w:val="24"/>
          <w:szCs w:val="24"/>
          <w:lang w:val="hy-AM"/>
        </w:rPr>
        <w:t xml:space="preserve"> </w:t>
      </w:r>
      <w:r w:rsidR="001221A5" w:rsidRPr="00582678">
        <w:rPr>
          <w:rFonts w:ascii="GHEA Grapalat" w:hAnsi="GHEA Grapalat" w:cs="Sylfaen"/>
          <w:sz w:val="24"/>
          <w:szCs w:val="24"/>
          <w:lang w:val="hy-AM"/>
        </w:rPr>
        <w:t>գրասենյակի կողմից</w:t>
      </w:r>
      <w:r w:rsidR="001221A5" w:rsidRPr="00582678">
        <w:rPr>
          <w:rFonts w:ascii="GHEA Grapalat" w:hAnsi="GHEA Grapalat"/>
          <w:sz w:val="24"/>
          <w:szCs w:val="24"/>
          <w:lang w:val="hy-AM"/>
        </w:rPr>
        <w:t>:</w:t>
      </w:r>
      <w:r w:rsidR="001221A5" w:rsidRPr="00582678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1221A5" w:rsidRPr="00582678" w:rsidRDefault="001221A5" w:rsidP="00F72BF6">
      <w:pPr>
        <w:pStyle w:val="BodyTextIndent3"/>
        <w:tabs>
          <w:tab w:val="left" w:pos="851"/>
          <w:tab w:val="left" w:pos="993"/>
        </w:tabs>
        <w:spacing w:after="0" w:line="360" w:lineRule="auto"/>
        <w:ind w:left="0" w:right="-330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221A5" w:rsidRPr="00582678" w:rsidRDefault="001221A5" w:rsidP="00F72BF6">
      <w:pPr>
        <w:pStyle w:val="NormalWeb"/>
        <w:spacing w:before="0" w:beforeAutospacing="0" w:after="0" w:afterAutospacing="0" w:line="360" w:lineRule="auto"/>
        <w:ind w:right="-330" w:firstLine="426"/>
        <w:rPr>
          <w:rFonts w:ascii="GHEA Grapalat" w:hAnsi="GHEA Grapalat"/>
          <w:b/>
          <w:lang w:val="hy-AM"/>
        </w:rPr>
      </w:pPr>
      <w:r w:rsidRPr="00582678">
        <w:rPr>
          <w:rFonts w:ascii="GHEA Grapalat" w:hAnsi="GHEA Grapalat"/>
          <w:b/>
          <w:lang w:val="hy-AM"/>
        </w:rPr>
        <w:t>4. Ակնկալվող արդյունքը</w:t>
      </w:r>
    </w:p>
    <w:p w:rsidR="00D04A17" w:rsidRPr="00582678" w:rsidRDefault="00C768CA" w:rsidP="00F72BF6">
      <w:pPr>
        <w:shd w:val="clear" w:color="auto" w:fill="FFFFFF"/>
        <w:spacing w:after="0" w:line="360" w:lineRule="auto"/>
        <w:ind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582678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 </w:t>
      </w:r>
      <w:r w:rsidR="001171F6" w:rsidRPr="00582678">
        <w:rPr>
          <w:rFonts w:ascii="GHEA Grapalat" w:hAnsi="GHEA Grapalat"/>
          <w:noProof/>
          <w:sz w:val="24"/>
          <w:szCs w:val="24"/>
          <w:lang w:val="hy-AM"/>
        </w:rPr>
        <w:t xml:space="preserve">Նախագծի ընդունման արդյունքում ակնկալվում է ապահովել </w:t>
      </w:r>
      <w:r w:rsidR="00F72BF6">
        <w:rPr>
          <w:rFonts w:ascii="GHEA Grapalat" w:hAnsi="GHEA Grapalat"/>
          <w:noProof/>
          <w:sz w:val="24"/>
          <w:szCs w:val="24"/>
          <w:lang w:val="hy-AM"/>
        </w:rPr>
        <w:t>ՀՀ շուկայի վերահսկողության տ</w:t>
      </w:r>
      <w:r w:rsidR="001171F6" w:rsidRPr="00582678">
        <w:rPr>
          <w:rFonts w:ascii="GHEA Grapalat" w:hAnsi="GHEA Grapalat"/>
          <w:noProof/>
          <w:sz w:val="24"/>
          <w:szCs w:val="24"/>
          <w:lang w:val="hy-AM"/>
        </w:rPr>
        <w:t>եսչական մարմնի բնականոն գործունեության ընթացքի հետ կապված իրավական հիմքերը</w:t>
      </w:r>
      <w:r w:rsidR="00D04A17">
        <w:rPr>
          <w:rFonts w:ascii="GHEA Grapalat" w:hAnsi="GHEA Grapalat"/>
          <w:noProof/>
          <w:sz w:val="24"/>
          <w:szCs w:val="24"/>
          <w:lang w:val="hy-AM"/>
        </w:rPr>
        <w:t>:</w:t>
      </w:r>
      <w:r w:rsidR="00582678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D04A17">
        <w:rPr>
          <w:rFonts w:ascii="GHEA Grapalat" w:hAnsi="GHEA Grapalat"/>
          <w:noProof/>
          <w:sz w:val="24"/>
          <w:szCs w:val="24"/>
          <w:lang w:val="hy-AM"/>
        </w:rPr>
        <w:t xml:space="preserve">Միաժամանակ Նախագծի ընդունման արդյունքում, </w:t>
      </w:r>
      <w:r w:rsidR="00345B8D">
        <w:rPr>
          <w:rFonts w:ascii="GHEA Grapalat" w:hAnsi="GHEA Grapalat"/>
          <w:noProof/>
          <w:sz w:val="24"/>
          <w:szCs w:val="24"/>
          <w:lang w:val="hy-AM"/>
        </w:rPr>
        <w:t xml:space="preserve">կկարգավորվի </w:t>
      </w:r>
      <w:r w:rsidR="00F72BF6">
        <w:rPr>
          <w:rFonts w:ascii="GHEA Grapalat" w:hAnsi="GHEA Grapalat"/>
          <w:noProof/>
          <w:sz w:val="24"/>
          <w:szCs w:val="24"/>
          <w:lang w:val="hy-AM"/>
        </w:rPr>
        <w:t>ՀՀ շուկայի վերահսկողության տ</w:t>
      </w:r>
      <w:r w:rsidR="00582678">
        <w:rPr>
          <w:rFonts w:ascii="GHEA Grapalat" w:hAnsi="GHEA Grapalat"/>
          <w:noProof/>
          <w:sz w:val="24"/>
          <w:szCs w:val="24"/>
          <w:lang w:val="hy-AM"/>
        </w:rPr>
        <w:t>եսչական մարմ</w:t>
      </w:r>
      <w:r w:rsidR="00345B8D">
        <w:rPr>
          <w:rFonts w:ascii="GHEA Grapalat" w:hAnsi="GHEA Grapalat"/>
          <w:noProof/>
          <w:sz w:val="24"/>
          <w:szCs w:val="24"/>
          <w:lang w:val="hy-AM"/>
        </w:rPr>
        <w:t xml:space="preserve">նի կողմից </w:t>
      </w:r>
      <w:r w:rsidR="00E73F59" w:rsidRPr="00E73F59">
        <w:rPr>
          <w:rFonts w:ascii="GHEA Grapalat" w:hAnsi="GHEA Grapalat"/>
          <w:noProof/>
          <w:sz w:val="24"/>
          <w:szCs w:val="24"/>
          <w:lang w:val="hy-AM"/>
        </w:rPr>
        <w:t>տեխնիկական կանոնակարգերի պահանջներին արտադրանքի համապատասխանության նկատմամբ</w:t>
      </w:r>
      <w:r w:rsidR="00E73F59" w:rsidRPr="00E73F59">
        <w:rPr>
          <w:rFonts w:cs="Calibri"/>
          <w:noProof/>
          <w:sz w:val="24"/>
          <w:szCs w:val="24"/>
          <w:lang w:val="hy-AM"/>
        </w:rPr>
        <w:t> </w:t>
      </w:r>
      <w:r w:rsidR="00E73F59" w:rsidRPr="00E73F59">
        <w:rPr>
          <w:rFonts w:ascii="GHEA Grapalat" w:hAnsi="GHEA Grapalat"/>
          <w:noProof/>
          <w:sz w:val="24"/>
          <w:szCs w:val="24"/>
          <w:lang w:val="hy-AM"/>
        </w:rPr>
        <w:t xml:space="preserve">վերահսկողության իրականացման նպատակով </w:t>
      </w:r>
      <w:r w:rsidR="00345B8D">
        <w:rPr>
          <w:rFonts w:ascii="GHEA Grapalat" w:hAnsi="GHEA Grapalat"/>
          <w:noProof/>
          <w:sz w:val="24"/>
          <w:szCs w:val="24"/>
          <w:lang w:val="hy-AM"/>
        </w:rPr>
        <w:t>իրականացվող</w:t>
      </w:r>
      <w:r w:rsidR="00E73F59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E73F59" w:rsidRPr="00E73F59">
        <w:rPr>
          <w:rFonts w:ascii="GHEA Grapalat" w:hAnsi="GHEA Grapalat"/>
          <w:noProof/>
          <w:sz w:val="24"/>
          <w:szCs w:val="24"/>
          <w:lang w:val="hy-AM"/>
        </w:rPr>
        <w:t>նմուշառ</w:t>
      </w:r>
      <w:r w:rsidR="00345B8D">
        <w:rPr>
          <w:rFonts w:ascii="GHEA Grapalat" w:hAnsi="GHEA Grapalat"/>
          <w:noProof/>
          <w:sz w:val="24"/>
          <w:szCs w:val="24"/>
          <w:lang w:val="hy-AM"/>
        </w:rPr>
        <w:t>ման գործընթացը</w:t>
      </w:r>
      <w:r w:rsidR="00E73F59">
        <w:rPr>
          <w:rFonts w:ascii="GHEA Grapalat" w:hAnsi="GHEA Grapalat"/>
          <w:noProof/>
          <w:sz w:val="24"/>
          <w:szCs w:val="24"/>
          <w:lang w:val="hy-AM"/>
        </w:rPr>
        <w:t>։</w:t>
      </w:r>
      <w:bookmarkStart w:id="1" w:name="_GoBack"/>
      <w:bookmarkEnd w:id="1"/>
      <w:r w:rsidR="00D04A17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</w:p>
    <w:p w:rsidR="001171F6" w:rsidRPr="00582678" w:rsidRDefault="001171F6" w:rsidP="00F72BF6">
      <w:pPr>
        <w:pStyle w:val="BodyTextIndent3"/>
        <w:tabs>
          <w:tab w:val="left" w:pos="851"/>
          <w:tab w:val="left" w:pos="993"/>
        </w:tabs>
        <w:spacing w:after="0" w:line="360" w:lineRule="auto"/>
        <w:ind w:left="0" w:right="-330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72BF6" w:rsidRPr="00F72BF6" w:rsidRDefault="008645ED" w:rsidP="00F72BF6">
      <w:pPr>
        <w:pStyle w:val="ListParagraph"/>
        <w:numPr>
          <w:ilvl w:val="0"/>
          <w:numId w:val="22"/>
        </w:numPr>
        <w:tabs>
          <w:tab w:val="left" w:pos="851"/>
        </w:tabs>
        <w:spacing w:after="0" w:line="360" w:lineRule="auto"/>
        <w:ind w:left="0" w:right="-330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82678">
        <w:rPr>
          <w:rFonts w:ascii="GHEA Grapalat" w:hAnsi="GHEA Grapalat"/>
          <w:b/>
          <w:sz w:val="24"/>
          <w:szCs w:val="24"/>
          <w:lang w:val="hy-AM"/>
        </w:rPr>
        <w:t>Կապը ռազմավարական փաստաթղթերի հետ. 2050 Հայաստանի վերափոխման ռազմավարություն, Կառավարության 2021-2026թթ. ծրագիր, ոլորտային և/կամ այլ ռազմավարություններ</w:t>
      </w:r>
      <w:r w:rsidRPr="00582678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:rsidR="00F72BF6" w:rsidRPr="00F72BF6" w:rsidRDefault="00F72BF6" w:rsidP="00F72BF6">
      <w:pPr>
        <w:tabs>
          <w:tab w:val="left" w:pos="851"/>
        </w:tabs>
        <w:spacing w:after="0" w:line="360" w:lineRule="auto"/>
        <w:ind w:right="-330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72BF6">
        <w:rPr>
          <w:rFonts w:ascii="GHEA Grapalat" w:hAnsi="GHEA Grapalat"/>
          <w:sz w:val="24"/>
          <w:szCs w:val="24"/>
          <w:lang w:val="hy-AM"/>
        </w:rPr>
        <w:t>Նախագիծը չի բխում 2050 Հայաստանի վերափոխման ռազմավարության, և Կառավարության 2021-2026թթ. ծրագրերից:</w:t>
      </w:r>
    </w:p>
    <w:p w:rsidR="00C768CA" w:rsidRPr="00582678" w:rsidRDefault="00C768CA" w:rsidP="00F72BF6">
      <w:pPr>
        <w:spacing w:after="0" w:line="360" w:lineRule="auto"/>
        <w:ind w:right="-330"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:rsidR="00F72BF6" w:rsidRPr="00F72BF6" w:rsidRDefault="008645ED" w:rsidP="00F72BF6">
      <w:pPr>
        <w:pStyle w:val="ListParagraph"/>
        <w:numPr>
          <w:ilvl w:val="0"/>
          <w:numId w:val="22"/>
        </w:numPr>
        <w:spacing w:after="0" w:line="360" w:lineRule="auto"/>
        <w:ind w:left="-142" w:right="-330" w:firstLine="426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72BF6">
        <w:rPr>
          <w:rFonts w:ascii="GHEA Grapalat" w:hAnsi="GHEA Grapalat"/>
          <w:b/>
          <w:sz w:val="24"/>
          <w:szCs w:val="24"/>
          <w:lang w:val="hy-AM"/>
        </w:rPr>
        <w:t>Պետական</w:t>
      </w:r>
      <w:r w:rsidRPr="00F72B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72BF6">
        <w:rPr>
          <w:rFonts w:ascii="GHEA Grapalat" w:hAnsi="GHEA Grapalat"/>
          <w:b/>
          <w:sz w:val="24"/>
          <w:szCs w:val="24"/>
          <w:lang w:val="hy-AM"/>
        </w:rPr>
        <w:t>կամ</w:t>
      </w:r>
      <w:r w:rsidRPr="00F72B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72BF6">
        <w:rPr>
          <w:rFonts w:ascii="GHEA Grapalat" w:hAnsi="GHEA Grapalat"/>
          <w:b/>
          <w:sz w:val="24"/>
          <w:szCs w:val="24"/>
          <w:lang w:val="hy-AM"/>
        </w:rPr>
        <w:t>տեղական</w:t>
      </w:r>
      <w:r w:rsidRPr="00F72B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72BF6">
        <w:rPr>
          <w:rFonts w:ascii="GHEA Grapalat" w:hAnsi="GHEA Grapalat"/>
          <w:b/>
          <w:sz w:val="24"/>
          <w:szCs w:val="24"/>
          <w:lang w:val="hy-AM"/>
        </w:rPr>
        <w:t>ինքնակառավարման</w:t>
      </w:r>
      <w:r w:rsidRPr="00F72B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72BF6">
        <w:rPr>
          <w:rFonts w:ascii="GHEA Grapalat" w:hAnsi="GHEA Grapalat"/>
          <w:b/>
          <w:sz w:val="24"/>
          <w:szCs w:val="24"/>
          <w:lang w:val="hy-AM"/>
        </w:rPr>
        <w:t>մարմնի</w:t>
      </w:r>
      <w:r w:rsidRPr="00F72B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72BF6">
        <w:rPr>
          <w:rFonts w:ascii="GHEA Grapalat" w:hAnsi="GHEA Grapalat"/>
          <w:b/>
          <w:sz w:val="24"/>
          <w:szCs w:val="24"/>
          <w:lang w:val="hy-AM"/>
        </w:rPr>
        <w:t>բյուջեում</w:t>
      </w:r>
      <w:r w:rsidRPr="00F72B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72BF6">
        <w:rPr>
          <w:rFonts w:ascii="GHEA Grapalat" w:hAnsi="GHEA Grapalat"/>
          <w:b/>
          <w:sz w:val="24"/>
          <w:szCs w:val="24"/>
          <w:lang w:val="hy-AM"/>
        </w:rPr>
        <w:t>եկամուտների</w:t>
      </w:r>
      <w:r w:rsidRPr="00F72B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72BF6">
        <w:rPr>
          <w:rFonts w:ascii="GHEA Grapalat" w:hAnsi="GHEA Grapalat"/>
          <w:b/>
          <w:sz w:val="24"/>
          <w:szCs w:val="24"/>
          <w:lang w:val="hy-AM"/>
        </w:rPr>
        <w:t>և</w:t>
      </w:r>
      <w:r w:rsidRPr="00F72B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72BF6">
        <w:rPr>
          <w:rFonts w:ascii="GHEA Grapalat" w:hAnsi="GHEA Grapalat"/>
          <w:b/>
          <w:sz w:val="24"/>
          <w:szCs w:val="24"/>
          <w:lang w:val="hy-AM"/>
        </w:rPr>
        <w:t>ծախսերի</w:t>
      </w:r>
      <w:r w:rsidRPr="00F72B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72BF6">
        <w:rPr>
          <w:rFonts w:ascii="GHEA Grapalat" w:hAnsi="GHEA Grapalat"/>
          <w:b/>
          <w:sz w:val="24"/>
          <w:szCs w:val="24"/>
          <w:lang w:val="hy-AM"/>
        </w:rPr>
        <w:t>էական</w:t>
      </w:r>
      <w:r w:rsidRPr="00F72B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72BF6">
        <w:rPr>
          <w:rFonts w:ascii="GHEA Grapalat" w:hAnsi="GHEA Grapalat"/>
          <w:b/>
          <w:sz w:val="24"/>
          <w:szCs w:val="24"/>
          <w:lang w:val="hy-AM"/>
        </w:rPr>
        <w:t>ավելացման</w:t>
      </w:r>
      <w:r w:rsidRPr="00F72B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72BF6">
        <w:rPr>
          <w:rFonts w:ascii="GHEA Grapalat" w:hAnsi="GHEA Grapalat"/>
          <w:b/>
          <w:sz w:val="24"/>
          <w:szCs w:val="24"/>
          <w:lang w:val="hy-AM"/>
        </w:rPr>
        <w:t>կամ</w:t>
      </w:r>
      <w:r w:rsidRPr="00F72B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72BF6">
        <w:rPr>
          <w:rFonts w:ascii="GHEA Grapalat" w:hAnsi="GHEA Grapalat"/>
          <w:b/>
          <w:sz w:val="24"/>
          <w:szCs w:val="24"/>
          <w:lang w:val="hy-AM"/>
        </w:rPr>
        <w:t>նվազեցման վերաբերյալ</w:t>
      </w:r>
    </w:p>
    <w:p w:rsidR="00AA6910" w:rsidRPr="00377596" w:rsidRDefault="00AA6910" w:rsidP="00F72BF6">
      <w:pPr>
        <w:pStyle w:val="ListParagraph"/>
        <w:spacing w:after="0" w:line="360" w:lineRule="auto"/>
        <w:ind w:left="-142" w:right="-330" w:firstLine="426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77596">
        <w:rPr>
          <w:rFonts w:ascii="GHEA Grapalat" w:hAnsi="GHEA Grapalat"/>
          <w:iCs/>
          <w:color w:val="222222"/>
          <w:sz w:val="24"/>
          <w:szCs w:val="24"/>
          <w:shd w:val="clear" w:color="auto" w:fill="FFFFFF"/>
          <w:lang w:val="hy-AM"/>
        </w:rPr>
        <w:t>Ն</w:t>
      </w:r>
      <w:r w:rsidRPr="00377596">
        <w:rPr>
          <w:rFonts w:ascii="GHEA Grapalat" w:hAnsi="GHEA Grapalat"/>
          <w:sz w:val="24"/>
          <w:szCs w:val="24"/>
          <w:lang w:val="hy-AM"/>
        </w:rPr>
        <w:t>ախագծի</w:t>
      </w:r>
      <w:r w:rsidR="00F72BF6" w:rsidRPr="0037759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77596">
        <w:rPr>
          <w:rFonts w:ascii="GHEA Grapalat" w:hAnsi="GHEA Grapalat"/>
          <w:iCs/>
          <w:color w:val="222222"/>
          <w:sz w:val="24"/>
          <w:szCs w:val="24"/>
          <w:shd w:val="clear" w:color="auto" w:fill="FFFFFF"/>
          <w:lang w:val="hy-AM"/>
        </w:rPr>
        <w:t>ընդունումը</w:t>
      </w:r>
      <w:r w:rsidR="00F72BF6" w:rsidRPr="00377596">
        <w:rPr>
          <w:rFonts w:ascii="GHEA Grapalat" w:hAnsi="GHEA Grapalat"/>
          <w:iCs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F72BF6" w:rsidRPr="00377596">
        <w:rPr>
          <w:rFonts w:ascii="GHEA Grapalat" w:hAnsi="GHEA Grapalat" w:cs="Calibri"/>
          <w:iCs/>
          <w:color w:val="222222"/>
          <w:sz w:val="24"/>
          <w:szCs w:val="24"/>
          <w:shd w:val="clear" w:color="auto" w:fill="FFFFFF"/>
          <w:lang w:val="hy-AM"/>
        </w:rPr>
        <w:t xml:space="preserve">չի </w:t>
      </w:r>
      <w:r w:rsidR="00F72BF6" w:rsidRPr="00377596">
        <w:rPr>
          <w:rFonts w:ascii="GHEA Grapalat" w:hAnsi="GHEA Grapalat"/>
          <w:iCs/>
          <w:color w:val="222222"/>
          <w:sz w:val="24"/>
          <w:szCs w:val="24"/>
          <w:shd w:val="clear" w:color="auto" w:fill="FFFFFF"/>
          <w:lang w:val="hy-AM"/>
        </w:rPr>
        <w:t>հանգեցն</w:t>
      </w:r>
      <w:r w:rsidR="00377596">
        <w:rPr>
          <w:rFonts w:ascii="GHEA Grapalat" w:hAnsi="GHEA Grapalat"/>
          <w:iCs/>
          <w:color w:val="222222"/>
          <w:sz w:val="24"/>
          <w:szCs w:val="24"/>
          <w:shd w:val="clear" w:color="auto" w:fill="FFFFFF"/>
          <w:lang w:val="hy-AM"/>
        </w:rPr>
        <w:t>ում</w:t>
      </w:r>
      <w:r w:rsidR="00F72BF6" w:rsidRPr="00377596">
        <w:rPr>
          <w:rFonts w:ascii="GHEA Grapalat" w:hAnsi="GHEA Grapalat"/>
          <w:iCs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377596">
        <w:rPr>
          <w:rFonts w:ascii="GHEA Grapalat" w:hAnsi="GHEA Grapalat"/>
          <w:iCs/>
          <w:color w:val="222222"/>
          <w:sz w:val="24"/>
          <w:szCs w:val="24"/>
          <w:shd w:val="clear" w:color="auto" w:fill="FFFFFF"/>
          <w:lang w:val="hy-AM"/>
        </w:rPr>
        <w:t>պետական</w:t>
      </w:r>
      <w:r w:rsidR="00F72BF6" w:rsidRPr="00377596">
        <w:rPr>
          <w:rFonts w:ascii="GHEA Grapalat" w:hAnsi="GHEA Grapalat" w:cs="Calibri"/>
          <w:iCs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377596">
        <w:rPr>
          <w:rFonts w:ascii="GHEA Grapalat" w:hAnsi="GHEA Grapalat"/>
          <w:iCs/>
          <w:color w:val="222222"/>
          <w:sz w:val="24"/>
          <w:szCs w:val="24"/>
          <w:shd w:val="clear" w:color="auto" w:fill="FFFFFF"/>
          <w:lang w:val="hy-AM"/>
        </w:rPr>
        <w:t>բյուջեում</w:t>
      </w:r>
      <w:r w:rsidR="00F72BF6" w:rsidRPr="00377596">
        <w:rPr>
          <w:rFonts w:ascii="GHEA Grapalat" w:hAnsi="GHEA Grapalat" w:cs="Calibri"/>
          <w:iCs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377596">
        <w:rPr>
          <w:rFonts w:ascii="GHEA Grapalat" w:hAnsi="GHEA Grapalat"/>
          <w:iCs/>
          <w:color w:val="222222"/>
          <w:sz w:val="24"/>
          <w:szCs w:val="24"/>
          <w:shd w:val="clear" w:color="auto" w:fill="FFFFFF"/>
          <w:lang w:val="hy-AM"/>
        </w:rPr>
        <w:t>եկամուտների</w:t>
      </w:r>
      <w:r w:rsidR="00F72BF6" w:rsidRPr="00377596">
        <w:rPr>
          <w:rFonts w:ascii="GHEA Grapalat" w:hAnsi="GHEA Grapalat" w:cs="Calibri"/>
          <w:iCs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377596">
        <w:rPr>
          <w:rFonts w:ascii="GHEA Grapalat" w:hAnsi="GHEA Grapalat"/>
          <w:iCs/>
          <w:color w:val="222222"/>
          <w:sz w:val="24"/>
          <w:szCs w:val="24"/>
          <w:shd w:val="clear" w:color="auto" w:fill="FFFFFF"/>
          <w:lang w:val="hy-AM"/>
        </w:rPr>
        <w:t>և</w:t>
      </w:r>
      <w:r w:rsidR="00F72BF6" w:rsidRPr="00377596">
        <w:rPr>
          <w:rFonts w:ascii="GHEA Grapalat" w:hAnsi="GHEA Grapalat" w:cs="Calibri"/>
          <w:iCs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377596">
        <w:rPr>
          <w:rFonts w:ascii="GHEA Grapalat" w:hAnsi="GHEA Grapalat"/>
          <w:iCs/>
          <w:color w:val="222222"/>
          <w:sz w:val="24"/>
          <w:szCs w:val="24"/>
          <w:shd w:val="clear" w:color="auto" w:fill="FFFFFF"/>
          <w:lang w:val="hy-AM"/>
        </w:rPr>
        <w:t>ծախսերի</w:t>
      </w:r>
      <w:r w:rsidR="00F72BF6" w:rsidRPr="00377596">
        <w:rPr>
          <w:rFonts w:ascii="GHEA Grapalat" w:hAnsi="GHEA Grapalat"/>
          <w:iCs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377596">
        <w:rPr>
          <w:rFonts w:ascii="GHEA Grapalat" w:hAnsi="GHEA Grapalat"/>
          <w:iCs/>
          <w:color w:val="222222"/>
          <w:sz w:val="24"/>
          <w:szCs w:val="24"/>
          <w:shd w:val="clear" w:color="auto" w:fill="FFFFFF"/>
          <w:lang w:val="hy-AM"/>
        </w:rPr>
        <w:t>էական</w:t>
      </w:r>
      <w:r w:rsidR="00F72BF6" w:rsidRPr="00377596">
        <w:rPr>
          <w:rFonts w:ascii="GHEA Grapalat" w:hAnsi="GHEA Grapalat"/>
          <w:iCs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377596">
        <w:rPr>
          <w:rFonts w:ascii="GHEA Grapalat" w:hAnsi="GHEA Grapalat"/>
          <w:iCs/>
          <w:color w:val="222222"/>
          <w:sz w:val="24"/>
          <w:szCs w:val="24"/>
          <w:shd w:val="clear" w:color="auto" w:fill="FFFFFF"/>
          <w:lang w:val="hy-AM"/>
        </w:rPr>
        <w:t>նվազեցմանը</w:t>
      </w:r>
      <w:r w:rsidR="00F72BF6" w:rsidRPr="00377596">
        <w:rPr>
          <w:rFonts w:ascii="GHEA Grapalat" w:hAnsi="GHEA Grapalat"/>
          <w:iCs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377596">
        <w:rPr>
          <w:rFonts w:ascii="GHEA Grapalat" w:hAnsi="GHEA Grapalat"/>
          <w:iCs/>
          <w:color w:val="222222"/>
          <w:sz w:val="24"/>
          <w:szCs w:val="24"/>
          <w:shd w:val="clear" w:color="auto" w:fill="FFFFFF"/>
          <w:lang w:val="hy-AM"/>
        </w:rPr>
        <w:t>կամ</w:t>
      </w:r>
      <w:r w:rsidR="00F72BF6" w:rsidRPr="00377596">
        <w:rPr>
          <w:rFonts w:ascii="GHEA Grapalat" w:hAnsi="GHEA Grapalat"/>
          <w:iCs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377596">
        <w:rPr>
          <w:rFonts w:ascii="GHEA Grapalat" w:hAnsi="GHEA Grapalat"/>
          <w:iCs/>
          <w:color w:val="222222"/>
          <w:sz w:val="24"/>
          <w:szCs w:val="24"/>
          <w:shd w:val="clear" w:color="auto" w:fill="FFFFFF"/>
          <w:lang w:val="hy-AM"/>
        </w:rPr>
        <w:t>ավելացմանը:</w:t>
      </w:r>
    </w:p>
    <w:p w:rsidR="009D3A7A" w:rsidRPr="00377596" w:rsidRDefault="009D3A7A" w:rsidP="00F72BF6">
      <w:pPr>
        <w:spacing w:after="0" w:line="360" w:lineRule="auto"/>
        <w:ind w:right="-330" w:firstLine="426"/>
        <w:rPr>
          <w:rFonts w:ascii="GHEA Grapalat" w:eastAsia="Times New Roman" w:hAnsi="GHEA Grapalat" w:cs="Sylfaen"/>
          <w:spacing w:val="-2"/>
          <w:sz w:val="24"/>
          <w:szCs w:val="24"/>
          <w:lang w:val="hy-AM"/>
        </w:rPr>
      </w:pPr>
    </w:p>
    <w:sectPr w:rsidR="009D3A7A" w:rsidRPr="00377596" w:rsidSect="00EB6094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D5C08"/>
    <w:multiLevelType w:val="hybridMultilevel"/>
    <w:tmpl w:val="D41A92C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1977E3"/>
    <w:multiLevelType w:val="hybridMultilevel"/>
    <w:tmpl w:val="1FA2EC5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BA0360A"/>
    <w:multiLevelType w:val="hybridMultilevel"/>
    <w:tmpl w:val="DC36B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D560A"/>
    <w:multiLevelType w:val="hybridMultilevel"/>
    <w:tmpl w:val="F7C84E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817AC"/>
    <w:multiLevelType w:val="hybridMultilevel"/>
    <w:tmpl w:val="A22C1898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A86F52"/>
    <w:multiLevelType w:val="hybridMultilevel"/>
    <w:tmpl w:val="D046B880"/>
    <w:lvl w:ilvl="0" w:tplc="67EAF056">
      <w:start w:val="1"/>
      <w:numFmt w:val="decimal"/>
      <w:lvlText w:val="%1)"/>
      <w:lvlJc w:val="left"/>
      <w:pPr>
        <w:ind w:left="720" w:hanging="360"/>
      </w:pPr>
      <w:rPr>
        <w:rFonts w:cs="Sylfaen" w:hint="default"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46BB2"/>
    <w:multiLevelType w:val="hybridMultilevel"/>
    <w:tmpl w:val="36689896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511986"/>
    <w:multiLevelType w:val="hybridMultilevel"/>
    <w:tmpl w:val="909AE25C"/>
    <w:lvl w:ilvl="0" w:tplc="C61CBE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8E7F29"/>
    <w:multiLevelType w:val="hybridMultilevel"/>
    <w:tmpl w:val="E4A66CC0"/>
    <w:lvl w:ilvl="0" w:tplc="78AAA006">
      <w:start w:val="1"/>
      <w:numFmt w:val="decimal"/>
      <w:lvlText w:val="%1."/>
      <w:lvlJc w:val="left"/>
      <w:pPr>
        <w:ind w:left="540" w:hanging="360"/>
      </w:pPr>
      <w:rPr>
        <w:rFonts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45D07BD2"/>
    <w:multiLevelType w:val="hybridMultilevel"/>
    <w:tmpl w:val="0CC41B92"/>
    <w:lvl w:ilvl="0" w:tplc="08090011">
      <w:start w:val="1"/>
      <w:numFmt w:val="decimal"/>
      <w:lvlText w:val="%1)"/>
      <w:lvlJc w:val="left"/>
      <w:pPr>
        <w:ind w:left="1033" w:hanging="360"/>
      </w:pPr>
    </w:lvl>
    <w:lvl w:ilvl="1" w:tplc="08090019" w:tentative="1">
      <w:start w:val="1"/>
      <w:numFmt w:val="lowerLetter"/>
      <w:lvlText w:val="%2."/>
      <w:lvlJc w:val="left"/>
      <w:pPr>
        <w:ind w:left="1753" w:hanging="360"/>
      </w:pPr>
    </w:lvl>
    <w:lvl w:ilvl="2" w:tplc="0809001B" w:tentative="1">
      <w:start w:val="1"/>
      <w:numFmt w:val="lowerRoman"/>
      <w:lvlText w:val="%3."/>
      <w:lvlJc w:val="right"/>
      <w:pPr>
        <w:ind w:left="2473" w:hanging="180"/>
      </w:pPr>
    </w:lvl>
    <w:lvl w:ilvl="3" w:tplc="0809000F" w:tentative="1">
      <w:start w:val="1"/>
      <w:numFmt w:val="decimal"/>
      <w:lvlText w:val="%4."/>
      <w:lvlJc w:val="left"/>
      <w:pPr>
        <w:ind w:left="3193" w:hanging="360"/>
      </w:pPr>
    </w:lvl>
    <w:lvl w:ilvl="4" w:tplc="08090019" w:tentative="1">
      <w:start w:val="1"/>
      <w:numFmt w:val="lowerLetter"/>
      <w:lvlText w:val="%5."/>
      <w:lvlJc w:val="left"/>
      <w:pPr>
        <w:ind w:left="3913" w:hanging="360"/>
      </w:pPr>
    </w:lvl>
    <w:lvl w:ilvl="5" w:tplc="0809001B" w:tentative="1">
      <w:start w:val="1"/>
      <w:numFmt w:val="lowerRoman"/>
      <w:lvlText w:val="%6."/>
      <w:lvlJc w:val="right"/>
      <w:pPr>
        <w:ind w:left="4633" w:hanging="180"/>
      </w:pPr>
    </w:lvl>
    <w:lvl w:ilvl="6" w:tplc="0809000F" w:tentative="1">
      <w:start w:val="1"/>
      <w:numFmt w:val="decimal"/>
      <w:lvlText w:val="%7."/>
      <w:lvlJc w:val="left"/>
      <w:pPr>
        <w:ind w:left="5353" w:hanging="360"/>
      </w:pPr>
    </w:lvl>
    <w:lvl w:ilvl="7" w:tplc="08090019" w:tentative="1">
      <w:start w:val="1"/>
      <w:numFmt w:val="lowerLetter"/>
      <w:lvlText w:val="%8."/>
      <w:lvlJc w:val="left"/>
      <w:pPr>
        <w:ind w:left="6073" w:hanging="360"/>
      </w:pPr>
    </w:lvl>
    <w:lvl w:ilvl="8" w:tplc="080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0" w15:restartNumberingAfterBreak="0">
    <w:nsid w:val="4B5378D0"/>
    <w:multiLevelType w:val="hybridMultilevel"/>
    <w:tmpl w:val="5114F35A"/>
    <w:lvl w:ilvl="0" w:tplc="A2A085BE">
      <w:start w:val="5"/>
      <w:numFmt w:val="decimal"/>
      <w:lvlText w:val="%1."/>
      <w:lvlJc w:val="left"/>
      <w:pPr>
        <w:ind w:left="54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4D462D2F"/>
    <w:multiLevelType w:val="hybridMultilevel"/>
    <w:tmpl w:val="4A48306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F4425F2"/>
    <w:multiLevelType w:val="hybridMultilevel"/>
    <w:tmpl w:val="E1E83EC0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1543A74"/>
    <w:multiLevelType w:val="hybridMultilevel"/>
    <w:tmpl w:val="236EA8F0"/>
    <w:lvl w:ilvl="0" w:tplc="D94A6A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312BD2"/>
    <w:multiLevelType w:val="hybridMultilevel"/>
    <w:tmpl w:val="8C007C56"/>
    <w:lvl w:ilvl="0" w:tplc="5A70F6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B35B63"/>
    <w:multiLevelType w:val="hybridMultilevel"/>
    <w:tmpl w:val="B7E0BDF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3259FE"/>
    <w:multiLevelType w:val="hybridMultilevel"/>
    <w:tmpl w:val="273CAA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DE6F07"/>
    <w:multiLevelType w:val="hybridMultilevel"/>
    <w:tmpl w:val="36689896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A0A11F8"/>
    <w:multiLevelType w:val="hybridMultilevel"/>
    <w:tmpl w:val="09928DF0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 w15:restartNumberingAfterBreak="0">
    <w:nsid w:val="7A3F2262"/>
    <w:multiLevelType w:val="hybridMultilevel"/>
    <w:tmpl w:val="D2B89DCA"/>
    <w:lvl w:ilvl="0" w:tplc="77F688C8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EC06439"/>
    <w:multiLevelType w:val="hybridMultilevel"/>
    <w:tmpl w:val="60E495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942134"/>
    <w:multiLevelType w:val="hybridMultilevel"/>
    <w:tmpl w:val="028283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5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7"/>
  </w:num>
  <w:num w:numId="7">
    <w:abstractNumId w:val="14"/>
  </w:num>
  <w:num w:numId="8">
    <w:abstractNumId w:val="13"/>
  </w:num>
  <w:num w:numId="9">
    <w:abstractNumId w:val="11"/>
  </w:num>
  <w:num w:numId="10">
    <w:abstractNumId w:val="0"/>
  </w:num>
  <w:num w:numId="11">
    <w:abstractNumId w:val="19"/>
  </w:num>
  <w:num w:numId="12">
    <w:abstractNumId w:val="5"/>
  </w:num>
  <w:num w:numId="13">
    <w:abstractNumId w:val="7"/>
  </w:num>
  <w:num w:numId="14">
    <w:abstractNumId w:val="1"/>
  </w:num>
  <w:num w:numId="15">
    <w:abstractNumId w:val="3"/>
  </w:num>
  <w:num w:numId="16">
    <w:abstractNumId w:val="12"/>
  </w:num>
  <w:num w:numId="17">
    <w:abstractNumId w:val="4"/>
  </w:num>
  <w:num w:numId="18">
    <w:abstractNumId w:val="21"/>
  </w:num>
  <w:num w:numId="19">
    <w:abstractNumId w:val="6"/>
  </w:num>
  <w:num w:numId="20">
    <w:abstractNumId w:val="20"/>
  </w:num>
  <w:num w:numId="21">
    <w:abstractNumId w:val="8"/>
  </w:num>
  <w:num w:numId="22">
    <w:abstractNumId w:val="10"/>
  </w:num>
  <w:num w:numId="23">
    <w:abstractNumId w:val="9"/>
  </w:num>
  <w:num w:numId="24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960"/>
    <w:rsid w:val="00000A16"/>
    <w:rsid w:val="000054C8"/>
    <w:rsid w:val="00067362"/>
    <w:rsid w:val="000C4C69"/>
    <w:rsid w:val="000C724A"/>
    <w:rsid w:val="000F2DCC"/>
    <w:rsid w:val="000F658D"/>
    <w:rsid w:val="000F7713"/>
    <w:rsid w:val="00101531"/>
    <w:rsid w:val="00112EC6"/>
    <w:rsid w:val="001171F6"/>
    <w:rsid w:val="00120752"/>
    <w:rsid w:val="001221A5"/>
    <w:rsid w:val="00134914"/>
    <w:rsid w:val="001505C7"/>
    <w:rsid w:val="001A4D44"/>
    <w:rsid w:val="001C6ACE"/>
    <w:rsid w:val="001D3AAC"/>
    <w:rsid w:val="001F54CB"/>
    <w:rsid w:val="00210291"/>
    <w:rsid w:val="0024060E"/>
    <w:rsid w:val="002420B1"/>
    <w:rsid w:val="00243D83"/>
    <w:rsid w:val="00245F3A"/>
    <w:rsid w:val="0025046F"/>
    <w:rsid w:val="002646F9"/>
    <w:rsid w:val="0026545F"/>
    <w:rsid w:val="002738A4"/>
    <w:rsid w:val="00292AE0"/>
    <w:rsid w:val="002A6DAF"/>
    <w:rsid w:val="002B2F87"/>
    <w:rsid w:val="002D7AF3"/>
    <w:rsid w:val="002F3BC8"/>
    <w:rsid w:val="00304C1E"/>
    <w:rsid w:val="00321B3F"/>
    <w:rsid w:val="003241A9"/>
    <w:rsid w:val="00324315"/>
    <w:rsid w:val="00326ED7"/>
    <w:rsid w:val="00345B8D"/>
    <w:rsid w:val="00347268"/>
    <w:rsid w:val="003638BE"/>
    <w:rsid w:val="00371463"/>
    <w:rsid w:val="00376867"/>
    <w:rsid w:val="00377596"/>
    <w:rsid w:val="00383681"/>
    <w:rsid w:val="00394E7F"/>
    <w:rsid w:val="003E17DA"/>
    <w:rsid w:val="003E317B"/>
    <w:rsid w:val="003F4DA3"/>
    <w:rsid w:val="00415B60"/>
    <w:rsid w:val="00446181"/>
    <w:rsid w:val="00464C3A"/>
    <w:rsid w:val="004740C7"/>
    <w:rsid w:val="004B38A2"/>
    <w:rsid w:val="004E461A"/>
    <w:rsid w:val="005140A1"/>
    <w:rsid w:val="00541752"/>
    <w:rsid w:val="00582678"/>
    <w:rsid w:val="005A5AF8"/>
    <w:rsid w:val="005B0936"/>
    <w:rsid w:val="005B0C57"/>
    <w:rsid w:val="005E3687"/>
    <w:rsid w:val="00611E46"/>
    <w:rsid w:val="006135D5"/>
    <w:rsid w:val="00622F60"/>
    <w:rsid w:val="006260CB"/>
    <w:rsid w:val="0066052F"/>
    <w:rsid w:val="00662F32"/>
    <w:rsid w:val="006652BC"/>
    <w:rsid w:val="006A4043"/>
    <w:rsid w:val="006A5D21"/>
    <w:rsid w:val="006B1DB6"/>
    <w:rsid w:val="006C789F"/>
    <w:rsid w:val="006F6AB0"/>
    <w:rsid w:val="00721884"/>
    <w:rsid w:val="007A2645"/>
    <w:rsid w:val="007A427F"/>
    <w:rsid w:val="007B571D"/>
    <w:rsid w:val="007B61C6"/>
    <w:rsid w:val="007C6B99"/>
    <w:rsid w:val="007D5607"/>
    <w:rsid w:val="007E5F7B"/>
    <w:rsid w:val="0080382D"/>
    <w:rsid w:val="0080664F"/>
    <w:rsid w:val="008423B4"/>
    <w:rsid w:val="00843E92"/>
    <w:rsid w:val="008640CA"/>
    <w:rsid w:val="008645ED"/>
    <w:rsid w:val="008820D1"/>
    <w:rsid w:val="00887B60"/>
    <w:rsid w:val="008C2FE3"/>
    <w:rsid w:val="008D1792"/>
    <w:rsid w:val="008F4F36"/>
    <w:rsid w:val="009207C6"/>
    <w:rsid w:val="0094403B"/>
    <w:rsid w:val="009443C8"/>
    <w:rsid w:val="00973130"/>
    <w:rsid w:val="00974556"/>
    <w:rsid w:val="009838E4"/>
    <w:rsid w:val="009875EE"/>
    <w:rsid w:val="009B159F"/>
    <w:rsid w:val="009D19ED"/>
    <w:rsid w:val="009D3A7A"/>
    <w:rsid w:val="00A13CCC"/>
    <w:rsid w:val="00A4695B"/>
    <w:rsid w:val="00A5098B"/>
    <w:rsid w:val="00A72112"/>
    <w:rsid w:val="00A73054"/>
    <w:rsid w:val="00A742F7"/>
    <w:rsid w:val="00A760E2"/>
    <w:rsid w:val="00A94484"/>
    <w:rsid w:val="00AA6910"/>
    <w:rsid w:val="00AB145C"/>
    <w:rsid w:val="00AD5A86"/>
    <w:rsid w:val="00AD74D8"/>
    <w:rsid w:val="00AE3D62"/>
    <w:rsid w:val="00B04234"/>
    <w:rsid w:val="00B21BB7"/>
    <w:rsid w:val="00B36403"/>
    <w:rsid w:val="00B573E1"/>
    <w:rsid w:val="00B710F5"/>
    <w:rsid w:val="00BA5E86"/>
    <w:rsid w:val="00BA6EC3"/>
    <w:rsid w:val="00BC1B99"/>
    <w:rsid w:val="00BC4937"/>
    <w:rsid w:val="00BE3C6B"/>
    <w:rsid w:val="00BE4C1D"/>
    <w:rsid w:val="00BE5E4E"/>
    <w:rsid w:val="00BF4987"/>
    <w:rsid w:val="00C072FA"/>
    <w:rsid w:val="00C228A4"/>
    <w:rsid w:val="00C30690"/>
    <w:rsid w:val="00C44C1E"/>
    <w:rsid w:val="00C768CA"/>
    <w:rsid w:val="00C853DE"/>
    <w:rsid w:val="00C85BAA"/>
    <w:rsid w:val="00CE1E0F"/>
    <w:rsid w:val="00CE624E"/>
    <w:rsid w:val="00CF5400"/>
    <w:rsid w:val="00D03251"/>
    <w:rsid w:val="00D04A17"/>
    <w:rsid w:val="00D1398A"/>
    <w:rsid w:val="00D168CD"/>
    <w:rsid w:val="00D37F77"/>
    <w:rsid w:val="00D55956"/>
    <w:rsid w:val="00D61A02"/>
    <w:rsid w:val="00D70915"/>
    <w:rsid w:val="00DA412B"/>
    <w:rsid w:val="00DB0484"/>
    <w:rsid w:val="00DB38BB"/>
    <w:rsid w:val="00DC0ADC"/>
    <w:rsid w:val="00DD648A"/>
    <w:rsid w:val="00E40216"/>
    <w:rsid w:val="00E45A8D"/>
    <w:rsid w:val="00E474BF"/>
    <w:rsid w:val="00E73F59"/>
    <w:rsid w:val="00E80FCB"/>
    <w:rsid w:val="00E967C9"/>
    <w:rsid w:val="00EA4C33"/>
    <w:rsid w:val="00EB0204"/>
    <w:rsid w:val="00EB3607"/>
    <w:rsid w:val="00EB6094"/>
    <w:rsid w:val="00EE4CAF"/>
    <w:rsid w:val="00EF416D"/>
    <w:rsid w:val="00F0758F"/>
    <w:rsid w:val="00F10327"/>
    <w:rsid w:val="00F20934"/>
    <w:rsid w:val="00F31B63"/>
    <w:rsid w:val="00F4743D"/>
    <w:rsid w:val="00F561FB"/>
    <w:rsid w:val="00F72BF6"/>
    <w:rsid w:val="00F776CD"/>
    <w:rsid w:val="00F8074D"/>
    <w:rsid w:val="00F84960"/>
    <w:rsid w:val="00F85AD4"/>
    <w:rsid w:val="00F966FA"/>
    <w:rsid w:val="00FA6EB0"/>
    <w:rsid w:val="00FB7C4A"/>
    <w:rsid w:val="00FC72F8"/>
    <w:rsid w:val="00FD6A0B"/>
    <w:rsid w:val="00FF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21926"/>
  <w15:chartTrackingRefBased/>
  <w15:docId w15:val="{3F7D6742-BE22-4330-A558-65050D7D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BC8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F3BC8"/>
    <w:rPr>
      <w:b/>
      <w:bCs/>
    </w:rPr>
  </w:style>
  <w:style w:type="paragraph" w:styleId="NormalWeb">
    <w:name w:val="Normal (Web)"/>
    <w:basedOn w:val="Normal"/>
    <w:uiPriority w:val="99"/>
    <w:unhideWhenUsed/>
    <w:rsid w:val="002F3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Char">
    <w:name w:val="norm Char"/>
    <w:link w:val="norm"/>
    <w:locked/>
    <w:rsid w:val="002F3BC8"/>
    <w:rPr>
      <w:rFonts w:ascii="Arial Armenian" w:eastAsia="Times New Roman" w:hAnsi="Arial Armenian" w:cs="Times New Roman"/>
      <w:lang w:val="en-US" w:eastAsia="ru-RU"/>
    </w:rPr>
  </w:style>
  <w:style w:type="paragraph" w:customStyle="1" w:styleId="norm">
    <w:name w:val="norm"/>
    <w:basedOn w:val="Normal"/>
    <w:link w:val="normChar"/>
    <w:rsid w:val="002F3BC8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en-US" w:eastAsia="ru-RU"/>
    </w:rPr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2F3BC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C4C69"/>
    <w:rPr>
      <w:i/>
      <w:iCs/>
    </w:rPr>
  </w:style>
  <w:style w:type="paragraph" w:customStyle="1" w:styleId="mechtex">
    <w:name w:val="mechtex"/>
    <w:basedOn w:val="Normal"/>
    <w:link w:val="mechtexChar"/>
    <w:rsid w:val="003E17DA"/>
    <w:pPr>
      <w:spacing w:after="0" w:line="240" w:lineRule="auto"/>
      <w:jc w:val="center"/>
    </w:pPr>
    <w:rPr>
      <w:rFonts w:ascii="Arial Armenian" w:eastAsia="Times New Roman" w:hAnsi="Arial Armenian"/>
      <w:lang w:val="en-US" w:eastAsia="ru-RU"/>
    </w:rPr>
  </w:style>
  <w:style w:type="character" w:customStyle="1" w:styleId="mechtexChar">
    <w:name w:val="mechtex Char"/>
    <w:link w:val="mechtex"/>
    <w:locked/>
    <w:rsid w:val="003E17DA"/>
    <w:rPr>
      <w:rFonts w:ascii="Arial Armenian" w:eastAsia="Times New Roman" w:hAnsi="Arial Armenian" w:cs="Times New Roman"/>
      <w:lang w:val="en-US"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221A5"/>
    <w:pPr>
      <w:spacing w:after="120" w:line="240" w:lineRule="auto"/>
      <w:ind w:left="283"/>
    </w:pPr>
    <w:rPr>
      <w:rFonts w:ascii="Arial Unicode" w:eastAsia="Times New Roman" w:hAnsi="Arial Unicode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221A5"/>
    <w:rPr>
      <w:rFonts w:ascii="Arial Unicode" w:eastAsia="Times New Roman" w:hAnsi="Arial Unicode" w:cs="Times New Roman"/>
      <w:sz w:val="16"/>
      <w:szCs w:val="16"/>
      <w:lang w:val="en-US"/>
    </w:rPr>
  </w:style>
  <w:style w:type="paragraph" w:styleId="BodyText">
    <w:name w:val="Body Text"/>
    <w:basedOn w:val="Normal"/>
    <w:link w:val="BodyTextChar"/>
    <w:rsid w:val="001221A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1221A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1221A5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3E1"/>
    <w:rPr>
      <w:rFonts w:ascii="Segoe UI" w:eastAsia="Calibri" w:hAnsi="Segoe UI" w:cs="Segoe UI"/>
      <w:sz w:val="18"/>
      <w:szCs w:val="18"/>
      <w:lang w:val="ru-RU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4E461A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1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rliament.am/register.php?ID=6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Minasyan</dc:creator>
  <cp:keywords>https:/mul2.gov.am/tasks/316295/oneclick/NAXAGIC_HIMNAVORUM_82.docx?token=5574169e1ecd626b24e9ab41e3bbfe94</cp:keywords>
  <dc:description/>
  <cp:lastModifiedBy>Lusine Vahramyan</cp:lastModifiedBy>
  <cp:revision>2</cp:revision>
  <cp:lastPrinted>2020-08-12T09:08:00Z</cp:lastPrinted>
  <dcterms:created xsi:type="dcterms:W3CDTF">2024-02-27T07:16:00Z</dcterms:created>
  <dcterms:modified xsi:type="dcterms:W3CDTF">2024-02-27T07:16:00Z</dcterms:modified>
</cp:coreProperties>
</file>