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48" w:rsidRPr="009910B2" w:rsidRDefault="00861548" w:rsidP="009910B2">
      <w:pPr>
        <w:tabs>
          <w:tab w:val="left" w:pos="7938"/>
        </w:tabs>
        <w:spacing w:after="0" w:line="360" w:lineRule="auto"/>
        <w:jc w:val="center"/>
        <w:rPr>
          <w:rFonts w:ascii="GHEA Grapalat" w:eastAsia="Times New Roman" w:hAnsi="GHEA Grapalat" w:cs="Aparajita"/>
          <w:b/>
          <w:sz w:val="24"/>
          <w:szCs w:val="24"/>
          <w:lang w:val="pt-BR"/>
        </w:rPr>
      </w:pP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ՀԻՄՆԱՎՈՐՈՒՄ</w:t>
      </w:r>
    </w:p>
    <w:p w:rsidR="00861548" w:rsidRPr="009910B2" w:rsidRDefault="00861548" w:rsidP="009910B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</w:pPr>
      <w:r w:rsidRPr="009910B2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>«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ՀԱՅԱՍՏԱՆԻ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ՀԱՆՐԱՊԵՏՈՒԹՅԱՆ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ՀԱՐԿԱՅԻՆ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ՕՐԵՆՍԳՐՔՈՒՄ</w:t>
      </w:r>
    </w:p>
    <w:p w:rsidR="00861548" w:rsidRPr="009910B2" w:rsidRDefault="00861548" w:rsidP="009910B2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ԼՐԱՑՈՒՄՆԵՐ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ԵՎ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ՓՈՓՈԽՈՒԹՅՈՒՆ</w:t>
      </w:r>
      <w:r w:rsidR="001115B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ՆԵՐ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ԿԱՏԱՐԵԼՈՒ</w:t>
      </w: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9910B2">
        <w:rPr>
          <w:rFonts w:ascii="GHEA Grapalat" w:eastAsia="Times New Roman" w:hAnsi="GHEA Grapalat" w:cs="Arial"/>
          <w:b/>
          <w:bCs/>
          <w:sz w:val="24"/>
          <w:szCs w:val="24"/>
        </w:rPr>
        <w:t>ՄԱՍԻՆ</w:t>
      </w:r>
      <w:r w:rsidRPr="009910B2">
        <w:rPr>
          <w:rFonts w:ascii="GHEA Grapalat" w:eastAsia="Times New Roman" w:hAnsi="GHEA Grapalat" w:cs="Aparajita"/>
          <w:b/>
          <w:sz w:val="24"/>
          <w:szCs w:val="24"/>
          <w:lang w:val="af-ZA"/>
        </w:rPr>
        <w:t xml:space="preserve">»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ՀԱՅԱՍՏԱՆԻ</w:t>
      </w:r>
      <w:r w:rsidRPr="009910B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ՀԱՆՐԱՊԵՏՈՒԹՅԱՆ</w:t>
      </w:r>
      <w:r w:rsidRPr="009910B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ՕՐԵՆՔԻ</w:t>
      </w:r>
      <w:r w:rsidRPr="009910B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ՆԱԽԱԳԾԻ</w:t>
      </w:r>
      <w:r w:rsidRPr="009910B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ԸՆԴՈՒՆՄԱՆ</w:t>
      </w:r>
    </w:p>
    <w:p w:rsidR="00861548" w:rsidRPr="009910B2" w:rsidRDefault="00861548" w:rsidP="009910B2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861548" w:rsidRPr="009910B2" w:rsidRDefault="00861548" w:rsidP="009910B2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hanging="77"/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</w:pPr>
      <w:r w:rsidRPr="009910B2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Կարգավորման</w:t>
      </w:r>
      <w:r w:rsidRPr="009910B2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ենթակա</w:t>
      </w:r>
      <w:r w:rsidRPr="009910B2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խնդիրը</w:t>
      </w:r>
      <w:r w:rsidRPr="009910B2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.</w:t>
      </w:r>
    </w:p>
    <w:p w:rsidR="00861548" w:rsidRPr="009910B2" w:rsidRDefault="00861548" w:rsidP="009910B2">
      <w:pPr>
        <w:shd w:val="clear" w:color="auto" w:fill="FFFFFF"/>
        <w:spacing w:after="0" w:line="360" w:lineRule="auto"/>
        <w:ind w:right="5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910B2">
        <w:rPr>
          <w:rFonts w:ascii="GHEA Grapalat" w:hAnsi="GHEA Grapalat"/>
          <w:bCs/>
          <w:sz w:val="24"/>
          <w:szCs w:val="24"/>
          <w:lang w:val="hy-AM"/>
        </w:rPr>
        <w:t>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Հայաստանի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Հանրապետության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օրենսգրքում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eastAsia="Times New Roman" w:hAnsi="GHEA Grapalat" w:cs="Sylfaen"/>
          <w:bCs/>
          <w:sz w:val="24"/>
          <w:szCs w:val="24"/>
          <w:lang w:val="fr-FR"/>
        </w:rPr>
        <w:t>(</w:t>
      </w:r>
      <w:r w:rsidRPr="009910B2">
        <w:rPr>
          <w:rFonts w:ascii="GHEA Grapalat" w:eastAsia="Times New Roman" w:hAnsi="GHEA Grapalat" w:cs="Arial"/>
          <w:bCs/>
          <w:sz w:val="24"/>
          <w:szCs w:val="24"/>
          <w:lang w:val="hy-AM"/>
        </w:rPr>
        <w:t>այսուհետ՝</w:t>
      </w:r>
      <w:r w:rsidRPr="009910B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Cs/>
          <w:sz w:val="24"/>
          <w:szCs w:val="24"/>
          <w:lang w:val="hy-AM"/>
        </w:rPr>
        <w:t>Օրենսգիրք</w:t>
      </w:r>
      <w:r w:rsidRPr="009910B2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) 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լրացումներ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fr-FR"/>
        </w:rPr>
        <w:t>և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9910B2">
        <w:rPr>
          <w:rFonts w:ascii="GHEA Grapalat" w:hAnsi="GHEA Grapalat" w:cs="Arial"/>
          <w:bCs/>
          <w:sz w:val="24"/>
          <w:szCs w:val="24"/>
          <w:lang w:val="fr-FR"/>
        </w:rPr>
        <w:t>փոփոխություն</w:t>
      </w:r>
      <w:proofErr w:type="spellEnd"/>
      <w:r w:rsidR="001E64CC">
        <w:rPr>
          <w:rFonts w:ascii="GHEA Grapalat" w:hAnsi="GHEA Grapalat" w:cs="Arial"/>
          <w:bCs/>
          <w:sz w:val="24"/>
          <w:szCs w:val="24"/>
          <w:lang w:val="hy-AM"/>
        </w:rPr>
        <w:t>ներ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կատարելու</w:t>
      </w:r>
      <w:r w:rsidRPr="009910B2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մասին</w:t>
      </w:r>
      <w:r w:rsidRPr="009910B2">
        <w:rPr>
          <w:rFonts w:ascii="GHEA Grapalat" w:hAnsi="GHEA Grapalat"/>
          <w:bCs/>
          <w:sz w:val="24"/>
          <w:szCs w:val="24"/>
          <w:lang w:val="hy-AM"/>
        </w:rPr>
        <w:t>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Հայաստանի</w:t>
      </w:r>
      <w:r w:rsidRPr="009910B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bCs/>
          <w:sz w:val="24"/>
          <w:szCs w:val="24"/>
          <w:lang w:val="hy-AM"/>
        </w:rPr>
        <w:t>Հանրապետության</w:t>
      </w:r>
      <w:r w:rsidRPr="009910B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9910B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9910B2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այսուհետ</w:t>
      </w:r>
      <w:r w:rsidRPr="009910B2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Նախագիծ</w:t>
      </w:r>
      <w:r w:rsidRPr="009910B2">
        <w:rPr>
          <w:rFonts w:ascii="GHEA Grapalat" w:hAnsi="GHEA Grapalat" w:cs="GHEA Grapalat"/>
          <w:sz w:val="24"/>
          <w:szCs w:val="24"/>
          <w:lang w:val="fr-FR"/>
        </w:rPr>
        <w:t>)</w:t>
      </w:r>
      <w:r w:rsidRPr="00991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մշակումը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հետապնդում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կարգավորման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ենթարկել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328D" w:rsidRPr="0037328D">
        <w:rPr>
          <w:rFonts w:ascii="GHEA Grapalat" w:hAnsi="GHEA Grapalat" w:cs="Sylfaen"/>
          <w:sz w:val="24"/>
          <w:szCs w:val="24"/>
          <w:lang w:val="hy-AM"/>
        </w:rPr>
        <w:t xml:space="preserve">հարկային պլանավորման </w:t>
      </w:r>
      <w:r w:rsidR="00AF4688" w:rsidRPr="00AF4688">
        <w:rPr>
          <w:rFonts w:ascii="GHEA Grapalat" w:hAnsi="GHEA Grapalat" w:cs="Sylfaen"/>
          <w:sz w:val="24"/>
          <w:szCs w:val="24"/>
          <w:lang w:val="hy-AM"/>
        </w:rPr>
        <w:t xml:space="preserve">մեթոդների </w:t>
      </w:r>
      <w:r w:rsidR="00AF4688">
        <w:rPr>
          <w:rFonts w:ascii="GHEA Grapalat" w:hAnsi="GHEA Grapalat" w:cs="Sylfaen"/>
          <w:sz w:val="24"/>
          <w:szCs w:val="24"/>
          <w:lang w:val="hy-AM"/>
        </w:rPr>
        <w:t xml:space="preserve">չարաշահման դեպքերում </w:t>
      </w:r>
      <w:r w:rsidR="000166BC">
        <w:rPr>
          <w:rFonts w:ascii="GHEA Grapalat" w:hAnsi="GHEA Grapalat" w:cs="Sylfaen"/>
          <w:sz w:val="24"/>
          <w:szCs w:val="24"/>
          <w:lang w:val="hy-AM"/>
        </w:rPr>
        <w:t xml:space="preserve">առաջացող </w:t>
      </w:r>
      <w:r w:rsidR="00AF4688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="000166BC">
        <w:rPr>
          <w:rFonts w:ascii="GHEA Grapalat" w:hAnsi="GHEA Grapalat" w:cs="Sylfaen"/>
          <w:sz w:val="24"/>
          <w:szCs w:val="24"/>
          <w:lang w:val="hy-AM"/>
        </w:rPr>
        <w:t>իրավա</w:t>
      </w:r>
      <w:r w:rsidR="00AF4688">
        <w:rPr>
          <w:rFonts w:ascii="GHEA Grapalat" w:hAnsi="GHEA Grapalat" w:cs="Sylfaen"/>
          <w:sz w:val="24"/>
          <w:szCs w:val="24"/>
          <w:lang w:val="hy-AM"/>
        </w:rPr>
        <w:t>հարաբերություններ</w:t>
      </w:r>
      <w:r w:rsidR="000166BC">
        <w:rPr>
          <w:rFonts w:ascii="GHEA Grapalat" w:hAnsi="GHEA Grapalat" w:cs="Sylfaen"/>
          <w:sz w:val="24"/>
          <w:szCs w:val="24"/>
          <w:lang w:val="hy-AM"/>
        </w:rPr>
        <w:t xml:space="preserve">ը: </w:t>
      </w:r>
    </w:p>
    <w:p w:rsidR="00D516B4" w:rsidRPr="009910B2" w:rsidRDefault="00D516B4" w:rsidP="009910B2">
      <w:pPr>
        <w:shd w:val="clear" w:color="auto" w:fill="FFFFFF"/>
        <w:spacing w:after="0" w:line="360" w:lineRule="auto"/>
        <w:ind w:right="-720"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9910B2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9910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9910B2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:rsidR="00861548" w:rsidRPr="009910B2" w:rsidRDefault="00861548" w:rsidP="009910B2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E24">
        <w:rPr>
          <w:rFonts w:ascii="GHEA Grapalat" w:hAnsi="GHEA Grapalat" w:cs="Arial"/>
          <w:sz w:val="24"/>
          <w:szCs w:val="24"/>
          <w:lang w:val="hy-AM"/>
        </w:rPr>
        <w:t xml:space="preserve">համաձայն`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անկախ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9910B2">
        <w:rPr>
          <w:rFonts w:ascii="GHEA Grapalat" w:hAnsi="GHEA Grapalat" w:cs="Arial"/>
          <w:sz w:val="24"/>
          <w:szCs w:val="24"/>
          <w:lang w:val="hy-AM"/>
        </w:rPr>
        <w:t>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պայմանների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առկայությունից՝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կազմակերպությունները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10B2">
        <w:rPr>
          <w:rFonts w:ascii="GHEA Grapalat" w:hAnsi="GHEA Grapalat" w:cs="Arial"/>
          <w:sz w:val="24"/>
          <w:szCs w:val="24"/>
          <w:lang w:val="hy-AM"/>
        </w:rPr>
        <w:t>ֆիզիկական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անձինք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փոխկապակցված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եթե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գլխով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երրորդ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անձից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թվում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ստացված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օպերատիվ</w:t>
      </w:r>
      <w:r w:rsidRPr="009910B2">
        <w:rPr>
          <w:rFonts w:ascii="GHEA Grapalat" w:hAnsi="GHEA Grapalat"/>
          <w:sz w:val="24"/>
          <w:szCs w:val="24"/>
          <w:lang w:val="hy-AM"/>
        </w:rPr>
        <w:t>-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հետախուզական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ձեռք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բերված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վրա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կազմակերպությունները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10B2">
        <w:rPr>
          <w:rFonts w:ascii="GHEA Grapalat" w:hAnsi="GHEA Grapalat" w:cs="Arial"/>
          <w:sz w:val="24"/>
          <w:szCs w:val="24"/>
          <w:lang w:val="hy-AM"/>
        </w:rPr>
        <w:t>ֆիզիկական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անձինք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շահերից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ելնելով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համաձայնեցված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հիմքով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ղեկավարի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ճանաչվում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փոխկապակցված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իմաստով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վճարողներին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փոխկապակցված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ճանաչելիս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առնվում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հանգամանքները</w:t>
      </w:r>
      <w:r w:rsidRPr="009910B2">
        <w:rPr>
          <w:rFonts w:ascii="GHEA Grapalat" w:hAnsi="GHEA Grapalat"/>
          <w:sz w:val="24"/>
          <w:szCs w:val="24"/>
          <w:lang w:val="hy-AM"/>
        </w:rPr>
        <w:t>.</w:t>
      </w:r>
    </w:p>
    <w:p w:rsidR="00861548" w:rsidRPr="009910B2" w:rsidRDefault="00861548" w:rsidP="009910B2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միմյանց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միջև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կատարվող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գործարքների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ծավալը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պարբերականությունը</w:t>
      </w:r>
      <w:r w:rsidRPr="009910B2">
        <w:rPr>
          <w:rFonts w:ascii="GHEA Grapalat" w:hAnsi="GHEA Grapalat"/>
          <w:sz w:val="24"/>
          <w:szCs w:val="24"/>
          <w:lang w:val="hy-AM"/>
        </w:rPr>
        <w:t>.</w:t>
      </w:r>
    </w:p>
    <w:p w:rsidR="00861548" w:rsidRPr="009910B2" w:rsidRDefault="00861548" w:rsidP="009910B2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միմյանցից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ձեռք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բերվող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ապրանքների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հետագա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վաճառքի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գներն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վերադիրները</w:t>
      </w:r>
      <w:r w:rsidRPr="009910B2">
        <w:rPr>
          <w:rFonts w:ascii="GHEA Grapalat" w:hAnsi="GHEA Grapalat"/>
          <w:sz w:val="24"/>
          <w:szCs w:val="24"/>
          <w:lang w:val="hy-AM"/>
        </w:rPr>
        <w:t>.</w:t>
      </w:r>
    </w:p>
    <w:p w:rsidR="00861548" w:rsidRPr="009910B2" w:rsidRDefault="00861548" w:rsidP="009910B2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/>
          <w:sz w:val="24"/>
          <w:szCs w:val="24"/>
          <w:lang w:val="hy-AM"/>
        </w:rPr>
        <w:t xml:space="preserve">3)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որևէ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ապրանքային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շուկայում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ունեցած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մասնաբաժնի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մեծությունը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0166B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Հարկ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նկատել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1211F7">
        <w:rPr>
          <w:rFonts w:ascii="GHEA Grapalat" w:hAnsi="GHEA Grapalat"/>
          <w:sz w:val="24"/>
          <w:szCs w:val="24"/>
          <w:lang w:val="hy-AM"/>
        </w:rPr>
        <w:t xml:space="preserve">վերոնշյալ դրույթով սահմանված` հարկ վճարողների </w:t>
      </w:r>
      <w:proofErr w:type="spellStart"/>
      <w:r w:rsidR="001211F7">
        <w:rPr>
          <w:rFonts w:ascii="GHEA Grapalat" w:hAnsi="GHEA Grapalat"/>
          <w:sz w:val="24"/>
          <w:szCs w:val="24"/>
          <w:lang w:val="hy-AM"/>
        </w:rPr>
        <w:t>փոխկապակցվածության</w:t>
      </w:r>
      <w:proofErr w:type="spellEnd"/>
      <w:r w:rsidR="001211F7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742">
        <w:rPr>
          <w:rFonts w:ascii="GHEA Grapalat" w:hAnsi="GHEA Grapalat"/>
          <w:sz w:val="24"/>
          <w:szCs w:val="24"/>
          <w:lang w:val="hy-AM"/>
        </w:rPr>
        <w:t>դեպ</w:t>
      </w:r>
      <w:r w:rsidR="001211F7">
        <w:rPr>
          <w:rFonts w:ascii="GHEA Grapalat" w:hAnsi="GHEA Grapalat"/>
          <w:sz w:val="24"/>
          <w:szCs w:val="24"/>
          <w:lang w:val="hy-AM"/>
        </w:rPr>
        <w:t xml:space="preserve">քերը բովանդակային առումով կարող են դիտարկվել նաև որպես </w:t>
      </w:r>
      <w:r w:rsidR="001211F7" w:rsidRPr="001211F7">
        <w:rPr>
          <w:rFonts w:ascii="GHEA Grapalat" w:hAnsi="GHEA Grapalat"/>
          <w:sz w:val="24"/>
          <w:szCs w:val="24"/>
          <w:lang w:val="hy-AM"/>
        </w:rPr>
        <w:t>հարկային պլանավորման մեթոդների չարաշահման դեպքեր</w:t>
      </w:r>
      <w:r w:rsidR="001211F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34E3F" w:rsidRDefault="00466E85" w:rsidP="0007374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Ելնելով </w:t>
      </w:r>
      <w:proofErr w:type="spellStart"/>
      <w:r>
        <w:rPr>
          <w:rFonts w:ascii="GHEA Grapalat" w:hAnsi="GHEA Grapalat" w:cs="Arial"/>
          <w:sz w:val="24"/>
          <w:szCs w:val="24"/>
          <w:lang w:val="hy-AM"/>
        </w:rPr>
        <w:t>վերոգրյալից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` </w:t>
      </w:r>
      <w:r w:rsidR="00861548" w:rsidRPr="009910B2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="00861548"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նախատեսվում է 30-րդ հոդվածի 2-րդ մասը</w:t>
      </w:r>
      <w:r w:rsidR="00237DF5" w:rsidRPr="00237DF5">
        <w:rPr>
          <w:rFonts w:ascii="GHEA Grapalat" w:hAnsi="GHEA Grapalat"/>
          <w:sz w:val="24"/>
          <w:szCs w:val="24"/>
          <w:lang w:val="hy-AM"/>
        </w:rPr>
        <w:t xml:space="preserve"> </w:t>
      </w:r>
      <w:r w:rsidR="00237DF5">
        <w:rPr>
          <w:rFonts w:ascii="GHEA Grapalat" w:hAnsi="GHEA Grapalat"/>
          <w:sz w:val="24"/>
          <w:szCs w:val="24"/>
          <w:lang w:val="hy-AM"/>
        </w:rPr>
        <w:t>շարադրել նոր խմբագրությամբ, ինչպես նաև նույն հոդվածում լրացնել 2.1-ին մաս</w:t>
      </w:r>
      <w:r w:rsidR="00834E3F">
        <w:rPr>
          <w:rFonts w:ascii="GHEA Grapalat" w:hAnsi="GHEA Grapalat"/>
          <w:sz w:val="24"/>
          <w:szCs w:val="24"/>
          <w:lang w:val="hy-AM"/>
        </w:rPr>
        <w:t>, որով սահմանվում են հարկ վճարողների` ընդհանուր տնտեսական շահերից ելնելով համաձայնեցված գործող համարվելու դեպքերը:</w:t>
      </w:r>
    </w:p>
    <w:p w:rsidR="003526B7" w:rsidRDefault="00834E3F" w:rsidP="0007374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Բացի այդ, նախատեսվում է </w:t>
      </w:r>
      <w:r w:rsidR="003526B7">
        <w:rPr>
          <w:rFonts w:ascii="GHEA Grapalat" w:hAnsi="GHEA Grapalat"/>
          <w:sz w:val="24"/>
          <w:szCs w:val="24"/>
          <w:lang w:val="hy-AM"/>
        </w:rPr>
        <w:t xml:space="preserve">Օրենսգրքում լրացնել նոր հոդված, որով  </w:t>
      </w:r>
      <w:r w:rsidR="003526B7" w:rsidRPr="003526B7">
        <w:rPr>
          <w:rFonts w:ascii="GHEA Grapalat" w:hAnsi="GHEA Grapalat"/>
          <w:sz w:val="24"/>
          <w:szCs w:val="24"/>
          <w:lang w:val="hy-AM"/>
        </w:rPr>
        <w:t xml:space="preserve">կարգավորման է ենթարկվում </w:t>
      </w:r>
      <w:r w:rsidR="003526B7">
        <w:rPr>
          <w:rFonts w:ascii="GHEA Grapalat" w:hAnsi="GHEA Grapalat"/>
          <w:sz w:val="24"/>
          <w:szCs w:val="24"/>
          <w:lang w:val="hy-AM"/>
        </w:rPr>
        <w:t>հ</w:t>
      </w:r>
      <w:r w:rsidR="003526B7" w:rsidRPr="003526B7">
        <w:rPr>
          <w:rFonts w:ascii="GHEA Grapalat" w:hAnsi="GHEA Grapalat"/>
          <w:sz w:val="24"/>
          <w:szCs w:val="24"/>
          <w:lang w:val="hy-AM"/>
        </w:rPr>
        <w:t xml:space="preserve">արկային պլանավորման մեթոդների </w:t>
      </w:r>
      <w:r w:rsidR="0037328D" w:rsidRPr="0037328D">
        <w:rPr>
          <w:rFonts w:ascii="GHEA Grapalat" w:hAnsi="GHEA Grapalat"/>
          <w:sz w:val="24"/>
          <w:szCs w:val="24"/>
          <w:lang w:val="hy-AM"/>
        </w:rPr>
        <w:t xml:space="preserve">չարաշահումը: </w:t>
      </w:r>
    </w:p>
    <w:p w:rsidR="0037328D" w:rsidRPr="009910B2" w:rsidRDefault="0037328D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7328D">
        <w:rPr>
          <w:rFonts w:ascii="GHEA Grapalat" w:hAnsi="GHEA Grapalat"/>
          <w:sz w:val="24"/>
          <w:szCs w:val="24"/>
          <w:lang w:val="hy-AM"/>
        </w:rPr>
        <w:t xml:space="preserve">Հարկային օրենսգրքում բացակայում է հարկային պլանավորման </w:t>
      </w:r>
      <w:r w:rsidR="003526B7">
        <w:rPr>
          <w:rFonts w:ascii="GHEA Grapalat" w:hAnsi="GHEA Grapalat"/>
          <w:sz w:val="24"/>
          <w:szCs w:val="24"/>
          <w:lang w:val="hy-AM"/>
        </w:rPr>
        <w:t xml:space="preserve">մեթոդների </w:t>
      </w:r>
      <w:r w:rsidRPr="0037328D">
        <w:rPr>
          <w:rFonts w:ascii="GHEA Grapalat" w:hAnsi="GHEA Grapalat"/>
          <w:sz w:val="24"/>
          <w:szCs w:val="24"/>
          <w:lang w:val="hy-AM"/>
        </w:rPr>
        <w:t>չարաշահման ընդհանուր կանոնը (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general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anti-avoidance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rule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): Համաշխարհային փորձը վկայում է, որ ավելի ու ավելի հաճախ հարկ վճարողների կողմից կիրառվում են մեխանիզմներ, գործարքներ, որոնք օրենսդրությամբ «թույլատրված են», սակայն չեն բխում գործունեության իրական տնտեսական պայմաններից և նպատակ են հետապնդում թաքցնելու եկամուտները, ձեռնարկատիրական եկամուտները բաշխել ֆորմալ առումով տարբեր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տնտեսվարողների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(սահմանված արտոնությունից մի քանի անգամ օգտվելու նպատակով), նվազեցնել եկամուտները` արհեստականորեն ավելացնելով ծախսերը և այլն: Նմանատիպ վարքագիծը բնորոշվում է «ագրեսիվ հարկային պլանավորում» տերմինով և նմանատիպ վարքագիծը բացառելու ուղղությամբ պայքար է մղվում նաև միջազգային մակարդակով: Այդ նպատակով, ընդունվել է «Հարկման բազայի քայքայումը և շահույթի տեղափոխումը կանխելու նպատակով հարկային պայմանագրին առնչվող միջոցառումների իրականացման վերաբերյալ» բազմակողմ կոնվենցիան, որին միացել է նաև ՀՀ-ն: Այնուամենայնիվ հարկային պլանավորման </w:t>
      </w:r>
      <w:r w:rsidR="00C100AB">
        <w:rPr>
          <w:rFonts w:ascii="GHEA Grapalat" w:hAnsi="GHEA Grapalat"/>
          <w:sz w:val="24"/>
          <w:szCs w:val="24"/>
          <w:lang w:val="hy-AM"/>
        </w:rPr>
        <w:t xml:space="preserve">մեթոդների </w:t>
      </w:r>
      <w:r w:rsidRPr="0037328D">
        <w:rPr>
          <w:rFonts w:ascii="GHEA Grapalat" w:hAnsi="GHEA Grapalat"/>
          <w:sz w:val="24"/>
          <w:szCs w:val="24"/>
          <w:lang w:val="hy-AM"/>
        </w:rPr>
        <w:t xml:space="preserve">չարաշահման հասկացությունը ներպետական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իրավակարգավորումներում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7328D">
        <w:rPr>
          <w:rFonts w:ascii="GHEA Grapalat" w:hAnsi="GHEA Grapalat"/>
          <w:sz w:val="24"/>
          <w:szCs w:val="24"/>
          <w:lang w:val="hy-AM"/>
        </w:rPr>
        <w:t>դեռևս</w:t>
      </w:r>
      <w:proofErr w:type="spellEnd"/>
      <w:r w:rsidRPr="0037328D">
        <w:rPr>
          <w:rFonts w:ascii="GHEA Grapalat" w:hAnsi="GHEA Grapalat"/>
          <w:sz w:val="24"/>
          <w:szCs w:val="24"/>
          <w:lang w:val="hy-AM"/>
        </w:rPr>
        <w:t xml:space="preserve"> բացակայում է, որի պատճառով էլ նաև մշակվել է Նախագիծը: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Գերմանիայի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ֆիսկալ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կոդի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շրջանցելը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լինի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անհնար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անգամ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նախատեսված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հնարավորությունները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տնտեսվարողն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ընտրում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հնարավոր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իրավաչափ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վարքագծերից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այնպիսինը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հետապնդում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օգուտներ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օրենսգիրքը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պատասխանատվություն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ընկերությունը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տրոհվում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քանի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անկախ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կորպորացիաների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ԵՄ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դիրեկտիվով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անդամ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մերժեն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ցանկացած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հետապնդում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առավելություն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Այդպիսի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համաձայնությունն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</w:t>
      </w:r>
      <w:r w:rsidR="005E1EAB">
        <w:rPr>
          <w:rFonts w:ascii="GHEA Grapalat" w:hAnsi="GHEA Grapalat" w:cs="Arial"/>
          <w:sz w:val="24"/>
          <w:szCs w:val="24"/>
          <w:lang w:val="hy-AM"/>
        </w:rPr>
        <w:t>դ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ոչ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իրավաչափ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ոչ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արտացոլում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իրականությունը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1"/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/>
          <w:sz w:val="24"/>
          <w:szCs w:val="24"/>
          <w:lang w:val="hy-AM"/>
        </w:rPr>
        <w:t>«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բազայի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քայքայումը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շահույթի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տեղափոխումը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կանխելու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պայմանագրին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առնչվող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ծրագրով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համաձայնագրի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կրկնակի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բացառելն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այդուհանդերձ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բացառվեն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համաձայնագրով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ընձեռված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հնարավորություններն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խուսափելու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բազաները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պակասեցնելու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արտացոլված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լինի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համաձայնագրերի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պրեամբուլաներում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մեխանիզմներ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կրկնակի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արհեստականորեն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փորձ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նվազեցնել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թաքցնել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հարկվող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շահույթը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Անդամ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քայլեր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ձեռնարկեն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դրույթները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վերանայելու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ուղղությամբ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Անդամ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ներպետական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կառուցակարգեր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անհարկի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առավելություններ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հնարավորությունները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Չնայած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վերաբերում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պայմանագրային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եկամուտներին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այդուհանդերձ</w:t>
      </w:r>
      <w:r w:rsidR="008B1FBD">
        <w:rPr>
          <w:rFonts w:ascii="GHEA Grapalat" w:hAnsi="GHEA Grapalat" w:cs="Arial"/>
          <w:sz w:val="24"/>
          <w:szCs w:val="24"/>
          <w:lang w:val="hy-AM"/>
        </w:rPr>
        <w:t>, հ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նկատել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Մոդելային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կոնվենցիայի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մեկնաբանություններում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նշված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>. «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չնայած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կրկնակի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հարկման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կոնվենցիաների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նպատակը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ինչպես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կապիտալի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ազատ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տեղաշարժը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ապրանքների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ծառայությունների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փոխանակումը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խրախուսելն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այնպես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էլ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հարկերից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խուսափելը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բացառելն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: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վճարողները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հակված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են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չարաշահելու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օրենսդրությամբ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ընձեռված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հնարավորությունները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`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օգտագործելով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տարբեր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պետություններում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առկա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իրավակարգավորումների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տարբերությունները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: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Այդպիսի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փորձերը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պետք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հակազդվեն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անդամ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պետությունների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ներպետական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իրավակարգավորումներով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: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Պետությունները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կարող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են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իրենց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ներպետական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օրենսդրությամբ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սահմանել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այնպիսի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կարգավորումներ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որոնք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կբացառեն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կրկնակի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հարկման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համաձայնագրերով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նախատեսված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հնարավորությունների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չարս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օգտագործումը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>»:</w:t>
      </w:r>
      <w:r w:rsidRPr="009910B2">
        <w:rPr>
          <w:rFonts w:ascii="GHEA Grapalat" w:hAnsi="GHEA Grapalat"/>
          <w:b/>
          <w:sz w:val="24"/>
          <w:szCs w:val="24"/>
          <w:u w:val="single"/>
          <w:vertAlign w:val="superscript"/>
          <w:lang w:val="hy-AM"/>
        </w:rPr>
        <w:footnoteReference w:id="2"/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Հետևաբար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ներպետական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օրենսդրությամբ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սահմանված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չարաշուհմները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բացառող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="008B1FBD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կարգավորումներ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ը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չեն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հակասում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կրկնակի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հարկման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համաձայնագրերին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ՏՀԶԿ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>-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իրավաչափ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համարում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չարաշահումների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համար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նախատեսված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պատասխանատվությունը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նաև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կրկնակի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հարկման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համաձայնագրերի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նկատմամբ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>. «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հաշվի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առնելով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նաև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հանգամանքը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որ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հարաբերությունների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համապարփակ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կարգավորումը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նախատեսված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ներպետական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օրենսդրությամբ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</w:t>
      </w:r>
      <w:proofErr w:type="spellStart"/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հետևաբար</w:t>
      </w:r>
      <w:proofErr w:type="spellEnd"/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համաձայնագրի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ցանկացած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խախտում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կհանգեցնի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նաև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ներպետ</w:t>
      </w:r>
      <w:r w:rsidR="008B1FBD">
        <w:rPr>
          <w:rFonts w:ascii="GHEA Grapalat" w:hAnsi="GHEA Grapalat" w:cs="Arial"/>
          <w:b/>
          <w:sz w:val="24"/>
          <w:szCs w:val="24"/>
          <w:u w:val="single"/>
          <w:lang w:val="hy-AM"/>
        </w:rPr>
        <w:t>ա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կան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օրենսդրության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խախտման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`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բերելով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հարկային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u w:val="single"/>
          <w:lang w:val="hy-AM"/>
        </w:rPr>
        <w:t>պատասխանատվություն</w:t>
      </w:r>
      <w:r w:rsidRPr="009910B2">
        <w:rPr>
          <w:rFonts w:ascii="GHEA Grapalat" w:hAnsi="GHEA Grapalat"/>
          <w:b/>
          <w:sz w:val="24"/>
          <w:szCs w:val="24"/>
          <w:u w:val="single"/>
          <w:lang w:val="hy-AM"/>
        </w:rPr>
        <w:t>»:</w:t>
      </w:r>
      <w:r w:rsidRPr="009910B2">
        <w:rPr>
          <w:rFonts w:ascii="GHEA Grapalat" w:hAnsi="GHEA Grapalat"/>
          <w:b/>
          <w:sz w:val="24"/>
          <w:szCs w:val="24"/>
          <w:u w:val="single"/>
          <w:vertAlign w:val="superscript"/>
          <w:lang w:val="hy-AM"/>
        </w:rPr>
        <w:footnoteReference w:id="3"/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Այդուհանդերձ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պատասխանատվություն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կիրառելիս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ուշադրություն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դարձվեն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հանգամանքներին</w:t>
      </w:r>
      <w:r w:rsidRPr="009910B2">
        <w:rPr>
          <w:rFonts w:ascii="GHEA Grapalat" w:hAnsi="GHEA Grapalat"/>
          <w:sz w:val="24"/>
          <w:szCs w:val="24"/>
          <w:lang w:val="hy-AM"/>
        </w:rPr>
        <w:t>.</w:t>
      </w:r>
    </w:p>
    <w:p w:rsidR="00861548" w:rsidRPr="009910B2" w:rsidRDefault="00861548" w:rsidP="009910B2">
      <w:pPr>
        <w:numPr>
          <w:ilvl w:val="0"/>
          <w:numId w:val="8"/>
        </w:numPr>
        <w:spacing w:after="0" w:line="360" w:lineRule="auto"/>
        <w:ind w:left="426" w:firstLine="42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Արդյոք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գործարքի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>(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պայմանավորվածության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եղել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բարենպաստ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ռեժիմի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կիրառումը</w:t>
      </w:r>
      <w:r w:rsidRPr="009910B2">
        <w:rPr>
          <w:rFonts w:ascii="GHEA Grapalat" w:hAnsi="GHEA Grapalat"/>
          <w:sz w:val="24"/>
          <w:szCs w:val="24"/>
          <w:lang w:val="hy-AM"/>
        </w:rPr>
        <w:t>,</w:t>
      </w:r>
    </w:p>
    <w:p w:rsidR="00861548" w:rsidRPr="009910B2" w:rsidRDefault="00861548" w:rsidP="009910B2">
      <w:pPr>
        <w:numPr>
          <w:ilvl w:val="0"/>
          <w:numId w:val="8"/>
        </w:numPr>
        <w:spacing w:after="0" w:line="360" w:lineRule="auto"/>
        <w:ind w:left="426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Առավել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բարենպաստ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ռեժիմի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հակադրվի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կրկնակի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համաձայնագրերի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դրույթների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նպատակին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4"/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Արժույթի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հիմնադրամի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զեկույցի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կանոն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ներկայումս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այնպիսի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երկրների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ինչպիսիք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Բրիտանիան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Ֆրանիսան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Գերմանիան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Բելգիան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Նիդերլանդները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Կանադան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այլն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5"/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Զեկույցի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կանոնի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ընձեռված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հնավորությունները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կօգտագործվեն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նպատակներից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տարբերվող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նպատակներով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խուսափելու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առնելով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հանգամանքը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խուսափելը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910B2">
        <w:rPr>
          <w:rFonts w:ascii="GHEA Grapalat" w:hAnsi="GHEA Grapalat" w:cs="Arial"/>
          <w:sz w:val="24"/>
          <w:szCs w:val="24"/>
          <w:lang w:val="hy-AM"/>
        </w:rPr>
        <w:t>լայն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սուբյեկտների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կերպ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B3283A">
        <w:rPr>
          <w:rFonts w:ascii="GHEA Grapalat" w:hAnsi="GHEA Grapalat" w:cs="Arial"/>
          <w:sz w:val="24"/>
          <w:szCs w:val="24"/>
          <w:lang w:val="hy-AM"/>
        </w:rPr>
        <w:t>մե</w:t>
      </w:r>
      <w:r w:rsidRPr="009910B2">
        <w:rPr>
          <w:rFonts w:ascii="GHEA Grapalat" w:hAnsi="GHEA Grapalat" w:cs="Arial"/>
          <w:sz w:val="24"/>
          <w:szCs w:val="24"/>
          <w:lang w:val="hy-AM"/>
        </w:rPr>
        <w:t>կնաբանվել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կանոնավոր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գործարնքերը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ընկնեն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Հետևաբար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պայքարելու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հաջողությունը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գլխավորապես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կախված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>`</w:t>
      </w:r>
    </w:p>
    <w:p w:rsidR="00861548" w:rsidRPr="009910B2" w:rsidRDefault="00861548" w:rsidP="009910B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դրա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ձևակերպումից</w:t>
      </w:r>
      <w:proofErr w:type="spellEnd"/>
    </w:p>
    <w:p w:rsidR="00861548" w:rsidRPr="009910B2" w:rsidRDefault="00861548" w:rsidP="009910B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firstLine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անգամ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կանխատեսելի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կիրառումից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առնելով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վերոգրյալը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մարմինները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523">
        <w:rPr>
          <w:rFonts w:ascii="GHEA Grapalat" w:hAnsi="GHEA Grapalat"/>
          <w:sz w:val="24"/>
          <w:szCs w:val="24"/>
          <w:lang w:val="hy-AM"/>
        </w:rPr>
        <w:t xml:space="preserve">պլանավորման մեթոդների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կանոնները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կրկնակի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համաձայնագրերի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կիրառելիս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քննության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առարկա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դարձնեն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ուշադրության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արժանի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հանգամանքները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Արժույթի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հիմնադրամի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զեկույցի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523">
        <w:rPr>
          <w:rFonts w:ascii="GHEA Grapalat" w:hAnsi="GHEA Grapalat"/>
          <w:sz w:val="24"/>
          <w:szCs w:val="24"/>
          <w:lang w:val="hy-AM"/>
        </w:rPr>
        <w:t xml:space="preserve">պլանավորման մեթոդների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պայքարելու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523">
        <w:rPr>
          <w:rFonts w:ascii="GHEA Grapalat" w:hAnsi="GHEA Grapalat" w:cs="Arial"/>
          <w:sz w:val="24"/>
          <w:szCs w:val="24"/>
          <w:lang w:val="hy-AM"/>
        </w:rPr>
        <w:t>սահմ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անել</w:t>
      </w:r>
      <w:r w:rsidR="00057523">
        <w:rPr>
          <w:rFonts w:ascii="GHEA Grapalat" w:hAnsi="GHEA Grapalat" w:cs="Arial"/>
          <w:sz w:val="24"/>
          <w:szCs w:val="24"/>
          <w:lang w:val="hy-AM"/>
        </w:rPr>
        <w:t>.</w:t>
      </w:r>
    </w:p>
    <w:p w:rsidR="00861548" w:rsidRPr="009910B2" w:rsidRDefault="00861548" w:rsidP="009910B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Սխեմաների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9910B2">
        <w:rPr>
          <w:rFonts w:ascii="GHEA Grapalat" w:hAnsi="GHEA Grapalat"/>
          <w:sz w:val="24"/>
          <w:szCs w:val="24"/>
          <w:lang w:val="hy-AM"/>
        </w:rPr>
        <w:t>,</w:t>
      </w:r>
    </w:p>
    <w:p w:rsidR="00861548" w:rsidRPr="009910B2" w:rsidRDefault="00861548" w:rsidP="009910B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օգուտի</w:t>
      </w:r>
      <w:r w:rsidR="00B3283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/>
          <w:sz w:val="24"/>
          <w:szCs w:val="24"/>
          <w:lang w:val="ru-RU"/>
        </w:rPr>
        <w:t>(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առավելության</w:t>
      </w:r>
      <w:r w:rsidRPr="009910B2">
        <w:rPr>
          <w:rFonts w:ascii="GHEA Grapalat" w:hAnsi="GHEA Grapalat"/>
          <w:sz w:val="24"/>
          <w:szCs w:val="24"/>
          <w:lang w:val="ru-RU"/>
        </w:rPr>
        <w:t>)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861548" w:rsidRPr="009910B2" w:rsidRDefault="00861548" w:rsidP="009910B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Միակ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կիրառվում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սխեման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Մարդու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եվրոպական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դատարանը</w:t>
      </w:r>
      <w:r w:rsidR="009437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ասյուհետ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ՄԻԵԴ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շարք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անդրադարձել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խնդրին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մեկնաբանելով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ներպետական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իրավակարգավորումներով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իրվական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որոշակիության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համատեքստում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="009437D1">
        <w:rPr>
          <w:rFonts w:ascii="GHEA Grapalat" w:hAnsi="GHEA Grapalat" w:cs="Arial"/>
          <w:sz w:val="24"/>
          <w:szCs w:val="24"/>
          <w:lang w:val="hy-AM"/>
        </w:rPr>
        <w:t>,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մեկով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ՄԻԵԴ</w:t>
      </w:r>
      <w:r w:rsidRPr="009910B2">
        <w:rPr>
          <w:rFonts w:ascii="GHEA Grapalat" w:hAnsi="GHEA Grapalat"/>
          <w:sz w:val="24"/>
          <w:szCs w:val="24"/>
          <w:lang w:val="hy-AM"/>
        </w:rPr>
        <w:t>-</w:t>
      </w:r>
      <w:r w:rsidRPr="009910B2">
        <w:rPr>
          <w:rFonts w:ascii="GHEA Grapalat" w:hAnsi="GHEA Grapalat" w:cs="Arial"/>
          <w:sz w:val="24"/>
          <w:szCs w:val="24"/>
          <w:lang w:val="hy-AM"/>
        </w:rPr>
        <w:t>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եկել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եզրահանգման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սեփականատիրական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կառույցները</w:t>
      </w:r>
      <w:r w:rsidRPr="009910B2">
        <w:rPr>
          <w:rFonts w:ascii="GHEA Grapalat" w:hAnsi="GHEA Grapalat"/>
          <w:sz w:val="24"/>
          <w:szCs w:val="24"/>
          <w:lang w:val="hy-AM"/>
        </w:rPr>
        <w:t>(</w:t>
      </w:r>
      <w:r w:rsidRPr="009910B2">
        <w:rPr>
          <w:rFonts w:ascii="GHEA Grapalat" w:hAnsi="GHEA Grapalat" w:cs="Arial"/>
          <w:sz w:val="24"/>
          <w:szCs w:val="24"/>
          <w:lang w:val="hy-AM"/>
        </w:rPr>
        <w:t>բիզնեսը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տրոհելը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քանի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սուբյեկտների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իրականացնելը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եղանակներն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օգտագործելով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օգուտներ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6"/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Մեկ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գործով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ՄԻԵԴ</w:t>
      </w:r>
      <w:r w:rsidRPr="009910B2">
        <w:rPr>
          <w:rFonts w:ascii="GHEA Grapalat" w:hAnsi="GHEA Grapalat"/>
          <w:sz w:val="24"/>
          <w:szCs w:val="24"/>
          <w:lang w:val="hy-AM"/>
        </w:rPr>
        <w:t>-</w:t>
      </w:r>
      <w:r w:rsidRPr="009910B2">
        <w:rPr>
          <w:rFonts w:ascii="GHEA Grapalat" w:hAnsi="GHEA Grapalat" w:cs="Arial"/>
          <w:sz w:val="24"/>
          <w:szCs w:val="24"/>
          <w:lang w:val="hy-AM"/>
        </w:rPr>
        <w:t>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արձանագրել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հայեցողությամբ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կառուցակարգեր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չարաշահումներից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կեղծիքներից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խուսափելու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մեխանիզմենրը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Այդուհանդերձ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կարգավորումները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համապատասխանեն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սկզբունքներին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որոշակիության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համաչափության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սկզբունքին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7"/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նկատել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նաև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ՄԻԵԴ</w:t>
      </w:r>
      <w:r w:rsidRPr="009910B2">
        <w:rPr>
          <w:rFonts w:ascii="GHEA Grapalat" w:hAnsi="GHEA Grapalat"/>
          <w:sz w:val="24"/>
          <w:szCs w:val="24"/>
          <w:lang w:val="hy-AM"/>
        </w:rPr>
        <w:t>-</w:t>
      </w:r>
      <w:r w:rsidRPr="009910B2">
        <w:rPr>
          <w:rFonts w:ascii="GHEA Grapalat" w:hAnsi="GHEA Grapalat" w:cs="Arial"/>
          <w:sz w:val="24"/>
          <w:szCs w:val="24"/>
          <w:lang w:val="hy-AM"/>
        </w:rPr>
        <w:t>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շարք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ամրագրել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ինքնաբավ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հասկացությունների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հայեցողական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լիազորությունների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սահմանումը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դիտվել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որոշակիության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սկզբունքի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խախտում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61548" w:rsidRPr="009910B2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t>Անդրադառնալով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«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իրավաչափ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հասկացությանը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ՄԻԵԴ</w:t>
      </w:r>
      <w:r w:rsidRPr="009910B2">
        <w:rPr>
          <w:rFonts w:ascii="GHEA Grapalat" w:hAnsi="GHEA Grapalat"/>
          <w:sz w:val="24"/>
          <w:szCs w:val="24"/>
          <w:lang w:val="hy-AM"/>
        </w:rPr>
        <w:t>-</w:t>
      </w:r>
      <w:r w:rsidRPr="009910B2">
        <w:rPr>
          <w:rFonts w:ascii="GHEA Grapalat" w:hAnsi="GHEA Grapalat" w:cs="Arial"/>
          <w:sz w:val="24"/>
          <w:szCs w:val="24"/>
          <w:lang w:val="hy-AM"/>
        </w:rPr>
        <w:t>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նշել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համաձայնությունը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հետապնդում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  <w:r w:rsidRPr="009910B2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8"/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Այդուհանդերձ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նկատի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ունենալ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վճարողին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խպարտավորություն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առաջադրելը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հարկերից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կասկածի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առկայությամբ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բավարար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կոնկրետ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պետք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քննության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առարկա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դառնան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փաստերն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ապացույցները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հիմնավորել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տնտեսվարողի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մոտ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չարաշահման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նպատակի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առկայությունը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Default="00861548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hy-AM"/>
        </w:rPr>
        <w:lastRenderedPageBreak/>
        <w:t>Նախագծում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առկա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23C">
        <w:rPr>
          <w:rFonts w:ascii="GHEA Grapalat" w:hAnsi="GHEA Grapalat"/>
          <w:sz w:val="24"/>
          <w:szCs w:val="24"/>
          <w:lang w:val="hy-AM"/>
        </w:rPr>
        <w:t xml:space="preserve">պլանավորման մեթոդների </w:t>
      </w:r>
      <w:r w:rsidRPr="009910B2">
        <w:rPr>
          <w:rFonts w:ascii="GHEA Grapalat" w:hAnsi="GHEA Grapalat" w:cs="Arial"/>
          <w:sz w:val="24"/>
          <w:szCs w:val="24"/>
          <w:lang w:val="hy-AM"/>
        </w:rPr>
        <w:t>չարաշահումներին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վերաբերող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իրավակարգավորումները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բխեցվել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վերոգրյալ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իրավակարգավորումներից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հետապնդում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բացառելու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դեպքերը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երբ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ընձեռված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հնարավորությունները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օգտագործվում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բացառապես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օգուտ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ստանալու</w:t>
      </w:r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9910B2">
        <w:rPr>
          <w:rFonts w:ascii="GHEA Grapalat" w:hAnsi="GHEA Grapalat"/>
          <w:sz w:val="24"/>
          <w:szCs w:val="24"/>
          <w:lang w:val="hy-AM"/>
        </w:rPr>
        <w:t>:</w:t>
      </w:r>
    </w:p>
    <w:p w:rsidR="00A41F12" w:rsidRDefault="00A41F12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Մասնավորապես, Նախագծով նախատեսված դրույթների շրջանակներում կանոնակարգվում են </w:t>
      </w:r>
      <w:r w:rsidR="00AD419F" w:rsidRPr="00AD419F">
        <w:rPr>
          <w:rFonts w:ascii="GHEA Grapalat" w:hAnsi="GHEA Grapalat"/>
          <w:sz w:val="24"/>
          <w:szCs w:val="24"/>
          <w:lang w:val="hy-AM"/>
        </w:rPr>
        <w:t>հարկային պլանավորման սխեմա (մեթոդ)</w:t>
      </w:r>
      <w:r w:rsidR="00AD419F">
        <w:rPr>
          <w:rFonts w:ascii="GHEA Grapalat" w:hAnsi="GHEA Grapalat"/>
          <w:sz w:val="24"/>
          <w:szCs w:val="24"/>
          <w:lang w:val="hy-AM"/>
        </w:rPr>
        <w:t>,</w:t>
      </w:r>
      <w:r w:rsidR="00AD419F" w:rsidRPr="00AD419F">
        <w:rPr>
          <w:lang w:val="hy-AM"/>
        </w:rPr>
        <w:t xml:space="preserve"> </w:t>
      </w:r>
      <w:r w:rsidR="00AD419F" w:rsidRPr="00AD419F">
        <w:rPr>
          <w:rFonts w:ascii="GHEA Grapalat" w:hAnsi="GHEA Grapalat"/>
          <w:sz w:val="24"/>
          <w:szCs w:val="24"/>
          <w:lang w:val="hy-AM"/>
        </w:rPr>
        <w:t>հարկային օգուտ</w:t>
      </w:r>
      <w:r w:rsidR="00AD419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D419F" w:rsidRPr="00AD419F">
        <w:rPr>
          <w:rFonts w:ascii="GHEA Grapalat" w:hAnsi="GHEA Grapalat"/>
          <w:sz w:val="24"/>
          <w:szCs w:val="24"/>
          <w:lang w:val="hy-AM"/>
        </w:rPr>
        <w:t>հարկային պլանավորման մեթոդների չարաշահում</w:t>
      </w:r>
      <w:r w:rsidR="00AD419F">
        <w:rPr>
          <w:rFonts w:ascii="GHEA Grapalat" w:hAnsi="GHEA Grapalat"/>
          <w:sz w:val="24"/>
          <w:szCs w:val="24"/>
          <w:lang w:val="hy-AM"/>
        </w:rPr>
        <w:t xml:space="preserve"> հասկացությունները, </w:t>
      </w:r>
      <w:r w:rsidR="00834E3F" w:rsidRPr="00834E3F">
        <w:rPr>
          <w:rFonts w:ascii="GHEA Grapalat" w:hAnsi="GHEA Grapalat"/>
          <w:sz w:val="24"/>
          <w:szCs w:val="24"/>
          <w:lang w:val="hy-AM"/>
        </w:rPr>
        <w:t xml:space="preserve">հարկ վճարողների` ընդհանուր տնտեսական շահերից ելնելով համաձայնեցված գործող համարվելու </w:t>
      </w:r>
      <w:r w:rsidR="00834E3F">
        <w:rPr>
          <w:rFonts w:ascii="GHEA Grapalat" w:hAnsi="GHEA Grapalat"/>
          <w:sz w:val="24"/>
          <w:szCs w:val="24"/>
          <w:lang w:val="hy-AM"/>
        </w:rPr>
        <w:t>դեպքերը</w:t>
      </w:r>
      <w:r w:rsidR="00AD419F" w:rsidRPr="00AD419F">
        <w:rPr>
          <w:rFonts w:ascii="GHEA Grapalat" w:hAnsi="GHEA Grapalat"/>
          <w:sz w:val="24"/>
          <w:szCs w:val="24"/>
          <w:lang w:val="hy-AM"/>
        </w:rPr>
        <w:t>:</w:t>
      </w:r>
    </w:p>
    <w:p w:rsidR="00583902" w:rsidRPr="009910B2" w:rsidRDefault="00583902" w:rsidP="009910B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583902">
        <w:rPr>
          <w:rFonts w:ascii="GHEA Grapalat" w:hAnsi="GHEA Grapalat"/>
          <w:sz w:val="24"/>
          <w:szCs w:val="24"/>
          <w:lang w:val="hy-AM"/>
        </w:rPr>
        <w:t>Միաժամանակ,</w:t>
      </w:r>
      <w:r>
        <w:rPr>
          <w:rFonts w:ascii="GHEA Grapalat" w:hAnsi="GHEA Grapalat"/>
          <w:sz w:val="24"/>
          <w:szCs w:val="24"/>
          <w:lang w:val="hy-AM"/>
        </w:rPr>
        <w:t xml:space="preserve"> նախատեսվում են </w:t>
      </w:r>
      <w:r w:rsidRPr="00583902">
        <w:rPr>
          <w:rFonts w:ascii="GHEA Grapalat" w:hAnsi="GHEA Grapalat"/>
          <w:sz w:val="24"/>
          <w:szCs w:val="24"/>
          <w:lang w:val="hy-AM"/>
        </w:rPr>
        <w:t>հարկային պլանավորման մեթոդների չարաշահում կատարած</w:t>
      </w:r>
      <w:r>
        <w:rPr>
          <w:rFonts w:ascii="GHEA Grapalat" w:hAnsi="GHEA Grapalat"/>
          <w:sz w:val="24"/>
          <w:szCs w:val="24"/>
          <w:lang w:val="hy-AM"/>
        </w:rPr>
        <w:t xml:space="preserve"> հարկ վճարողներ</w:t>
      </w:r>
      <w:r w:rsidR="001113AA">
        <w:rPr>
          <w:rFonts w:ascii="GHEA Grapalat" w:hAnsi="GHEA Grapalat"/>
          <w:sz w:val="24"/>
          <w:szCs w:val="24"/>
          <w:lang w:val="hy-AM"/>
        </w:rPr>
        <w:t>ի` շ</w:t>
      </w:r>
      <w:r w:rsidR="00216D06" w:rsidRPr="00216D06">
        <w:rPr>
          <w:rFonts w:ascii="GHEA Grapalat" w:hAnsi="GHEA Grapalat"/>
          <w:sz w:val="24"/>
          <w:szCs w:val="24"/>
          <w:lang w:val="hy-AM"/>
        </w:rPr>
        <w:t>րջանառության հարկ վճարող</w:t>
      </w:r>
      <w:r w:rsidR="001113AA">
        <w:rPr>
          <w:rFonts w:ascii="GHEA Grapalat" w:hAnsi="GHEA Grapalat"/>
          <w:sz w:val="24"/>
          <w:szCs w:val="24"/>
          <w:lang w:val="hy-AM"/>
        </w:rPr>
        <w:t xml:space="preserve"> կամ </w:t>
      </w:r>
      <w:proofErr w:type="spellStart"/>
      <w:r w:rsidR="001113AA">
        <w:rPr>
          <w:rFonts w:ascii="GHEA Grapalat" w:hAnsi="GHEA Grapalat"/>
          <w:sz w:val="24"/>
          <w:szCs w:val="24"/>
          <w:lang w:val="hy-AM"/>
        </w:rPr>
        <w:t>մ</w:t>
      </w:r>
      <w:r w:rsidR="00216D06" w:rsidRPr="00216D06">
        <w:rPr>
          <w:rFonts w:ascii="GHEA Grapalat" w:hAnsi="GHEA Grapalat"/>
          <w:sz w:val="24"/>
          <w:szCs w:val="24"/>
          <w:lang w:val="hy-AM"/>
        </w:rPr>
        <w:t>իկրոձեռնարկատիրության</w:t>
      </w:r>
      <w:proofErr w:type="spellEnd"/>
      <w:r w:rsidR="00216D06" w:rsidRPr="00216D06">
        <w:rPr>
          <w:rFonts w:ascii="GHEA Grapalat" w:hAnsi="GHEA Grapalat"/>
          <w:sz w:val="24"/>
          <w:szCs w:val="24"/>
          <w:lang w:val="hy-AM"/>
        </w:rPr>
        <w:t xml:space="preserve"> սուբյեկտ</w:t>
      </w:r>
      <w:r w:rsidR="001113AA">
        <w:rPr>
          <w:rFonts w:ascii="GHEA Grapalat" w:hAnsi="GHEA Grapalat"/>
          <w:sz w:val="24"/>
          <w:szCs w:val="24"/>
          <w:lang w:val="hy-AM"/>
        </w:rPr>
        <w:t xml:space="preserve"> չհամարվելու և այդպիսին համարվելուց դադարելու վերաբերյալ </w:t>
      </w:r>
      <w:r w:rsidR="00216D06" w:rsidRPr="00216D0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113AA" w:rsidRPr="001113AA">
        <w:rPr>
          <w:rFonts w:ascii="GHEA Grapalat" w:hAnsi="GHEA Grapalat"/>
          <w:sz w:val="24"/>
          <w:szCs w:val="24"/>
          <w:lang w:val="hy-AM"/>
        </w:rPr>
        <w:t>կանոնակարգումներ</w:t>
      </w:r>
      <w:proofErr w:type="spellEnd"/>
      <w:r w:rsidR="001113AA">
        <w:rPr>
          <w:rFonts w:ascii="GHEA Grapalat" w:hAnsi="GHEA Grapalat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numPr>
          <w:ilvl w:val="0"/>
          <w:numId w:val="8"/>
        </w:numPr>
        <w:shd w:val="clear" w:color="auto" w:fill="FFFFFF"/>
        <w:tabs>
          <w:tab w:val="left" w:pos="540"/>
        </w:tabs>
        <w:spacing w:after="0" w:line="360" w:lineRule="auto"/>
        <w:contextualSpacing/>
        <w:jc w:val="both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proofErr w:type="spellStart"/>
      <w:r w:rsidRPr="009910B2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Առաջարկվող</w:t>
      </w:r>
      <w:proofErr w:type="spellEnd"/>
      <w:r w:rsidRPr="009910B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9910B2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կարգավորման</w:t>
      </w:r>
      <w:proofErr w:type="spellEnd"/>
      <w:r w:rsidRPr="009910B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9910B2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բնույթը</w:t>
      </w:r>
      <w:proofErr w:type="spellEnd"/>
      <w:r w:rsidRPr="009910B2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861548" w:rsidRPr="009910B2" w:rsidRDefault="00861548" w:rsidP="009910B2">
      <w:pPr>
        <w:shd w:val="clear" w:color="auto" w:fill="FFFFFF"/>
        <w:spacing w:after="0" w:line="360" w:lineRule="auto"/>
        <w:ind w:right="5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910B2">
        <w:rPr>
          <w:rFonts w:ascii="GHEA Grapalat" w:hAnsi="GHEA Grapalat" w:cs="Arial"/>
          <w:sz w:val="24"/>
          <w:szCs w:val="24"/>
          <w:lang w:val="af-ZA"/>
        </w:rPr>
        <w:t>Հաշվի</w:t>
      </w:r>
      <w:r w:rsidRPr="00991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առնելով</w:t>
      </w:r>
      <w:r w:rsidRPr="00991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Sylfaen"/>
          <w:sz w:val="24"/>
          <w:szCs w:val="24"/>
          <w:lang w:val="hy-AM"/>
        </w:rPr>
        <w:t>«</w:t>
      </w:r>
      <w:r w:rsidRPr="009910B2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ՀՀ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34-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2-</w:t>
      </w:r>
      <w:r w:rsidRPr="009910B2">
        <w:rPr>
          <w:rFonts w:ascii="GHEA Grapalat" w:hAnsi="GHEA Grapalat" w:cs="Arial"/>
          <w:sz w:val="24"/>
          <w:szCs w:val="24"/>
          <w:lang w:val="hy-AM"/>
        </w:rPr>
        <w:t>րդ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մասը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այն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է՝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ակտում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կամ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լրացում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և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բնույթի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ակտով</w:t>
      </w:r>
      <w:r w:rsidRPr="009910B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9910B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910B2">
        <w:rPr>
          <w:rFonts w:ascii="GHEA Grapalat" w:hAnsi="GHEA Grapalat" w:cs="Arial"/>
          <w:sz w:val="24"/>
          <w:szCs w:val="24"/>
        </w:rPr>
        <w:t>է</w:t>
      </w:r>
      <w:r w:rsidRPr="009910B2">
        <w:rPr>
          <w:rFonts w:ascii="GHEA Grapalat" w:hAnsi="GHEA Grapalat" w:cs="Sylfaen"/>
          <w:sz w:val="24"/>
          <w:szCs w:val="24"/>
        </w:rPr>
        <w:t xml:space="preserve"> </w:t>
      </w:r>
      <w:r w:rsidR="00460E95">
        <w:rPr>
          <w:rFonts w:ascii="GHEA Grapalat" w:hAnsi="GHEA Grapalat" w:cs="Sylfaen"/>
          <w:bCs/>
          <w:sz w:val="24"/>
          <w:szCs w:val="24"/>
          <w:lang w:val="hy-AM"/>
        </w:rPr>
        <w:t>Ն</w:t>
      </w:r>
      <w:proofErr w:type="spellStart"/>
      <w:r w:rsidRPr="009910B2">
        <w:rPr>
          <w:rFonts w:ascii="GHEA Grapalat" w:hAnsi="GHEA Grapalat" w:cs="Arial"/>
          <w:bCs/>
          <w:sz w:val="24"/>
          <w:szCs w:val="24"/>
          <w:lang w:val="fr-FR"/>
        </w:rPr>
        <w:t>ախագիծը</w:t>
      </w:r>
      <w:proofErr w:type="spellEnd"/>
      <w:r w:rsidRPr="009910B2">
        <w:rPr>
          <w:rFonts w:ascii="GHEA Grapalat" w:hAnsi="GHEA Grapalat" w:cs="Arial"/>
          <w:bCs/>
          <w:sz w:val="24"/>
          <w:szCs w:val="24"/>
          <w:lang w:val="fr-FR"/>
        </w:rPr>
        <w:t>։</w:t>
      </w:r>
      <w:r w:rsidRPr="009910B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61548" w:rsidRPr="009910B2" w:rsidRDefault="00861548" w:rsidP="009910B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1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Նախագծերի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մշակման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գործընթացում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ներգրավված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ինստիտուտները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և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անձինք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.</w:t>
      </w:r>
    </w:p>
    <w:p w:rsidR="00861548" w:rsidRPr="009910B2" w:rsidRDefault="00861548" w:rsidP="009910B2">
      <w:pPr>
        <w:tabs>
          <w:tab w:val="left" w:pos="567"/>
          <w:tab w:val="left" w:pos="709"/>
        </w:tabs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Նախագիծը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մշակվել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ՀՀ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E95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ետական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եկամուտների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կոմիտեի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tabs>
          <w:tab w:val="left" w:pos="1620"/>
        </w:tabs>
        <w:spacing w:after="0" w:line="360" w:lineRule="auto"/>
        <w:ind w:right="5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5.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Կապը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ռազմավարական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փաստաթղթերի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Հայաստանի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վերափոխման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ռազմավարություն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2050,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Կառավարության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2021-2026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թթ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ծրագիր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,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ոլորտային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և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/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կամ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այլ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ռազմավարություններ</w:t>
      </w:r>
      <w:proofErr w:type="spellEnd"/>
    </w:p>
    <w:p w:rsidR="00861548" w:rsidRPr="009910B2" w:rsidRDefault="00861548" w:rsidP="009910B2">
      <w:pPr>
        <w:autoSpaceDE w:val="0"/>
        <w:autoSpaceDN w:val="0"/>
        <w:adjustRightInd w:val="0"/>
        <w:spacing w:after="0" w:line="360" w:lineRule="auto"/>
        <w:ind w:right="5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Նախագծերի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ընդունումը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անմիջականորեն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բխում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ընդունած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ռազմավարություններից</w:t>
      </w:r>
      <w:proofErr w:type="spellEnd"/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861548" w:rsidRPr="009910B2" w:rsidRDefault="00861548" w:rsidP="009910B2">
      <w:pPr>
        <w:pStyle w:val="ListParagraph"/>
        <w:numPr>
          <w:ilvl w:val="0"/>
          <w:numId w:val="11"/>
        </w:num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Նպատակը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և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ակնկալվող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b/>
          <w:sz w:val="24"/>
          <w:szCs w:val="24"/>
          <w:lang w:val="hy-AM"/>
        </w:rPr>
        <w:t>արդյունքը</w:t>
      </w:r>
      <w:r w:rsidRPr="009910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861548" w:rsidRPr="009910B2" w:rsidRDefault="00861548" w:rsidP="009910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10B2">
        <w:rPr>
          <w:rFonts w:ascii="GHEA Grapalat" w:hAnsi="GHEA Grapalat" w:cs="Arial"/>
          <w:sz w:val="24"/>
          <w:szCs w:val="24"/>
          <w:lang w:val="af-ZA"/>
        </w:rPr>
        <w:lastRenderedPageBreak/>
        <w:t>Նախագիծը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նպատակ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է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հետապնդում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խրախուսել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մրցակցությունը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af-ZA"/>
        </w:rPr>
        <w:t>քանի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որ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նախագծի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ընդունման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արդյունքում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կբացառվեն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այն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դեպքերը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af-ZA"/>
        </w:rPr>
        <w:t>երբ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խոշոր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af-ZA"/>
        </w:rPr>
        <w:t>հաճախ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գերիշխող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դիրք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զբաղեցնող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կազմակերպութունները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տրոհում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են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իրենց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բիզնեսը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հարկային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օգուտներ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առավելություններ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ստանալու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նպատակով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այդպիսով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իսկ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շուկայում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ստեղծելով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անհավասար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մրցակցային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պայմաններ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մյուս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տնտեսվարողների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համար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9910B2">
        <w:rPr>
          <w:rFonts w:ascii="GHEA Grapalat" w:hAnsi="GHEA Grapalat" w:cs="Arial"/>
          <w:sz w:val="24"/>
          <w:szCs w:val="24"/>
          <w:lang w:val="af-ZA"/>
        </w:rPr>
        <w:t>Նախ</w:t>
      </w:r>
      <w:proofErr w:type="spellStart"/>
      <w:r w:rsidRPr="009910B2">
        <w:rPr>
          <w:rFonts w:ascii="GHEA Grapalat" w:hAnsi="GHEA Grapalat" w:cs="Arial"/>
          <w:sz w:val="24"/>
          <w:szCs w:val="24"/>
          <w:lang w:val="hy-AM"/>
        </w:rPr>
        <w:t>ագծի</w:t>
      </w:r>
      <w:proofErr w:type="spellEnd"/>
      <w:r w:rsidRPr="009910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կնպաստի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ներմուծման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և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արտահանման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ոլորտում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մրցակցության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ոլորտի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առողջացմանը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10B2">
        <w:rPr>
          <w:rFonts w:ascii="GHEA Grapalat" w:hAnsi="GHEA Grapalat" w:cs="Arial"/>
          <w:sz w:val="24"/>
          <w:szCs w:val="24"/>
          <w:lang w:val="af-ZA"/>
        </w:rPr>
        <w:t>մանր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և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միջին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ձեռնարկատիրության</w:t>
      </w:r>
      <w:r w:rsidRPr="00991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sz w:val="24"/>
          <w:szCs w:val="24"/>
          <w:lang w:val="af-ZA"/>
        </w:rPr>
        <w:t>զարգացմանը</w:t>
      </w:r>
      <w:r w:rsidRPr="009910B2">
        <w:rPr>
          <w:rFonts w:ascii="GHEA Grapalat" w:hAnsi="GHEA Grapalat"/>
          <w:sz w:val="24"/>
          <w:szCs w:val="24"/>
          <w:lang w:val="af-ZA"/>
        </w:rPr>
        <w:t>:</w:t>
      </w:r>
    </w:p>
    <w:p w:rsidR="00861548" w:rsidRPr="009910B2" w:rsidRDefault="00861548" w:rsidP="009910B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7.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Պետական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բյուջեի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եկամուտներում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և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ծախսերում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սպասվելիք</w:t>
      </w:r>
      <w:r w:rsidRPr="009910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փոփոխությունների</w:t>
      </w:r>
      <w:r w:rsidR="00944BC1" w:rsidRPr="009910B2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910B2">
        <w:rPr>
          <w:rFonts w:ascii="GHEA Grapalat" w:hAnsi="GHEA Grapalat" w:cs="Arial"/>
          <w:b/>
          <w:sz w:val="24"/>
          <w:szCs w:val="24"/>
          <w:lang w:val="af-ZA"/>
        </w:rPr>
        <w:t>վերաբերյալ</w:t>
      </w:r>
      <w:r w:rsidRPr="009910B2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861548" w:rsidRPr="009910B2" w:rsidRDefault="00861548" w:rsidP="00A60D0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910B2">
        <w:rPr>
          <w:rFonts w:ascii="GHEA Grapalat" w:hAnsi="GHEA Grapalat"/>
          <w:sz w:val="24"/>
          <w:szCs w:val="24"/>
          <w:lang w:val="af-ZA"/>
        </w:rPr>
        <w:tab/>
      </w:r>
      <w:r w:rsidR="00460E95">
        <w:rPr>
          <w:rFonts w:ascii="GHEA Grapalat" w:hAnsi="GHEA Grapalat"/>
          <w:sz w:val="24"/>
          <w:szCs w:val="24"/>
          <w:lang w:val="hy-AM"/>
        </w:rPr>
        <w:t>Ն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ախագծի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ընդունման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արդյունքում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բյուջեի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ծախսերի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ավելացում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տեղի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ունենալու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Փոխարենը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առնելով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հարկային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չարաշահումների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միջոցով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ձեռնարկատիրական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գործունեությամբ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զբաղվող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սուբյեկտների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դեմ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պայքարելու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արդյունավետ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միջոցների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առկայությունը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բյուջեի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մուտքերի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էական</w:t>
      </w:r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9910B2">
        <w:rPr>
          <w:rFonts w:ascii="GHEA Grapalat" w:eastAsia="Times New Roman" w:hAnsi="GHEA Grapalat" w:cs="Arial"/>
          <w:sz w:val="24"/>
          <w:szCs w:val="24"/>
          <w:lang w:val="hy-AM"/>
        </w:rPr>
        <w:t>ավելացումներ</w:t>
      </w:r>
      <w:proofErr w:type="spellEnd"/>
      <w:r w:rsidRPr="009910B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61548" w:rsidRPr="009910B2" w:rsidRDefault="00861548" w:rsidP="009910B2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61245" w:rsidRPr="009910B2" w:rsidRDefault="00361245" w:rsidP="009910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D31E7E" w:rsidRPr="009910B2" w:rsidRDefault="00D31E7E" w:rsidP="009910B2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D31E7E" w:rsidRPr="009910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79" w:rsidRDefault="00606479" w:rsidP="00861548">
      <w:pPr>
        <w:spacing w:after="0" w:line="240" w:lineRule="auto"/>
      </w:pPr>
      <w:r>
        <w:separator/>
      </w:r>
    </w:p>
  </w:endnote>
  <w:endnote w:type="continuationSeparator" w:id="0">
    <w:p w:rsidR="00606479" w:rsidRDefault="00606479" w:rsidP="008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79" w:rsidRDefault="00606479" w:rsidP="00861548">
      <w:pPr>
        <w:spacing w:after="0" w:line="240" w:lineRule="auto"/>
      </w:pPr>
      <w:r>
        <w:separator/>
      </w:r>
    </w:p>
  </w:footnote>
  <w:footnote w:type="continuationSeparator" w:id="0">
    <w:p w:rsidR="00606479" w:rsidRDefault="00606479" w:rsidP="00861548">
      <w:pPr>
        <w:spacing w:after="0" w:line="240" w:lineRule="auto"/>
      </w:pPr>
      <w:r>
        <w:continuationSeparator/>
      </w:r>
    </w:p>
  </w:footnote>
  <w:footnote w:id="1">
    <w:p w:rsidR="00861548" w:rsidRDefault="00861548" w:rsidP="008615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hyperlink r:id="rId1" w:history="1">
        <w:r>
          <w:rPr>
            <w:rStyle w:val="Hyperlink"/>
            <w:lang w:val="hy-AM"/>
          </w:rPr>
          <w:t>https://eur-lex.europa.eu/legal-content/EN/TXT/PDF/?uri=CELEX:32016L1164&amp;from=EN</w:t>
        </w:r>
      </w:hyperlink>
      <w:r>
        <w:rPr>
          <w:rFonts w:ascii="Sylfaen" w:hAnsi="Sylfaen"/>
          <w:lang w:val="hy-AM"/>
        </w:rPr>
        <w:t xml:space="preserve"> </w:t>
      </w:r>
    </w:p>
  </w:footnote>
  <w:footnote w:id="2">
    <w:p w:rsidR="00861548" w:rsidRDefault="00861548" w:rsidP="008615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http://www.oecd.org/berlin/publikationen/43324465.pdf</w:t>
        </w:r>
      </w:hyperlink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para 7</w:t>
      </w:r>
      <w:r>
        <w:rPr>
          <w:rFonts w:ascii="Sylfaen" w:hAnsi="Sylfaen"/>
          <w:lang w:val="hy-AM"/>
        </w:rPr>
        <w:t>, 7.1</w:t>
      </w:r>
    </w:p>
  </w:footnote>
  <w:footnote w:id="3">
    <w:p w:rsidR="00861548" w:rsidRDefault="00861548" w:rsidP="0086154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 </w:t>
      </w:r>
      <w:hyperlink r:id="rId3" w:history="1">
        <w:r>
          <w:rPr>
            <w:rStyle w:val="Hyperlink"/>
            <w:lang w:val="hy-AM"/>
          </w:rPr>
          <w:t>http://www.oecd.org/berlin/publikationen/43324465.pdf</w:t>
        </w:r>
      </w:hyperlink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para 9.2.</w:t>
      </w:r>
    </w:p>
  </w:footnote>
  <w:footnote w:id="4">
    <w:p w:rsidR="00861548" w:rsidRDefault="00861548" w:rsidP="008615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hyperlink r:id="rId4" w:history="1">
        <w:r>
          <w:rPr>
            <w:rStyle w:val="Hyperlink"/>
            <w:lang w:val="hy-AM"/>
          </w:rPr>
          <w:t>https://www.ibfd.org/sites/ibfd.org/files/content/pdf/Application_of_Domestic_General_Anti_Abuse_Rules.pdf</w:t>
        </w:r>
      </w:hyperlink>
      <w:r>
        <w:rPr>
          <w:rFonts w:ascii="Sylfaen" w:hAnsi="Sylfaen"/>
          <w:lang w:val="hy-AM"/>
        </w:rPr>
        <w:t xml:space="preserve"> </w:t>
      </w:r>
    </w:p>
  </w:footnote>
  <w:footnote w:id="5">
    <w:p w:rsidR="00861548" w:rsidRDefault="00861548" w:rsidP="008615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hyperlink r:id="rId5" w:history="1">
        <w:r>
          <w:rPr>
            <w:rStyle w:val="Hyperlink"/>
            <w:lang w:val="hy-AM"/>
          </w:rPr>
          <w:t>https://www.imf.org/external/pubs/ft/tltn/2016/tltn1601.pdf</w:t>
        </w:r>
      </w:hyperlink>
      <w:r>
        <w:rPr>
          <w:rFonts w:ascii="Sylfaen" w:hAnsi="Sylfaen"/>
          <w:lang w:val="hy-AM"/>
        </w:rPr>
        <w:t xml:space="preserve"> </w:t>
      </w:r>
    </w:p>
  </w:footnote>
  <w:footnote w:id="6">
    <w:p w:rsidR="00861548" w:rsidRDefault="00861548" w:rsidP="008615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hyperlink r:id="rId6" w:anchor="Footnote12" w:history="1">
        <w:r>
          <w:rPr>
            <w:rStyle w:val="Hyperlink"/>
            <w:lang w:val="hy-AM"/>
          </w:rPr>
          <w:t>http://curia.europa.eu/juris/document/document.jsf?text=anti%2Babuse&amp;docid=186973&amp;pageIndex=0&amp;doclang=EN&amp;mode=req&amp;dir=&amp;occ=first&amp;part=1&amp;cid=1325310#Footnote12</w:t>
        </w:r>
      </w:hyperlink>
      <w:r>
        <w:rPr>
          <w:rFonts w:ascii="Sylfaen" w:hAnsi="Sylfaen"/>
          <w:lang w:val="hy-AM"/>
        </w:rPr>
        <w:t xml:space="preserve"> </w:t>
      </w:r>
    </w:p>
  </w:footnote>
  <w:footnote w:id="7">
    <w:p w:rsidR="00861548" w:rsidRDefault="00861548" w:rsidP="0086154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hyperlink r:id="rId7" w:history="1">
        <w:r>
          <w:rPr>
            <w:rStyle w:val="Hyperlink"/>
            <w:lang w:val="hy-AM"/>
          </w:rPr>
          <w:t>https://eur-lex.europa.eu/legal-content/EN/TXT/?uri=ecli:ECLI:EU:C:2010:693</w:t>
        </w:r>
      </w:hyperlink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point 35.</w:t>
      </w:r>
    </w:p>
  </w:footnote>
  <w:footnote w:id="8">
    <w:p w:rsidR="00861548" w:rsidRDefault="00861548" w:rsidP="0086154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hyperlink r:id="rId8" w:history="1">
        <w:r>
          <w:rPr>
            <w:rStyle w:val="Hyperlink"/>
            <w:lang w:val="hy-AM"/>
          </w:rPr>
          <w:t>https://eur-lex.europa.eu/legal-content/EN/TXT/?uri=CELEX%3A61995CJ0028</w:t>
        </w:r>
      </w:hyperlink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para 47.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FF4"/>
    <w:multiLevelType w:val="hybridMultilevel"/>
    <w:tmpl w:val="25F0D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157"/>
    <w:multiLevelType w:val="hybridMultilevel"/>
    <w:tmpl w:val="3342ED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57309D9"/>
    <w:multiLevelType w:val="hybridMultilevel"/>
    <w:tmpl w:val="816A2D1E"/>
    <w:lvl w:ilvl="0" w:tplc="3F50525E">
      <w:start w:val="1"/>
      <w:numFmt w:val="decimal"/>
      <w:lvlText w:val="1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105F"/>
    <w:multiLevelType w:val="hybridMultilevel"/>
    <w:tmpl w:val="83027BDE"/>
    <w:lvl w:ilvl="0" w:tplc="75942948">
      <w:start w:val="1"/>
      <w:numFmt w:val="decimal"/>
      <w:lvlText w:val="%1."/>
      <w:lvlJc w:val="left"/>
      <w:pPr>
        <w:ind w:left="107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9C2E47"/>
    <w:multiLevelType w:val="hybridMultilevel"/>
    <w:tmpl w:val="14124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694375"/>
    <w:multiLevelType w:val="hybridMultilevel"/>
    <w:tmpl w:val="BBDC556C"/>
    <w:lvl w:ilvl="0" w:tplc="514E8352">
      <w:start w:val="1"/>
      <w:numFmt w:val="decimal"/>
      <w:lvlText w:val="2.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BB0615"/>
    <w:multiLevelType w:val="hybridMultilevel"/>
    <w:tmpl w:val="0D5E2008"/>
    <w:lvl w:ilvl="0" w:tplc="223CDBBA">
      <w:start w:val="1"/>
      <w:numFmt w:val="decimal"/>
      <w:lvlText w:val="%1."/>
      <w:lvlJc w:val="left"/>
      <w:pPr>
        <w:ind w:left="786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0EF3E9D"/>
    <w:multiLevelType w:val="hybridMultilevel"/>
    <w:tmpl w:val="C0DC6DA2"/>
    <w:lvl w:ilvl="0" w:tplc="764CDA84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EEC68C6"/>
    <w:multiLevelType w:val="hybridMultilevel"/>
    <w:tmpl w:val="A7E68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6F2A11"/>
    <w:multiLevelType w:val="hybridMultilevel"/>
    <w:tmpl w:val="F114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45"/>
    <w:rsid w:val="00003272"/>
    <w:rsid w:val="00007AFE"/>
    <w:rsid w:val="000166BC"/>
    <w:rsid w:val="00033F21"/>
    <w:rsid w:val="00057523"/>
    <w:rsid w:val="00073742"/>
    <w:rsid w:val="001113AA"/>
    <w:rsid w:val="001115BB"/>
    <w:rsid w:val="001211F7"/>
    <w:rsid w:val="00136993"/>
    <w:rsid w:val="001B283F"/>
    <w:rsid w:val="001E64CC"/>
    <w:rsid w:val="00216D06"/>
    <w:rsid w:val="00237DF5"/>
    <w:rsid w:val="00245DF4"/>
    <w:rsid w:val="00252AEF"/>
    <w:rsid w:val="002642B6"/>
    <w:rsid w:val="002D6F5E"/>
    <w:rsid w:val="002F42D3"/>
    <w:rsid w:val="003526B7"/>
    <w:rsid w:val="00361245"/>
    <w:rsid w:val="0037328D"/>
    <w:rsid w:val="003D6512"/>
    <w:rsid w:val="00416F8E"/>
    <w:rsid w:val="0042023C"/>
    <w:rsid w:val="00460E95"/>
    <w:rsid w:val="00466E85"/>
    <w:rsid w:val="004C22FF"/>
    <w:rsid w:val="00583902"/>
    <w:rsid w:val="005E1EAB"/>
    <w:rsid w:val="00606479"/>
    <w:rsid w:val="006A443B"/>
    <w:rsid w:val="00797E99"/>
    <w:rsid w:val="00834E3F"/>
    <w:rsid w:val="00861548"/>
    <w:rsid w:val="008B1FBD"/>
    <w:rsid w:val="009437D1"/>
    <w:rsid w:val="00944BC1"/>
    <w:rsid w:val="009910B2"/>
    <w:rsid w:val="00A2430B"/>
    <w:rsid w:val="00A309C4"/>
    <w:rsid w:val="00A41F12"/>
    <w:rsid w:val="00A60D01"/>
    <w:rsid w:val="00A647AC"/>
    <w:rsid w:val="00AA637D"/>
    <w:rsid w:val="00AD419F"/>
    <w:rsid w:val="00AF4688"/>
    <w:rsid w:val="00B3283A"/>
    <w:rsid w:val="00C100AB"/>
    <w:rsid w:val="00C96F54"/>
    <w:rsid w:val="00CD01D6"/>
    <w:rsid w:val="00D220C9"/>
    <w:rsid w:val="00D31E7E"/>
    <w:rsid w:val="00D516B4"/>
    <w:rsid w:val="00D53D75"/>
    <w:rsid w:val="00DC5C2C"/>
    <w:rsid w:val="00EB1E24"/>
    <w:rsid w:val="00ED4D58"/>
    <w:rsid w:val="00F3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1CD95-B4E8-47AC-A160-87960E0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5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548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548"/>
    <w:rPr>
      <w:rFonts w:ascii="GHEA Grapalat" w:hAnsi="GHEA Grapalat"/>
      <w:sz w:val="20"/>
      <w:szCs w:val="20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61548"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6154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61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61995CJ0028" TargetMode="External"/><Relationship Id="rId3" Type="http://schemas.openxmlformats.org/officeDocument/2006/relationships/hyperlink" Target="http://www.oecd.org/berlin/publikationen/43324465.pdf" TargetMode="External"/><Relationship Id="rId7" Type="http://schemas.openxmlformats.org/officeDocument/2006/relationships/hyperlink" Target="https://eur-lex.europa.eu/legal-content/EN/TXT/?uri=ecli:ECLI:EU:C:2010:693" TargetMode="External"/><Relationship Id="rId2" Type="http://schemas.openxmlformats.org/officeDocument/2006/relationships/hyperlink" Target="http://www.oecd.org/berlin/publikationen/43324465.pdf" TargetMode="External"/><Relationship Id="rId1" Type="http://schemas.openxmlformats.org/officeDocument/2006/relationships/hyperlink" Target="https://eur-lex.europa.eu/legal-content/EN/TXT/PDF/?uri=CELEX:32016L1164&amp;from=EN" TargetMode="External"/><Relationship Id="rId6" Type="http://schemas.openxmlformats.org/officeDocument/2006/relationships/hyperlink" Target="http://curia.europa.eu/juris/document/document.jsf?text=anti%2Babuse&amp;docid=186973&amp;pageIndex=0&amp;doclang=EN&amp;mode=req&amp;dir=&amp;occ=first&amp;part=1&amp;cid=1325310" TargetMode="External"/><Relationship Id="rId5" Type="http://schemas.openxmlformats.org/officeDocument/2006/relationships/hyperlink" Target="https://www.imf.org/external/pubs/ft/tltn/2016/tltn1601.pdf" TargetMode="External"/><Relationship Id="rId4" Type="http://schemas.openxmlformats.org/officeDocument/2006/relationships/hyperlink" Target="https://www.ibfd.org/sites/ibfd.org/files/content/pdf/Application_of_Domestic_General_Anti_Abuse_Ru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Mariam Ilanjyan</cp:lastModifiedBy>
  <cp:revision>4</cp:revision>
  <dcterms:created xsi:type="dcterms:W3CDTF">2024-03-11T11:57:00Z</dcterms:created>
  <dcterms:modified xsi:type="dcterms:W3CDTF">2024-03-11T12:18:00Z</dcterms:modified>
</cp:coreProperties>
</file>