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F9F47" w14:textId="77777777" w:rsidR="006E1049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ՀԻՄՆԱՎՈՐՈՒՄ</w:t>
      </w:r>
    </w:p>
    <w:p w14:paraId="081073C4" w14:textId="36355D71" w:rsidR="004B6F0A" w:rsidRPr="000C6B3E" w:rsidRDefault="004B6F0A" w:rsidP="00773319">
      <w:pPr>
        <w:tabs>
          <w:tab w:val="left" w:pos="993"/>
        </w:tabs>
        <w:spacing w:after="0" w:line="360" w:lineRule="auto"/>
        <w:ind w:left="-630" w:right="5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ՀԱՅԱՍՏԱՆԻ </w:t>
      </w:r>
      <w:r w:rsidR="00D353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ՀԱՆՐԱՊԵՏՈՒԹՅԱՆ ԿԱՌԱՎԱՐՈՒԹՅԱՆ 2019 ԹՎԱԿԱՆԻ ՀՈՒՆԻՍԻ</w:t>
      </w:r>
      <w:r w:rsidR="00EF059C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0120F9" w:rsidRPr="00D353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D353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6-Ի N 730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-Ն ՈՐՈՇՄԱՆ ՄԵՋ </w:t>
      </w:r>
      <w:r w:rsidR="006968C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ՓՈՓՈԽՈՒԹՅՈՒՆ</w:t>
      </w:r>
      <w:r w:rsidR="00A317DB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ՆԵՐ</w:t>
      </w:r>
      <w:r w:rsidR="002C2222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</w:t>
      </w:r>
      <w:r w:rsidR="0030170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ԵՎ ԼՐԱՑՈՒՄՆԵՐ </w:t>
      </w:r>
      <w:r w:rsidR="00B03C89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ԿԱՏԱՐԵԼՈՒ</w:t>
      </w:r>
      <w:r w:rsidR="003F2193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ՄԱՍԻՆ</w:t>
      </w:r>
      <w:r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» ՀԱՅԱՍՏԱՆԻ ՀԱՆՐԱՊԵՏՈՒԹՅԱՆ ԿԱՌԱՎԱՐՈՒԹՅԱՆ ՈՐՈՇՄԱՆ </w:t>
      </w:r>
      <w:r w:rsidR="000120F9" w:rsidRPr="00D353B4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 xml:space="preserve">                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ՆԱԽԱԳԾԻ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="00A15A05" w:rsidRPr="000C6B3E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ԸՆԴՈՒՆՄԱՆ</w:t>
      </w:r>
    </w:p>
    <w:p w14:paraId="1ADCB62D" w14:textId="77777777" w:rsidR="00E9582D" w:rsidRDefault="00E9582D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7A35E331" w14:textId="4CBA1C4E" w:rsidR="004B6F0A" w:rsidRPr="000C6B3E" w:rsidRDefault="00983456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1. </w:t>
      </w:r>
      <w:r w:rsidR="00473BDF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Ընթացիկ վիճակը, իրավական ակտի ընդունման անհրաժեշտությունը.</w:t>
      </w:r>
    </w:p>
    <w:p w14:paraId="000624A0" w14:textId="10D8460C" w:rsidR="00DD3967" w:rsidRDefault="00CE79AD" w:rsidP="00B63404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i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Հայաստանի </w:t>
      </w:r>
      <w:r w:rsidR="00D353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Հանրապետության կառավարության 2019 թվականի հունիսի 6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-ի N 7</w:t>
      </w:r>
      <w:r w:rsidR="001E03B9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30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 մեջ փոփոխություն</w:t>
      </w:r>
      <w:r w:rsidR="009852E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</w:t>
      </w:r>
      <w:r w:rsidR="008B7E8C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և լրացումներ</w:t>
      </w:r>
      <w:r w:rsidR="002C2222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կատարելու մասին» 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Կ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առավարության որոշման նախագծի (այսուհետ</w:t>
      </w:r>
      <w:r w:rsidR="0096628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և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՝ Նախագիծ) </w:t>
      </w:r>
      <w:r w:rsidR="002546B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մշակու</w:t>
      </w:r>
      <w:r w:rsidR="003E1219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մ</w:t>
      </w:r>
      <w:r w:rsidR="00696ABF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ը պայմանավորված է </w:t>
      </w:r>
      <w:r w:rsidR="0059200E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այն հանգամանքով</w:t>
      </w:r>
      <w:r w:rsidR="00DD3967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,</w:t>
      </w:r>
      <w:r w:rsidR="00434ABB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որ</w:t>
      </w:r>
      <w:r w:rsidR="00D353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Շուկայի վերահսկողության </w:t>
      </w:r>
      <w:r w:rsidR="002546B7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տեսչական մարմնի</w:t>
      </w:r>
      <w:r w:rsidR="00393775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393775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(այսուհետև՝ Տեսչական մարմին) 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գործող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ամրագրված </w:t>
      </w:r>
      <w:r w:rsidR="00B63404">
        <w:rPr>
          <w:rFonts w:ascii="GHEA Grapalat" w:eastAsia="Times New Roman" w:hAnsi="GHEA Grapalat" w:cs="GHEA Grapalat"/>
          <w:sz w:val="24"/>
          <w:szCs w:val="24"/>
          <w:lang w:val="hy-AM"/>
        </w:rPr>
        <w:t>նորմատիվ իրավական ակտերում կատարվել են փոփոխություններ և լրացումներ:</w:t>
      </w:r>
      <w:r w:rsidR="00DD3967" w:rsidRPr="000C6B3E">
        <w:rPr>
          <w:rFonts w:ascii="GHEA Grapalat" w:eastAsia="Times New Roman" w:hAnsi="GHEA Grapalat" w:cs="GHEA Grapalat"/>
          <w:bCs/>
          <w:iCs/>
          <w:noProof/>
          <w:sz w:val="24"/>
          <w:szCs w:val="24"/>
          <w:lang w:val="hy-AM"/>
        </w:rPr>
        <w:t xml:space="preserve"> Հետևաբար, որպեսզի </w:t>
      </w:r>
      <w:r w:rsidR="00DD3967" w:rsidRPr="000C6B3E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երահսկողական գործառույթների իրականացման ընթացքում տեսչական մարմինը ունենա վարչական ակտի կայացման հնարավորություն, ինչպես նաև իր գործունեության </w:t>
      </w:r>
      <w:proofErr w:type="spellStart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չխոչընդոտող</w:t>
      </w:r>
      <w:proofErr w:type="spellEnd"/>
      <w:r w:rsidR="00DD3967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այլ հանգամանքներ իրավական դաշտում, անհրաժեշտություն է առաջացել կատարել փոփոխություններ 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 xml:space="preserve">համապատասխան ոլորտի </w:t>
      </w:r>
      <w:proofErr w:type="spellStart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ստուգաթերթ</w:t>
      </w:r>
      <w:r w:rsidR="003E1219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եր</w:t>
      </w:r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ում</w:t>
      </w:r>
      <w:proofErr w:type="spellEnd"/>
      <w:r w:rsidR="00DD3967" w:rsidRPr="000C6B3E">
        <w:rPr>
          <w:rFonts w:ascii="GHEA Grapalat" w:eastAsia="Times New Roman" w:hAnsi="GHEA Grapalat" w:cs="GHEA Grapalat"/>
          <w:iCs/>
          <w:sz w:val="24"/>
          <w:szCs w:val="24"/>
          <w:lang w:val="hy-AM"/>
        </w:rPr>
        <w:t>։</w:t>
      </w:r>
      <w:r w:rsidR="00DD3967" w:rsidRPr="000C6B3E">
        <w:rPr>
          <w:rFonts w:ascii="GHEA Grapalat" w:eastAsia="Times New Roman" w:hAnsi="GHEA Grapalat" w:cs="GHEA Grapalat"/>
          <w:i/>
          <w:sz w:val="24"/>
          <w:szCs w:val="24"/>
          <w:lang w:val="hy-AM"/>
        </w:rPr>
        <w:t xml:space="preserve"> </w:t>
      </w:r>
    </w:p>
    <w:p w14:paraId="5403E584" w14:textId="77777777" w:rsidR="00E9582D" w:rsidRPr="00B63404" w:rsidRDefault="00E9582D" w:rsidP="00B63404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</w:p>
    <w:p w14:paraId="0FACC30C" w14:textId="1C59EA4D" w:rsidR="000D26C8" w:rsidRPr="000C6B3E" w:rsidRDefault="000D26C8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2.</w:t>
      </w:r>
      <w:r w:rsidR="00BB5B6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Առկա խնդ</w:t>
      </w:r>
      <w:r w:rsidR="00551CD7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իրները և առաջարկվող լուծումները.</w:t>
      </w:r>
    </w:p>
    <w:p w14:paraId="56CFC413" w14:textId="384E768B" w:rsidR="007E50FD" w:rsidRDefault="00D353B4" w:rsidP="006749CF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D353B4">
        <w:rPr>
          <w:rFonts w:ascii="GHEA Grapalat" w:eastAsia="Times New Roman" w:hAnsi="GHEA Grapalat" w:cs="GHEA Grapalat"/>
          <w:sz w:val="24"/>
          <w:szCs w:val="24"/>
          <w:lang w:val="hy-AM"/>
        </w:rPr>
        <w:t>2022 թվականի</w:t>
      </w:r>
      <w:r w:rsidR="006749C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6749CF" w:rsidRPr="006749CF">
        <w:rPr>
          <w:rFonts w:ascii="GHEA Grapalat" w:eastAsia="Times New Roman" w:hAnsi="GHEA Grapalat" w:cs="GHEA Grapalat"/>
          <w:sz w:val="24"/>
          <w:szCs w:val="24"/>
          <w:lang w:val="hy-AM"/>
        </w:rPr>
        <w:t>դեկտեմբերի 7-ին ընդունվել է «</w:t>
      </w:r>
      <w:proofErr w:type="spellStart"/>
      <w:r w:rsidR="006749CF" w:rsidRPr="006749CF">
        <w:rPr>
          <w:rFonts w:ascii="GHEA Grapalat" w:eastAsia="Times New Roman" w:hAnsi="GHEA Grapalat" w:cs="GHEA Grapalat"/>
          <w:sz w:val="24"/>
          <w:szCs w:val="24"/>
          <w:lang w:val="hy-AM"/>
        </w:rPr>
        <w:t>Առ</w:t>
      </w:r>
      <w:r w:rsidR="003A36AB">
        <w:rPr>
          <w:rFonts w:ascii="GHEA Grapalat" w:eastAsia="Times New Roman" w:hAnsi="GHEA Grapalat" w:cs="GHEA Grapalat"/>
          <w:sz w:val="24"/>
          <w:szCs w:val="24"/>
          <w:lang w:val="hy-AM"/>
        </w:rPr>
        <w:t>ևտրի</w:t>
      </w:r>
      <w:proofErr w:type="spellEnd"/>
      <w:r w:rsidR="003A36AB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="006749CF" w:rsidRPr="006749C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ծառայությունների մասին» օրենքում լրացումներ կատարելու մասին ՀՕ-536-Ն օրենք (այսուհետ՝ Օրենք)</w:t>
      </w:r>
      <w:r w:rsidR="006749CF">
        <w:rPr>
          <w:rFonts w:ascii="GHEA Grapalat" w:eastAsia="Times New Roman" w:hAnsi="GHEA Grapalat" w:cs="GHEA Grapalat"/>
          <w:sz w:val="24"/>
          <w:szCs w:val="24"/>
          <w:lang w:val="hy-AM"/>
        </w:rPr>
        <w:t>, որի</w:t>
      </w:r>
      <w:r w:rsidR="006749CF" w:rsidRPr="006749C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196FBA"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 w:rsidR="006749CF" w:rsidRPr="006749CF">
        <w:rPr>
          <w:rFonts w:ascii="GHEA Grapalat" w:eastAsia="Times New Roman" w:hAnsi="GHEA Grapalat" w:cs="GHEA Grapalat"/>
          <w:sz w:val="24"/>
          <w:szCs w:val="24"/>
          <w:lang w:val="hy-AM"/>
        </w:rPr>
        <w:t>-րդ հոդվածի համաձայն՝ տնտեսավարող սուբյեկտները (ըստ հասցեների) պարտավոր են ունենալ չափագիտության բնագավառում իրենց մոտ իրականացված նախորդ ստուգումների ժամկետների, արդյունքների մասին տեղեկատվություն պարու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նակող QR (արագ </w:t>
      </w:r>
      <w:proofErr w:type="spellStart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արձագանքման</w:t>
      </w:r>
      <w:proofErr w:type="spellEnd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կոդ, 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որի նկատմամբ </w:t>
      </w:r>
      <w:r w:rsidR="00196FBA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վերահսկողությունը 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Վարչական իրավախախտումների վերաբերյալ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»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օրենսգրքի 244.7-րդ հոդվածի համաձայն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՝ 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վերապահվ</w:t>
      </w:r>
      <w:r w:rsidR="006E3CE8">
        <w:rPr>
          <w:rFonts w:ascii="GHEA Grapalat" w:eastAsia="Times New Roman" w:hAnsi="GHEA Grapalat" w:cs="GHEA Grapalat"/>
          <w:sz w:val="24"/>
          <w:szCs w:val="24"/>
          <w:lang w:val="hy-AM"/>
        </w:rPr>
        <w:t>ել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է </w:t>
      </w:r>
      <w:bookmarkStart w:id="0" w:name="_GoBack"/>
      <w:bookmarkEnd w:id="0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տեսչական մարմնին։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5955A121" w14:textId="77777777" w:rsidR="00E66FF0" w:rsidRDefault="006749CF" w:rsidP="003B717B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Մի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աժամանակ 2023 թվականի </w:t>
      </w:r>
      <w:r w:rsidR="006E3CE8">
        <w:rPr>
          <w:rFonts w:ascii="GHEA Grapalat" w:eastAsia="Times New Roman" w:hAnsi="GHEA Grapalat" w:cs="GHEA Grapalat"/>
          <w:sz w:val="24"/>
          <w:szCs w:val="24"/>
          <w:lang w:val="hy-AM"/>
        </w:rPr>
        <w:t>ապրիլի 1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-ից ուժի մեջ է մտել Հայաստանի Հանրապետության կ</w:t>
      </w:r>
      <w:r w:rsidR="007E50FD" w:rsidRPr="00D353B4">
        <w:rPr>
          <w:rFonts w:ascii="GHEA Grapalat" w:eastAsia="Times New Roman" w:hAnsi="GHEA Grapalat" w:cs="GHEA Grapalat"/>
          <w:sz w:val="24"/>
          <w:szCs w:val="24"/>
          <w:lang w:val="hy-AM"/>
        </w:rPr>
        <w:t>առավարության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«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Մ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ենք </w:t>
      </w:r>
      <w:proofErr w:type="spellStart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տուգանվել</w:t>
      </w:r>
      <w:proofErr w:type="spellEnd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ենք </w:t>
      </w:r>
      <w:proofErr w:type="spellStart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թե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րլիցքավորման</w:t>
      </w:r>
      <w:proofErr w:type="spellEnd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համար» ցուցանակի </w:t>
      </w:r>
      <w:proofErr w:type="spellStart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ձևը</w:t>
      </w:r>
      <w:proofErr w:type="spellEnd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, տեղադրման և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proofErr w:type="spellStart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ապամոնտաժման</w:t>
      </w:r>
      <w:proofErr w:type="spellEnd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կարգը հաստատելու 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և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QR (արագ </w:t>
      </w:r>
      <w:proofErr w:type="spellStart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lastRenderedPageBreak/>
        <w:t>արձագանքման</w:t>
      </w:r>
      <w:proofErr w:type="spellEnd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) </w:t>
      </w:r>
      <w:proofErr w:type="spellStart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կոդին</w:t>
      </w:r>
      <w:proofErr w:type="spellEnd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ներկայացվող պահանջները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և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դրանց միջո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ցով արտացոլվող տեղեկատվության </w:t>
      </w:r>
      <w:proofErr w:type="spellStart"/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>ձև</w:t>
      </w:r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>ը</w:t>
      </w:r>
      <w:proofErr w:type="spellEnd"/>
      <w:r w:rsidR="007E50FD" w:rsidRP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սահմանելու մասին» </w:t>
      </w:r>
      <w:r w:rsidR="007E50FD" w:rsidRPr="00D353B4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N </w:t>
      </w:r>
      <w:r w:rsidR="006E3CE8">
        <w:rPr>
          <w:rFonts w:ascii="GHEA Grapalat" w:eastAsia="Times New Roman" w:hAnsi="GHEA Grapalat" w:cs="GHEA Grapalat"/>
          <w:sz w:val="24"/>
          <w:szCs w:val="24"/>
          <w:lang w:val="hy-AM"/>
        </w:rPr>
        <w:t>451</w:t>
      </w:r>
      <w:r w:rsidR="007E50FD" w:rsidRPr="00D353B4">
        <w:rPr>
          <w:rFonts w:ascii="GHEA Grapalat" w:eastAsia="Times New Roman" w:hAnsi="GHEA Grapalat" w:cs="GHEA Grapalat"/>
          <w:sz w:val="24"/>
          <w:szCs w:val="24"/>
          <w:lang w:val="hy-AM"/>
        </w:rPr>
        <w:t>-Ն որոշումը</w:t>
      </w:r>
      <w:r w:rsidR="00E66FF0">
        <w:rPr>
          <w:rFonts w:ascii="GHEA Grapalat" w:eastAsia="Times New Roman" w:hAnsi="GHEA Grapalat" w:cs="GHEA Grapalat"/>
          <w:sz w:val="24"/>
          <w:szCs w:val="24"/>
          <w:lang w:val="hy-AM"/>
        </w:rPr>
        <w:t>:</w:t>
      </w:r>
      <w:r w:rsidR="007E50FD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</w:p>
    <w:p w14:paraId="31F1025A" w14:textId="31C12282" w:rsidR="006E3CE8" w:rsidRDefault="00BD7498" w:rsidP="003B717B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proofErr w:type="spellStart"/>
      <w:r>
        <w:rPr>
          <w:rFonts w:ascii="GHEA Grapalat" w:eastAsia="Times New Roman" w:hAnsi="GHEA Grapalat" w:cs="GHEA Grapalat"/>
          <w:sz w:val="24"/>
          <w:szCs w:val="24"/>
          <w:lang w:val="hy-AM"/>
        </w:rPr>
        <w:t>Հ</w:t>
      </w:r>
      <w:r w:rsidR="00E6522C">
        <w:rPr>
          <w:rFonts w:ascii="GHEA Grapalat" w:eastAsia="Times New Roman" w:hAnsi="GHEA Grapalat" w:cs="GHEA Grapalat"/>
          <w:sz w:val="24"/>
          <w:szCs w:val="24"/>
          <w:lang w:val="hy-AM"/>
        </w:rPr>
        <w:t>ետևաբար</w:t>
      </w:r>
      <w:proofErr w:type="spellEnd"/>
      <w:r w:rsidR="00E6522C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հաշվի առնելով օրենսդրական փոփոխությունները, </w:t>
      </w:r>
      <w:r w:rsidR="00D353B4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անհ</w:t>
      </w:r>
      <w:r w:rsidR="008E495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րա</w:t>
      </w:r>
      <w:r w:rsidR="00D353B4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ժեշտություն է առաջացել նաև Հայաստանի Հանրապետության կառավարության 20</w:t>
      </w:r>
      <w:r w:rsidR="00D353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19 թվականի հունիսի 6-ի «Հայաստանի Հանրապետության շուկայի վերահսկողության</w:t>
      </w:r>
      <w:r w:rsidR="00D353B4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տեսչական մարմնի կողմից իրականացվող</w:t>
      </w:r>
      <w:r w:rsidR="006D78F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D78F5" w:rsidRPr="006D78F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ոչ պարենային արտադրանքների և ծառայությունների նկատմամբ պետական վերահսկողության իրականացման ստուգաթերթերը</w:t>
      </w:r>
      <w:r w:rsidR="006D78F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հաստատելու մասին</w:t>
      </w:r>
      <w:r w:rsidR="00D353B4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» N 7</w:t>
      </w:r>
      <w:r w:rsidR="00D353B4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30</w:t>
      </w:r>
      <w:r w:rsidR="006D78F5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-Ն որոշման 1-ին կետով</w:t>
      </w:r>
      <w:r w:rsidR="008E4951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հաստատված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E3CE8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1, </w:t>
      </w:r>
      <w:r w:rsidR="006E3CE8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N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 և</w:t>
      </w:r>
      <w:r w:rsidR="006E3CE8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N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31</w:t>
      </w:r>
      <w:r w:rsidR="006E3CE8"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ների</w:t>
      </w:r>
      <w:r w:rsidR="006E3CE8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ստուգաթերթերը խմբագրելու</w:t>
      </w:r>
      <w:r w:rsidR="006E3CE8"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03A35E0A" w14:textId="77777777" w:rsidR="00E9582D" w:rsidRDefault="00E9582D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1F84F39E" w14:textId="3488EAC5" w:rsidR="00E75571" w:rsidRPr="000C6B3E" w:rsidRDefault="00551CD7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hAnsi="GHEA Grapalat"/>
          <w:b/>
          <w:color w:val="000000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3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E75571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Կարգավորման նպատակը և բնույթը</w:t>
      </w:r>
      <w:r w:rsidR="00614B3D" w:rsidRPr="000C6B3E">
        <w:rPr>
          <w:rFonts w:ascii="GHEA Grapalat" w:hAnsi="GHEA Grapalat"/>
          <w:b/>
          <w:color w:val="000000"/>
          <w:sz w:val="24"/>
          <w:szCs w:val="24"/>
          <w:lang w:val="hy-AM"/>
        </w:rPr>
        <w:t>.</w:t>
      </w:r>
    </w:p>
    <w:p w14:paraId="7C4AAA13" w14:textId="0807ABFA" w:rsidR="006F3AEC" w:rsidRDefault="00DB607E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«Հայաստանի Հանրապետությունում ստուգումների կազմակերպման և անցկացման մասին»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օրենքի 3-րդ հոդվածի 1.1-ին մասի համաձայն՝ </w:t>
      </w:r>
      <w:proofErr w:type="spellStart"/>
      <w:r w:rsidR="00B10D00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տուգաթերթերի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հարցերը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ձևավորվում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են նվազագույն բավարարության սկզբունքի համաձայն և չեն ընդգրկում այն պահանջները, որոնց պահպանումը չի նպաստում տնտեսավարող սուբյեկտի գործունեությունից առաջացող ռիսկերի նվազեցմանը</w:t>
      </w:r>
      <w:r w:rsidR="000F786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: Սույն Ն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ախագծի ընդունումը նպատակ է հետապնդում </w:t>
      </w:r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կատարելագործել գործող </w:t>
      </w:r>
      <w:proofErr w:type="spellStart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ստուգաթերթերը</w:t>
      </w:r>
      <w:proofErr w:type="spellEnd"/>
      <w:r w:rsidR="00551CD7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և </w:t>
      </w:r>
      <w:r w:rsidR="006F3AEC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առավել արդյունավետ դարձնել իրականացվող ստուգումները: </w:t>
      </w:r>
    </w:p>
    <w:p w14:paraId="0B1F012B" w14:textId="19826046" w:rsidR="006E3CE8" w:rsidRPr="000C6B3E" w:rsidRDefault="006E3CE8" w:rsidP="006E3CE8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Հաշվի առնելով վերոգրյալը՝ 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նախագծ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ի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ընդունման նպատակն է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համապատասխան լրացումներ և փոփոխություններ կատարել ոլորտում գործող </w:t>
      </w:r>
      <w:proofErr w:type="spellStart"/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հետևյալ</w:t>
      </w:r>
      <w:proofErr w:type="spellEnd"/>
      <w:r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proofErr w:type="spellStart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ստուգաթերթեր</w:t>
      </w:r>
      <w:r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ում</w:t>
      </w:r>
      <w:proofErr w:type="spellEnd"/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՝</w:t>
      </w:r>
    </w:p>
    <w:p w14:paraId="23A0D9F1" w14:textId="4D594BD1" w:rsidR="006E3CE8" w:rsidRPr="006E3CE8" w:rsidRDefault="002C2222" w:rsidP="006E3CE8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sz w:val="24"/>
          <w:szCs w:val="24"/>
          <w:lang w:val="hy-AM"/>
        </w:rPr>
      </w:pPr>
      <w:r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1</w:t>
      </w:r>
      <w:r w:rsidR="00393775"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. </w:t>
      </w:r>
      <w:r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«</w:t>
      </w:r>
      <w:proofErr w:type="spellStart"/>
      <w:r w:rsidR="006E3CE8"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Ավտոգազալցակայանների</w:t>
      </w:r>
      <w:proofErr w:type="spellEnd"/>
      <w:r w:rsidR="006E3CE8" w:rsidRP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շահագործման տեխնիկական անվտանգության կանոնների ստուգման վերաբերյալ (ՏԳՏԴ-Ի D 47.30.2)»</w:t>
      </w:r>
      <w:r w:rsidR="006E3CE8" w:rsidRPr="003B717B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N 1 </w:t>
      </w:r>
      <w:r w:rsidR="006E3CE8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հավելված.</w:t>
      </w:r>
    </w:p>
    <w:p w14:paraId="209F2EFB" w14:textId="270CB31E" w:rsidR="006E3CE8" w:rsidRDefault="00B43D14" w:rsidP="006E3CE8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hAnsi="GHEA Grapalat"/>
          <w:sz w:val="24"/>
          <w:szCs w:val="24"/>
          <w:lang w:val="hy-AM"/>
        </w:rPr>
        <w:t>2</w:t>
      </w:r>
      <w:r w:rsidR="006E3CE8" w:rsidRP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. 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«</w:t>
      </w:r>
      <w:r w:rsidR="006E3CE8" w:rsidRP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Ավտոմոբիլային և ավիացիոն բենզինի, դիզելային և նավային վառելիքի, ռեակտիվ շարժիչների համար նախատեսված վառելիքի և մազութի ստուգման վերաբերյալ»</w:t>
      </w:r>
      <w:r w:rsidR="006E3CE8" w:rsidRPr="003B717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N 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</w:t>
      </w:r>
      <w:r w:rsidR="006E3CE8" w:rsidRPr="003B717B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</w:t>
      </w:r>
      <w:r w:rsid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.</w:t>
      </w:r>
    </w:p>
    <w:p w14:paraId="31830D29" w14:textId="7BDFB981" w:rsidR="006E3CE8" w:rsidRPr="003B717B" w:rsidRDefault="006E3CE8" w:rsidP="006E3CE8">
      <w:pPr>
        <w:tabs>
          <w:tab w:val="left" w:pos="993"/>
          <w:tab w:val="left" w:pos="1276"/>
        </w:tabs>
        <w:spacing w:after="0" w:line="360" w:lineRule="auto"/>
        <w:ind w:left="-720" w:right="50" w:firstLine="567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3.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</w:t>
      </w:r>
      <w:r w:rsidRPr="006E3CE8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«Որպես վառելիք օգտագործվելու դեպքում հեղուկացված ածխաջրածնային գազերին ներկայացվող պահանջների ստուգման մասին (ԱՏԳ ԱԱ 2711, ծածկագրին կամ G47.78.3 ՏԳՏ դասակարգչին համապատասխան)» </w:t>
      </w:r>
      <w:r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N 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31</w:t>
      </w:r>
      <w:r w:rsidRPr="00826962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 xml:space="preserve"> հավելված</w:t>
      </w:r>
      <w:r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ւ</w:t>
      </w:r>
      <w:r w:rsidRPr="000C6B3E"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  <w:t>։</w:t>
      </w:r>
    </w:p>
    <w:p w14:paraId="54C2784B" w14:textId="32B883A9" w:rsidR="00A00FA9" w:rsidRDefault="00A00FA9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Հարկ է նշել, որ</w:t>
      </w:r>
      <w:r w:rsidR="00614B3D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 </w:t>
      </w:r>
      <w:r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 xml:space="preserve">վերոգրյալ </w:t>
      </w:r>
      <w:r w:rsidR="00614B3D" w:rsidRPr="000C6B3E">
        <w:rPr>
          <w:rFonts w:ascii="GHEA Grapalat" w:eastAsia="Times New Roman" w:hAnsi="GHEA Grapalat"/>
          <w:bCs/>
          <w:iCs/>
          <w:sz w:val="24"/>
          <w:szCs w:val="24"/>
          <w:lang w:val="hy-AM"/>
        </w:rPr>
        <w:t>գ</w:t>
      </w:r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ործող </w:t>
      </w:r>
      <w:proofErr w:type="spellStart"/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ստուգաթերթերում</w:t>
      </w:r>
      <w:proofErr w:type="spellEnd"/>
      <w:r w:rsidR="00DB607E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E958C2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առկա</w:t>
      </w:r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 մի շարք </w:t>
      </w:r>
      <w:r w:rsidR="00551CD7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տեխնիկական խնդիրներ</w:t>
      </w:r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ինչպես նաև օրենքի պահանջների անհարկի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հղումներ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վերախմբագրման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ենթակա </w:t>
      </w:r>
      <w:proofErr w:type="spellStart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lastRenderedPageBreak/>
        <w:t>ձևակերպումներ</w:t>
      </w:r>
      <w:proofErr w:type="spellEnd"/>
      <w:r w:rsidR="00E958C2"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, </w:t>
      </w:r>
      <w:r w:rsidR="00614B3D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ինչ</w:t>
      </w:r>
      <w:r w:rsidR="00E958C2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ը </w:t>
      </w:r>
      <w:r w:rsidR="00FD55DA"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նվազեցնում է ոլորտի նկատմամբ արդյունավետ վերահսկողություն </w:t>
      </w:r>
      <w:r w:rsidRPr="000C6B3E">
        <w:rPr>
          <w:rFonts w:ascii="GHEA Grapalat" w:eastAsia="Times New Roman" w:hAnsi="GHEA Grapalat" w:cs="GHEA Grapalat"/>
          <w:sz w:val="24"/>
          <w:szCs w:val="24"/>
          <w:lang w:val="hy-AM"/>
        </w:rPr>
        <w:t>իրականացնելու հնարավորությունը։</w:t>
      </w:r>
    </w:p>
    <w:p w14:paraId="1FC88AB0" w14:textId="451348E7" w:rsidR="004B6F0A" w:rsidRPr="000C6B3E" w:rsidRDefault="00AD5C17" w:rsidP="006E1049">
      <w:pPr>
        <w:tabs>
          <w:tab w:val="left" w:pos="993"/>
          <w:tab w:val="left" w:pos="1276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4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Ակնկալվող արդյունքը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986FC00" w14:textId="4E5EF5E4" w:rsidR="0096628E" w:rsidRPr="000C6B3E" w:rsidRDefault="0096628E" w:rsidP="006E1049">
      <w:pPr>
        <w:tabs>
          <w:tab w:val="left" w:pos="993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hAnsi="GHEA Grapalat"/>
          <w:noProof/>
          <w:sz w:val="24"/>
          <w:lang w:val="hy-AM"/>
        </w:rPr>
        <w:t xml:space="preserve">Նախագծի ընդունման արդյունքում ակնկալվում է ապահովել </w:t>
      </w:r>
      <w:r w:rsidRPr="000C6B3E">
        <w:rPr>
          <w:rFonts w:ascii="GHEA Grapalat" w:hAnsi="GHEA Grapalat"/>
          <w:noProof/>
          <w:color w:val="000000"/>
          <w:sz w:val="24"/>
          <w:lang w:val="hy-AM" w:eastAsia="en-GB"/>
        </w:rPr>
        <w:t>«Հայաստանի Հանրապետությունում ստուգումների կազմակերպման և անցկացման մասին» օրենքի 3-րդ հոդվածի 1.1-ին մասով սահմանված</w:t>
      </w:r>
      <w:r w:rsidRPr="000C6B3E">
        <w:rPr>
          <w:rFonts w:ascii="GHEA Grapalat" w:hAnsi="GHEA Grapalat"/>
          <w:noProof/>
          <w:sz w:val="24"/>
          <w:lang w:val="hy-AM"/>
        </w:rPr>
        <w:t xml:space="preserve"> պահանջի կատարումը՝ ապահովելով </w:t>
      </w:r>
      <w:r w:rsidRPr="000C6B3E">
        <w:rPr>
          <w:rFonts w:ascii="GHEA Grapalat" w:hAnsi="GHEA Grapalat" w:cs="Sylfaen"/>
          <w:sz w:val="24"/>
          <w:lang w:val="hy-AM"/>
        </w:rPr>
        <w:t xml:space="preserve">համապատասխան ոլորտում </w:t>
      </w:r>
      <w:r w:rsidRPr="000C6B3E">
        <w:rPr>
          <w:rFonts w:ascii="GHEA Grapalat" w:hAnsi="GHEA Grapalat"/>
          <w:noProof/>
          <w:sz w:val="24"/>
          <w:lang w:val="hy-AM"/>
        </w:rPr>
        <w:t xml:space="preserve">ստուգում իրականացնելու համար </w:t>
      </w:r>
      <w:r w:rsidR="00614B3D" w:rsidRPr="000C6B3E">
        <w:rPr>
          <w:rFonts w:ascii="GHEA Grapalat" w:hAnsi="GHEA Grapalat"/>
          <w:noProof/>
          <w:sz w:val="24"/>
          <w:lang w:val="hy-AM"/>
        </w:rPr>
        <w:t xml:space="preserve">անհրաժեշտ և </w:t>
      </w:r>
      <w:r w:rsidRPr="000C6B3E">
        <w:rPr>
          <w:rFonts w:ascii="GHEA Grapalat" w:hAnsi="GHEA Grapalat"/>
          <w:noProof/>
          <w:sz w:val="24"/>
          <w:lang w:val="hy-AM"/>
        </w:rPr>
        <w:t>արդիական ստուգաթերթ</w:t>
      </w:r>
      <w:r w:rsidR="00614B3D" w:rsidRPr="000C6B3E">
        <w:rPr>
          <w:rFonts w:ascii="GHEA Grapalat" w:hAnsi="GHEA Grapalat"/>
          <w:noProof/>
          <w:sz w:val="24"/>
          <w:lang w:val="hy-AM"/>
        </w:rPr>
        <w:t>եր</w:t>
      </w:r>
      <w:r w:rsidRPr="000C6B3E">
        <w:rPr>
          <w:rFonts w:ascii="GHEA Grapalat" w:hAnsi="GHEA Grapalat"/>
          <w:noProof/>
          <w:sz w:val="24"/>
          <w:lang w:val="hy-AM"/>
        </w:rPr>
        <w:t>ի հաստատումը:</w:t>
      </w:r>
    </w:p>
    <w:p w14:paraId="1B094D6E" w14:textId="4B3BA3A5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3F1D822B" w14:textId="25267329" w:rsidR="004B6F0A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5</w:t>
      </w:r>
      <w:r w:rsidR="004B6F0A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 xml:space="preserve">. </w:t>
      </w:r>
      <w:r w:rsidR="004B6F0A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Նախագծի մշակման գործընթացում ներգրավված ինստիտուտները և անձինք</w:t>
      </w:r>
      <w:r w:rsidR="00614B3D" w:rsidRPr="000C6B3E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.</w:t>
      </w:r>
    </w:p>
    <w:p w14:paraId="6A178D1A" w14:textId="15DE9AB9" w:rsidR="004B6F0A" w:rsidRPr="000C6B3E" w:rsidRDefault="004B6F0A" w:rsidP="006E1049">
      <w:pPr>
        <w:spacing w:after="0" w:line="360" w:lineRule="auto"/>
        <w:ind w:left="-900" w:right="50" w:firstLine="540"/>
        <w:jc w:val="both"/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</w:pP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Նախագիծը մշակվել է </w:t>
      </w:r>
      <w:r w:rsidR="0001022F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Վ</w:t>
      </w:r>
      <w:r w:rsidR="00471F2A"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արչապետի աշխատակազմի տեսչական մարմինների աշխատանքների համակարգման գրասենյակի կողմից</w:t>
      </w:r>
      <w:r w:rsidRPr="000C6B3E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:</w:t>
      </w:r>
    </w:p>
    <w:p w14:paraId="5889D7CF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48D045A" w14:textId="1D690414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6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Այլ իրավական ակտերում փոփոխությունների և/կամ լրացումների անհրաժեշտությունը.</w:t>
      </w:r>
    </w:p>
    <w:p w14:paraId="50ECA55F" w14:textId="77777777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hAnsi="GHEA Grapalat" w:cs="Sylfaen"/>
          <w:noProof/>
          <w:sz w:val="24"/>
          <w:szCs w:val="24"/>
          <w:lang w:val="hy-AM"/>
        </w:rPr>
      </w:pPr>
      <w:r w:rsidRPr="000C6B3E">
        <w:rPr>
          <w:rFonts w:ascii="GHEA Grapalat" w:hAnsi="GHEA Grapalat" w:cs="Sylfaen"/>
          <w:noProof/>
          <w:sz w:val="24"/>
          <w:szCs w:val="24"/>
          <w:lang w:val="hy-AM"/>
        </w:rPr>
        <w:t xml:space="preserve">Նախագծի ընդունման դեպքում այլ իրավական ակտերում փոփոխություններ և/կամ լրացումներ կատարելու անհրաժեշտությունը բացակայում է: </w:t>
      </w:r>
    </w:p>
    <w:p w14:paraId="31C49880" w14:textId="77777777" w:rsidR="00155381" w:rsidRPr="000C6B3E" w:rsidRDefault="00155381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2190FB97" w14:textId="63E70832" w:rsidR="00A15A0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7</w:t>
      </w:r>
      <w:r w:rsidR="00A15A0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Պետական կամ տեղական ինքնակառավարման մարմնի բյուջեում ծախսերի և եկամուտների էական ավելացման կամ նվազեցման մասին.</w:t>
      </w:r>
    </w:p>
    <w:p w14:paraId="52108DAC" w14:textId="3C25AD8B" w:rsidR="00A15A05" w:rsidRPr="000C6B3E" w:rsidRDefault="00A15A05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sz w:val="24"/>
          <w:szCs w:val="24"/>
          <w:lang w:val="hy-AM" w:eastAsia="ru-RU"/>
        </w:rPr>
      </w:pPr>
      <w:r w:rsidRPr="000C6B3E">
        <w:rPr>
          <w:rFonts w:ascii="GHEA Grapalat" w:eastAsia="Times New Roman" w:hAnsi="GHEA Grapalat"/>
          <w:sz w:val="24"/>
          <w:szCs w:val="24"/>
          <w:lang w:val="hy-AM" w:eastAsia="ru-RU"/>
        </w:rPr>
        <w:t>Նախագիծը ՀՀ պետական բյուջեում (կամ տեղական ինքնակառավարման մարմնի բյուջեում) ծախսերի կամ եկամուտների էական ավելացման կամ նվազեցման չի հանգեցնում:</w:t>
      </w:r>
    </w:p>
    <w:p w14:paraId="7E6C7C53" w14:textId="77777777" w:rsidR="00E9582D" w:rsidRDefault="00E9582D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</w:p>
    <w:p w14:paraId="6017D3B4" w14:textId="50C05AE9" w:rsidR="00C95195" w:rsidRPr="000C6B3E" w:rsidRDefault="00AD5C17" w:rsidP="006E1049">
      <w:pPr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</w:pPr>
      <w:r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8</w:t>
      </w:r>
      <w:r w:rsidR="00C95195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 Կապը ռազմավարական փաստաթղթերի հետ. «Հայաստանի վերափոխման ռազմավարություն 2050, Կառավարության 2021-2026թթ. ծրագիր, ոլորտային և/կամ այլ ռազմավարություններ</w:t>
      </w:r>
      <w:r w:rsidR="00614B3D" w:rsidRPr="000C6B3E">
        <w:rPr>
          <w:rFonts w:ascii="GHEA Grapalat" w:eastAsia="Times New Roman" w:hAnsi="GHEA Grapalat"/>
          <w:b/>
          <w:bCs/>
          <w:iCs/>
          <w:noProof/>
          <w:sz w:val="24"/>
          <w:szCs w:val="24"/>
          <w:lang w:val="hy-AM"/>
        </w:rPr>
        <w:t>.</w:t>
      </w:r>
    </w:p>
    <w:p w14:paraId="6A7D80DC" w14:textId="7A58D935" w:rsidR="004B6F0A" w:rsidRPr="000C6B3E" w:rsidRDefault="00E60EE1" w:rsidP="006E1049">
      <w:pPr>
        <w:tabs>
          <w:tab w:val="left" w:pos="567"/>
        </w:tabs>
        <w:spacing w:after="0" w:line="360" w:lineRule="auto"/>
        <w:ind w:left="-900" w:right="50" w:firstLine="540"/>
        <w:jc w:val="both"/>
        <w:rPr>
          <w:rFonts w:ascii="GHEA Grapalat" w:eastAsia="Times New Roman" w:hAnsi="GHEA Grapalat"/>
          <w:iCs/>
          <w:noProof/>
          <w:sz w:val="10"/>
          <w:szCs w:val="24"/>
          <w:lang w:val="hy-AM"/>
        </w:rPr>
      </w:pPr>
      <w:r w:rsidRPr="000C6B3E">
        <w:rPr>
          <w:rFonts w:ascii="GHEA Grapalat" w:hAnsi="GHEA Grapalat"/>
          <w:sz w:val="24"/>
          <w:lang w:val="hy-AM"/>
        </w:rPr>
        <w:t xml:space="preserve">Նախագիծը չի բխում «Հայաստանի վերափոխման ռազմավարություն 2050» ռազմավարական փաստաթղթից, Կառավարության 2021-2026 թթ. ծրագրից, ոլորտային և/կամ այլ </w:t>
      </w:r>
      <w:proofErr w:type="spellStart"/>
      <w:r w:rsidRPr="000C6B3E">
        <w:rPr>
          <w:rFonts w:ascii="GHEA Grapalat" w:hAnsi="GHEA Grapalat"/>
          <w:sz w:val="24"/>
          <w:lang w:val="hy-AM"/>
        </w:rPr>
        <w:t>ռազմավարություններից</w:t>
      </w:r>
      <w:proofErr w:type="spellEnd"/>
      <w:r w:rsidRPr="000C6B3E">
        <w:rPr>
          <w:rFonts w:ascii="GHEA Grapalat" w:hAnsi="GHEA Grapalat"/>
          <w:sz w:val="24"/>
          <w:lang w:val="hy-AM"/>
        </w:rPr>
        <w:t>։</w:t>
      </w:r>
    </w:p>
    <w:sectPr w:rsidR="004B6F0A" w:rsidRPr="000C6B3E" w:rsidSect="00E66FF0">
      <w:pgSz w:w="12240" w:h="15840"/>
      <w:pgMar w:top="810" w:right="850" w:bottom="54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F554B"/>
    <w:multiLevelType w:val="hybridMultilevel"/>
    <w:tmpl w:val="0054FA48"/>
    <w:lvl w:ilvl="0" w:tplc="0809000F">
      <w:start w:val="1"/>
      <w:numFmt w:val="decimal"/>
      <w:lvlText w:val="%1."/>
      <w:lvlJc w:val="left"/>
      <w:pPr>
        <w:ind w:left="1503" w:hanging="360"/>
      </w:pPr>
    </w:lvl>
    <w:lvl w:ilvl="1" w:tplc="08090019" w:tentative="1">
      <w:start w:val="1"/>
      <w:numFmt w:val="lowerLetter"/>
      <w:lvlText w:val="%2."/>
      <w:lvlJc w:val="left"/>
      <w:pPr>
        <w:ind w:left="2223" w:hanging="360"/>
      </w:pPr>
    </w:lvl>
    <w:lvl w:ilvl="2" w:tplc="0809001B" w:tentative="1">
      <w:start w:val="1"/>
      <w:numFmt w:val="lowerRoman"/>
      <w:lvlText w:val="%3."/>
      <w:lvlJc w:val="right"/>
      <w:pPr>
        <w:ind w:left="2943" w:hanging="180"/>
      </w:pPr>
    </w:lvl>
    <w:lvl w:ilvl="3" w:tplc="0809000F" w:tentative="1">
      <w:start w:val="1"/>
      <w:numFmt w:val="decimal"/>
      <w:lvlText w:val="%4."/>
      <w:lvlJc w:val="left"/>
      <w:pPr>
        <w:ind w:left="3663" w:hanging="360"/>
      </w:pPr>
    </w:lvl>
    <w:lvl w:ilvl="4" w:tplc="08090019" w:tentative="1">
      <w:start w:val="1"/>
      <w:numFmt w:val="lowerLetter"/>
      <w:lvlText w:val="%5."/>
      <w:lvlJc w:val="left"/>
      <w:pPr>
        <w:ind w:left="4383" w:hanging="360"/>
      </w:pPr>
    </w:lvl>
    <w:lvl w:ilvl="5" w:tplc="0809001B" w:tentative="1">
      <w:start w:val="1"/>
      <w:numFmt w:val="lowerRoman"/>
      <w:lvlText w:val="%6."/>
      <w:lvlJc w:val="right"/>
      <w:pPr>
        <w:ind w:left="5103" w:hanging="180"/>
      </w:pPr>
    </w:lvl>
    <w:lvl w:ilvl="6" w:tplc="0809000F" w:tentative="1">
      <w:start w:val="1"/>
      <w:numFmt w:val="decimal"/>
      <w:lvlText w:val="%7."/>
      <w:lvlJc w:val="left"/>
      <w:pPr>
        <w:ind w:left="5823" w:hanging="360"/>
      </w:pPr>
    </w:lvl>
    <w:lvl w:ilvl="7" w:tplc="08090019" w:tentative="1">
      <w:start w:val="1"/>
      <w:numFmt w:val="lowerLetter"/>
      <w:lvlText w:val="%8."/>
      <w:lvlJc w:val="left"/>
      <w:pPr>
        <w:ind w:left="6543" w:hanging="360"/>
      </w:pPr>
    </w:lvl>
    <w:lvl w:ilvl="8" w:tplc="08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" w15:restartNumberingAfterBreak="0">
    <w:nsid w:val="0531531B"/>
    <w:multiLevelType w:val="hybridMultilevel"/>
    <w:tmpl w:val="F5B85610"/>
    <w:lvl w:ilvl="0" w:tplc="0809000B">
      <w:start w:val="1"/>
      <w:numFmt w:val="bullet"/>
      <w:lvlText w:val=""/>
      <w:lvlJc w:val="left"/>
      <w:pPr>
        <w:ind w:left="63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0DEC389F"/>
    <w:multiLevelType w:val="hybridMultilevel"/>
    <w:tmpl w:val="D3364F4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16449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60E2F"/>
    <w:multiLevelType w:val="hybridMultilevel"/>
    <w:tmpl w:val="126659B0"/>
    <w:lvl w:ilvl="0" w:tplc="08090011">
      <w:start w:val="1"/>
      <w:numFmt w:val="decimal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E995383"/>
    <w:multiLevelType w:val="hybridMultilevel"/>
    <w:tmpl w:val="FC8E8400"/>
    <w:lvl w:ilvl="0" w:tplc="0809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6" w15:restartNumberingAfterBreak="0">
    <w:nsid w:val="2FD25316"/>
    <w:multiLevelType w:val="hybridMultilevel"/>
    <w:tmpl w:val="C5445ACA"/>
    <w:lvl w:ilvl="0" w:tplc="6A3040F8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7" w15:restartNumberingAfterBreak="0">
    <w:nsid w:val="41F81746"/>
    <w:multiLevelType w:val="hybridMultilevel"/>
    <w:tmpl w:val="9720233C"/>
    <w:lvl w:ilvl="0" w:tplc="5B6E0CFC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 w15:restartNumberingAfterBreak="0">
    <w:nsid w:val="46B37213"/>
    <w:multiLevelType w:val="hybridMultilevel"/>
    <w:tmpl w:val="1EACFA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50A91"/>
    <w:multiLevelType w:val="hybridMultilevel"/>
    <w:tmpl w:val="52667BB0"/>
    <w:lvl w:ilvl="0" w:tplc="8F7E4098">
      <w:start w:val="1"/>
      <w:numFmt w:val="decimal"/>
      <w:lvlText w:val="%1."/>
      <w:lvlJc w:val="left"/>
      <w:pPr>
        <w:ind w:left="46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C22C6"/>
    <w:multiLevelType w:val="hybridMultilevel"/>
    <w:tmpl w:val="52A84FC2"/>
    <w:lvl w:ilvl="0" w:tplc="94E20C54">
      <w:start w:val="1"/>
      <w:numFmt w:val="decimal"/>
      <w:lvlText w:val="%1."/>
      <w:lvlJc w:val="left"/>
      <w:pPr>
        <w:ind w:left="735" w:hanging="360"/>
      </w:pPr>
      <w:rPr>
        <w:rFonts w:cs="Sylfaen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5C284619"/>
    <w:multiLevelType w:val="hybridMultilevel"/>
    <w:tmpl w:val="6D722A74"/>
    <w:lvl w:ilvl="0" w:tplc="F83821F2">
      <w:start w:val="1"/>
      <w:numFmt w:val="decimal"/>
      <w:lvlText w:val="%1."/>
      <w:lvlJc w:val="left"/>
      <w:pPr>
        <w:ind w:left="360" w:hanging="360"/>
      </w:pPr>
      <w:rPr>
        <w:rFonts w:eastAsia="Calibri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2" w15:restartNumberingAfterBreak="0">
    <w:nsid w:val="5E7A2C51"/>
    <w:multiLevelType w:val="hybridMultilevel"/>
    <w:tmpl w:val="A6303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CB681D"/>
    <w:multiLevelType w:val="hybridMultilevel"/>
    <w:tmpl w:val="BC3CE9B6"/>
    <w:lvl w:ilvl="0" w:tplc="A254EA86">
      <w:start w:val="1"/>
      <w:numFmt w:val="decimal"/>
      <w:lvlText w:val="%1."/>
      <w:lvlJc w:val="left"/>
      <w:pPr>
        <w:ind w:left="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927" w:hanging="360"/>
      </w:pPr>
    </w:lvl>
    <w:lvl w:ilvl="2" w:tplc="0809001B" w:tentative="1">
      <w:start w:val="1"/>
      <w:numFmt w:val="lowerRoman"/>
      <w:lvlText w:val="%3."/>
      <w:lvlJc w:val="right"/>
      <w:pPr>
        <w:ind w:left="1647" w:hanging="180"/>
      </w:pPr>
    </w:lvl>
    <w:lvl w:ilvl="3" w:tplc="0809000F" w:tentative="1">
      <w:start w:val="1"/>
      <w:numFmt w:val="decimal"/>
      <w:lvlText w:val="%4."/>
      <w:lvlJc w:val="left"/>
      <w:pPr>
        <w:ind w:left="2367" w:hanging="360"/>
      </w:pPr>
    </w:lvl>
    <w:lvl w:ilvl="4" w:tplc="08090019" w:tentative="1">
      <w:start w:val="1"/>
      <w:numFmt w:val="lowerLetter"/>
      <w:lvlText w:val="%5."/>
      <w:lvlJc w:val="left"/>
      <w:pPr>
        <w:ind w:left="3087" w:hanging="360"/>
      </w:pPr>
    </w:lvl>
    <w:lvl w:ilvl="5" w:tplc="0809001B" w:tentative="1">
      <w:start w:val="1"/>
      <w:numFmt w:val="lowerRoman"/>
      <w:lvlText w:val="%6."/>
      <w:lvlJc w:val="right"/>
      <w:pPr>
        <w:ind w:left="3807" w:hanging="180"/>
      </w:pPr>
    </w:lvl>
    <w:lvl w:ilvl="6" w:tplc="0809000F" w:tentative="1">
      <w:start w:val="1"/>
      <w:numFmt w:val="decimal"/>
      <w:lvlText w:val="%7."/>
      <w:lvlJc w:val="left"/>
      <w:pPr>
        <w:ind w:left="4527" w:hanging="360"/>
      </w:pPr>
    </w:lvl>
    <w:lvl w:ilvl="7" w:tplc="08090019" w:tentative="1">
      <w:start w:val="1"/>
      <w:numFmt w:val="lowerLetter"/>
      <w:lvlText w:val="%8."/>
      <w:lvlJc w:val="left"/>
      <w:pPr>
        <w:ind w:left="5247" w:hanging="360"/>
      </w:pPr>
    </w:lvl>
    <w:lvl w:ilvl="8" w:tplc="080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4" w15:restartNumberingAfterBreak="0">
    <w:nsid w:val="6829480B"/>
    <w:multiLevelType w:val="hybridMultilevel"/>
    <w:tmpl w:val="5E8CB536"/>
    <w:lvl w:ilvl="0" w:tplc="6A70D27C">
      <w:start w:val="6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332A6"/>
    <w:multiLevelType w:val="hybridMultilevel"/>
    <w:tmpl w:val="F7341E6A"/>
    <w:lvl w:ilvl="0" w:tplc="0D34E9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5BC6E43"/>
    <w:multiLevelType w:val="hybridMultilevel"/>
    <w:tmpl w:val="AC1AFE32"/>
    <w:lvl w:ilvl="0" w:tplc="0809000D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79B90718"/>
    <w:multiLevelType w:val="hybridMultilevel"/>
    <w:tmpl w:val="DB0282CA"/>
    <w:lvl w:ilvl="0" w:tplc="C7CC87F8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40" w:hanging="360"/>
      </w:pPr>
    </w:lvl>
    <w:lvl w:ilvl="2" w:tplc="0809001B" w:tentative="1">
      <w:start w:val="1"/>
      <w:numFmt w:val="lowerRoman"/>
      <w:lvlText w:val="%3."/>
      <w:lvlJc w:val="right"/>
      <w:pPr>
        <w:ind w:left="3060" w:hanging="180"/>
      </w:pPr>
    </w:lvl>
    <w:lvl w:ilvl="3" w:tplc="0809000F" w:tentative="1">
      <w:start w:val="1"/>
      <w:numFmt w:val="decimal"/>
      <w:lvlText w:val="%4."/>
      <w:lvlJc w:val="left"/>
      <w:pPr>
        <w:ind w:left="3780" w:hanging="360"/>
      </w:pPr>
    </w:lvl>
    <w:lvl w:ilvl="4" w:tplc="08090019" w:tentative="1">
      <w:start w:val="1"/>
      <w:numFmt w:val="lowerLetter"/>
      <w:lvlText w:val="%5."/>
      <w:lvlJc w:val="left"/>
      <w:pPr>
        <w:ind w:left="4500" w:hanging="360"/>
      </w:pPr>
    </w:lvl>
    <w:lvl w:ilvl="5" w:tplc="0809001B" w:tentative="1">
      <w:start w:val="1"/>
      <w:numFmt w:val="lowerRoman"/>
      <w:lvlText w:val="%6."/>
      <w:lvlJc w:val="right"/>
      <w:pPr>
        <w:ind w:left="5220" w:hanging="180"/>
      </w:pPr>
    </w:lvl>
    <w:lvl w:ilvl="6" w:tplc="0809000F" w:tentative="1">
      <w:start w:val="1"/>
      <w:numFmt w:val="decimal"/>
      <w:lvlText w:val="%7."/>
      <w:lvlJc w:val="left"/>
      <w:pPr>
        <w:ind w:left="5940" w:hanging="360"/>
      </w:pPr>
    </w:lvl>
    <w:lvl w:ilvl="7" w:tplc="08090019" w:tentative="1">
      <w:start w:val="1"/>
      <w:numFmt w:val="lowerLetter"/>
      <w:lvlText w:val="%8."/>
      <w:lvlJc w:val="left"/>
      <w:pPr>
        <w:ind w:left="6660" w:hanging="360"/>
      </w:pPr>
    </w:lvl>
    <w:lvl w:ilvl="8" w:tplc="08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79FE4A8F"/>
    <w:multiLevelType w:val="hybridMultilevel"/>
    <w:tmpl w:val="406A7602"/>
    <w:lvl w:ilvl="0" w:tplc="08090001">
      <w:start w:val="1"/>
      <w:numFmt w:val="bullet"/>
      <w:lvlText w:val=""/>
      <w:lvlJc w:val="left"/>
      <w:pPr>
        <w:ind w:left="5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4"/>
  </w:num>
  <w:num w:numId="5">
    <w:abstractNumId w:val="3"/>
  </w:num>
  <w:num w:numId="6">
    <w:abstractNumId w:val="15"/>
  </w:num>
  <w:num w:numId="7">
    <w:abstractNumId w:val="0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9"/>
  </w:num>
  <w:num w:numId="14">
    <w:abstractNumId w:val="5"/>
  </w:num>
  <w:num w:numId="15">
    <w:abstractNumId w:val="11"/>
  </w:num>
  <w:num w:numId="16">
    <w:abstractNumId w:val="18"/>
  </w:num>
  <w:num w:numId="17">
    <w:abstractNumId w:val="8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FBD"/>
    <w:rsid w:val="0001022F"/>
    <w:rsid w:val="000120F9"/>
    <w:rsid w:val="0004330F"/>
    <w:rsid w:val="00052EBE"/>
    <w:rsid w:val="00054F08"/>
    <w:rsid w:val="000832D5"/>
    <w:rsid w:val="00095DEE"/>
    <w:rsid w:val="00095F40"/>
    <w:rsid w:val="0009748B"/>
    <w:rsid w:val="000A1365"/>
    <w:rsid w:val="000A7804"/>
    <w:rsid w:val="000B27B1"/>
    <w:rsid w:val="000C6B3E"/>
    <w:rsid w:val="000D1140"/>
    <w:rsid w:val="000D1BFE"/>
    <w:rsid w:val="000D26C8"/>
    <w:rsid w:val="000D6E33"/>
    <w:rsid w:val="000E7E81"/>
    <w:rsid w:val="000F7867"/>
    <w:rsid w:val="00102B81"/>
    <w:rsid w:val="0011213E"/>
    <w:rsid w:val="001222C1"/>
    <w:rsid w:val="00132DD0"/>
    <w:rsid w:val="00135A53"/>
    <w:rsid w:val="00154130"/>
    <w:rsid w:val="00155381"/>
    <w:rsid w:val="001640F8"/>
    <w:rsid w:val="00173EDB"/>
    <w:rsid w:val="00175B3B"/>
    <w:rsid w:val="00196FBA"/>
    <w:rsid w:val="001D543F"/>
    <w:rsid w:val="001E03B9"/>
    <w:rsid w:val="00204BA0"/>
    <w:rsid w:val="002223A9"/>
    <w:rsid w:val="002546B7"/>
    <w:rsid w:val="002621AC"/>
    <w:rsid w:val="002856EE"/>
    <w:rsid w:val="002C2222"/>
    <w:rsid w:val="002C665A"/>
    <w:rsid w:val="002F08DE"/>
    <w:rsid w:val="00301700"/>
    <w:rsid w:val="00312216"/>
    <w:rsid w:val="00350655"/>
    <w:rsid w:val="00353C0A"/>
    <w:rsid w:val="00360346"/>
    <w:rsid w:val="0038057D"/>
    <w:rsid w:val="00383BD8"/>
    <w:rsid w:val="00393775"/>
    <w:rsid w:val="003A36AB"/>
    <w:rsid w:val="003B6405"/>
    <w:rsid w:val="003B717B"/>
    <w:rsid w:val="003C51EB"/>
    <w:rsid w:val="003D7D3D"/>
    <w:rsid w:val="003E1219"/>
    <w:rsid w:val="003F1CF6"/>
    <w:rsid w:val="003F2193"/>
    <w:rsid w:val="003F66B9"/>
    <w:rsid w:val="00400C8B"/>
    <w:rsid w:val="00412D31"/>
    <w:rsid w:val="00412F93"/>
    <w:rsid w:val="0041562A"/>
    <w:rsid w:val="00420119"/>
    <w:rsid w:val="004220A2"/>
    <w:rsid w:val="004231C5"/>
    <w:rsid w:val="00425E8A"/>
    <w:rsid w:val="00427D59"/>
    <w:rsid w:val="00434ABB"/>
    <w:rsid w:val="00443CBC"/>
    <w:rsid w:val="00451EE7"/>
    <w:rsid w:val="00453C84"/>
    <w:rsid w:val="0046524C"/>
    <w:rsid w:val="00471F2A"/>
    <w:rsid w:val="00473735"/>
    <w:rsid w:val="00473BDF"/>
    <w:rsid w:val="004814F2"/>
    <w:rsid w:val="00494A01"/>
    <w:rsid w:val="00495257"/>
    <w:rsid w:val="004A1A4D"/>
    <w:rsid w:val="004B35C5"/>
    <w:rsid w:val="004B6F0A"/>
    <w:rsid w:val="004C725C"/>
    <w:rsid w:val="004E230E"/>
    <w:rsid w:val="004E4B69"/>
    <w:rsid w:val="004E500F"/>
    <w:rsid w:val="004F0A24"/>
    <w:rsid w:val="005106B7"/>
    <w:rsid w:val="00510AA7"/>
    <w:rsid w:val="005330CD"/>
    <w:rsid w:val="005474E0"/>
    <w:rsid w:val="00551CD7"/>
    <w:rsid w:val="00562EDE"/>
    <w:rsid w:val="0056554F"/>
    <w:rsid w:val="00571211"/>
    <w:rsid w:val="00580A33"/>
    <w:rsid w:val="0059200E"/>
    <w:rsid w:val="005C1789"/>
    <w:rsid w:val="005D19CD"/>
    <w:rsid w:val="005E3CE0"/>
    <w:rsid w:val="005E4272"/>
    <w:rsid w:val="005F4DD3"/>
    <w:rsid w:val="00601E68"/>
    <w:rsid w:val="00614B3D"/>
    <w:rsid w:val="00616624"/>
    <w:rsid w:val="00641304"/>
    <w:rsid w:val="00646F28"/>
    <w:rsid w:val="0065583E"/>
    <w:rsid w:val="00661E07"/>
    <w:rsid w:val="00662B06"/>
    <w:rsid w:val="006749CF"/>
    <w:rsid w:val="006968C9"/>
    <w:rsid w:val="00696ABF"/>
    <w:rsid w:val="006B0C75"/>
    <w:rsid w:val="006B4940"/>
    <w:rsid w:val="006C3CC4"/>
    <w:rsid w:val="006C4E61"/>
    <w:rsid w:val="006C7173"/>
    <w:rsid w:val="006D4076"/>
    <w:rsid w:val="006D4664"/>
    <w:rsid w:val="006D6770"/>
    <w:rsid w:val="006D78F5"/>
    <w:rsid w:val="006D7E9C"/>
    <w:rsid w:val="006E1049"/>
    <w:rsid w:val="006E14A2"/>
    <w:rsid w:val="006E3CE8"/>
    <w:rsid w:val="006F11A4"/>
    <w:rsid w:val="006F3AEC"/>
    <w:rsid w:val="00714BE0"/>
    <w:rsid w:val="00715BA5"/>
    <w:rsid w:val="007215E5"/>
    <w:rsid w:val="00747F8F"/>
    <w:rsid w:val="0075170A"/>
    <w:rsid w:val="00755E19"/>
    <w:rsid w:val="00757218"/>
    <w:rsid w:val="00765AF0"/>
    <w:rsid w:val="00773319"/>
    <w:rsid w:val="00773634"/>
    <w:rsid w:val="007761F0"/>
    <w:rsid w:val="00776ED4"/>
    <w:rsid w:val="00792122"/>
    <w:rsid w:val="00792BFE"/>
    <w:rsid w:val="007C5A56"/>
    <w:rsid w:val="007E50FD"/>
    <w:rsid w:val="007F6485"/>
    <w:rsid w:val="007F693B"/>
    <w:rsid w:val="00800634"/>
    <w:rsid w:val="00801FD3"/>
    <w:rsid w:val="008123AB"/>
    <w:rsid w:val="008137A8"/>
    <w:rsid w:val="00826962"/>
    <w:rsid w:val="00833476"/>
    <w:rsid w:val="00854099"/>
    <w:rsid w:val="008A2612"/>
    <w:rsid w:val="008A564D"/>
    <w:rsid w:val="008B7E8C"/>
    <w:rsid w:val="008E4951"/>
    <w:rsid w:val="008E5805"/>
    <w:rsid w:val="008F51B5"/>
    <w:rsid w:val="009056A1"/>
    <w:rsid w:val="009138BA"/>
    <w:rsid w:val="00925DD8"/>
    <w:rsid w:val="0093602F"/>
    <w:rsid w:val="00942AA1"/>
    <w:rsid w:val="009464BF"/>
    <w:rsid w:val="0096628E"/>
    <w:rsid w:val="0097389F"/>
    <w:rsid w:val="00983456"/>
    <w:rsid w:val="009852EE"/>
    <w:rsid w:val="00995F39"/>
    <w:rsid w:val="009B2386"/>
    <w:rsid w:val="009B3D97"/>
    <w:rsid w:val="009E23C0"/>
    <w:rsid w:val="009F6C3B"/>
    <w:rsid w:val="00A00FA9"/>
    <w:rsid w:val="00A01F81"/>
    <w:rsid w:val="00A0527C"/>
    <w:rsid w:val="00A15A05"/>
    <w:rsid w:val="00A23F41"/>
    <w:rsid w:val="00A317DB"/>
    <w:rsid w:val="00A36197"/>
    <w:rsid w:val="00A43EA1"/>
    <w:rsid w:val="00A479CE"/>
    <w:rsid w:val="00A53872"/>
    <w:rsid w:val="00A61CD8"/>
    <w:rsid w:val="00A874C0"/>
    <w:rsid w:val="00AA4580"/>
    <w:rsid w:val="00AC2D4B"/>
    <w:rsid w:val="00AC51CB"/>
    <w:rsid w:val="00AD4F21"/>
    <w:rsid w:val="00AD5C17"/>
    <w:rsid w:val="00AE1E8A"/>
    <w:rsid w:val="00AF16E0"/>
    <w:rsid w:val="00AF259E"/>
    <w:rsid w:val="00B03C89"/>
    <w:rsid w:val="00B10D00"/>
    <w:rsid w:val="00B1324F"/>
    <w:rsid w:val="00B20C5F"/>
    <w:rsid w:val="00B21D11"/>
    <w:rsid w:val="00B22629"/>
    <w:rsid w:val="00B2440A"/>
    <w:rsid w:val="00B35BAF"/>
    <w:rsid w:val="00B43D14"/>
    <w:rsid w:val="00B63404"/>
    <w:rsid w:val="00B70074"/>
    <w:rsid w:val="00B7584C"/>
    <w:rsid w:val="00BA65F1"/>
    <w:rsid w:val="00BB4096"/>
    <w:rsid w:val="00BB5B6D"/>
    <w:rsid w:val="00BD258A"/>
    <w:rsid w:val="00BD7498"/>
    <w:rsid w:val="00BE5749"/>
    <w:rsid w:val="00BF6EFC"/>
    <w:rsid w:val="00C209B4"/>
    <w:rsid w:val="00C21520"/>
    <w:rsid w:val="00C22D77"/>
    <w:rsid w:val="00C25091"/>
    <w:rsid w:val="00C63A67"/>
    <w:rsid w:val="00C75A55"/>
    <w:rsid w:val="00C94D63"/>
    <w:rsid w:val="00C95195"/>
    <w:rsid w:val="00CA54E0"/>
    <w:rsid w:val="00CE5C24"/>
    <w:rsid w:val="00CE5D93"/>
    <w:rsid w:val="00CE79AD"/>
    <w:rsid w:val="00CF6BB2"/>
    <w:rsid w:val="00D0303F"/>
    <w:rsid w:val="00D04D9C"/>
    <w:rsid w:val="00D251E1"/>
    <w:rsid w:val="00D252A4"/>
    <w:rsid w:val="00D25A13"/>
    <w:rsid w:val="00D30EF6"/>
    <w:rsid w:val="00D353B4"/>
    <w:rsid w:val="00D40E35"/>
    <w:rsid w:val="00D42A30"/>
    <w:rsid w:val="00D6599D"/>
    <w:rsid w:val="00D73506"/>
    <w:rsid w:val="00D8184E"/>
    <w:rsid w:val="00D83AAA"/>
    <w:rsid w:val="00D963E6"/>
    <w:rsid w:val="00DA1A6D"/>
    <w:rsid w:val="00DA63E9"/>
    <w:rsid w:val="00DB607E"/>
    <w:rsid w:val="00DC7454"/>
    <w:rsid w:val="00DD3967"/>
    <w:rsid w:val="00DF2461"/>
    <w:rsid w:val="00DF78EB"/>
    <w:rsid w:val="00E267F1"/>
    <w:rsid w:val="00E32830"/>
    <w:rsid w:val="00E47FBD"/>
    <w:rsid w:val="00E510FC"/>
    <w:rsid w:val="00E55608"/>
    <w:rsid w:val="00E60EE1"/>
    <w:rsid w:val="00E622D0"/>
    <w:rsid w:val="00E6522C"/>
    <w:rsid w:val="00E66FF0"/>
    <w:rsid w:val="00E75571"/>
    <w:rsid w:val="00E84817"/>
    <w:rsid w:val="00E86F3F"/>
    <w:rsid w:val="00E87F3C"/>
    <w:rsid w:val="00E9582D"/>
    <w:rsid w:val="00E958C2"/>
    <w:rsid w:val="00EA5FA3"/>
    <w:rsid w:val="00EB0FBD"/>
    <w:rsid w:val="00EC2154"/>
    <w:rsid w:val="00EF059C"/>
    <w:rsid w:val="00F125BA"/>
    <w:rsid w:val="00F161CF"/>
    <w:rsid w:val="00F25BA7"/>
    <w:rsid w:val="00F2700B"/>
    <w:rsid w:val="00F57540"/>
    <w:rsid w:val="00F647E7"/>
    <w:rsid w:val="00F70681"/>
    <w:rsid w:val="00F84366"/>
    <w:rsid w:val="00F85DB6"/>
    <w:rsid w:val="00F92978"/>
    <w:rsid w:val="00FA5AF2"/>
    <w:rsid w:val="00FD47ED"/>
    <w:rsid w:val="00FD55DA"/>
    <w:rsid w:val="00FF0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88D4F"/>
  <w15:docId w15:val="{A43A2598-3D32-4763-9209-13F287FB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F0A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A564D"/>
    <w:rPr>
      <w:b/>
      <w:bCs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,Знак"/>
    <w:basedOn w:val="Normal"/>
    <w:link w:val="NormalWebChar"/>
    <w:uiPriority w:val="99"/>
    <w:unhideWhenUsed/>
    <w:qFormat/>
    <w:rsid w:val="00B21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E75571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rsid w:val="00E75571"/>
  </w:style>
  <w:style w:type="character" w:styleId="Emphasis">
    <w:name w:val="Emphasis"/>
    <w:uiPriority w:val="20"/>
    <w:qFormat/>
    <w:rsid w:val="00801FD3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,webb Char,Знак Char"/>
    <w:link w:val="NormalWeb"/>
    <w:uiPriority w:val="99"/>
    <w:locked/>
    <w:rsid w:val="00801FD3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E1E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1E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1E8A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1E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1E8A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E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E8A"/>
    <w:rPr>
      <w:rFonts w:ascii="Segoe UI" w:eastAsia="Calibri" w:hAnsi="Segoe UI" w:cs="Segoe UI"/>
      <w:sz w:val="18"/>
      <w:szCs w:val="18"/>
      <w:lang w:val="ru-RU"/>
    </w:rPr>
  </w:style>
  <w:style w:type="paragraph" w:styleId="BodyText">
    <w:name w:val="Body Text"/>
    <w:basedOn w:val="Normal"/>
    <w:link w:val="BodyTextChar"/>
    <w:uiPriority w:val="1"/>
    <w:qFormat/>
    <w:rsid w:val="00D30EF6"/>
    <w:pPr>
      <w:spacing w:after="120" w:line="240" w:lineRule="auto"/>
    </w:pPr>
    <w:rPr>
      <w:rFonts w:ascii="Times Armenian" w:eastAsia="Times New Roman" w:hAnsi="Times Armenian"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1"/>
    <w:rsid w:val="00D30EF6"/>
    <w:rPr>
      <w:rFonts w:ascii="Times Armenian" w:eastAsia="Times New Roman" w:hAnsi="Times Armeni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2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AC075D-EC49-4FB7-9795-D2CCA350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746</Words>
  <Characters>4257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Uesr</dc:creator>
  <cp:keywords>https:/mul2.gov.am/tasks/849666/oneclick/Himnavorum.docx?token=657d9acce42371ff1e8b9955b2ee6337</cp:keywords>
  <cp:lastModifiedBy>Vera Zurnachyan</cp:lastModifiedBy>
  <cp:revision>39</cp:revision>
  <dcterms:created xsi:type="dcterms:W3CDTF">2023-09-11T08:30:00Z</dcterms:created>
  <dcterms:modified xsi:type="dcterms:W3CDTF">2024-02-01T11:42:00Z</dcterms:modified>
</cp:coreProperties>
</file>