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FEA8" w14:textId="77777777" w:rsidR="002123B6" w:rsidRPr="00426B6C" w:rsidRDefault="002123B6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426B6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14:paraId="22446F6A" w14:textId="19394378" w:rsidR="0059001C" w:rsidRDefault="000E7F4E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0E7F4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«Հայաստանի Հանրապետության հանրային ծառայությունները կարգավորող հանձնաժողովի 2019 թվականի հունվարի 9-ի N1-Ն որոշման մեջ փոփոխություն կատարելու մասին» և  «Հայաստանի Հանրապետության հանրային ծառայությունները կարգավորող հանձնաժողովի 2022 թվականի հոկտեմբերի 5-ի N391-Ն որոշման մեջ փոփոխություն կատարելու մասին»</w:t>
      </w:r>
      <w:r w:rsidR="00D202CE" w:rsidRPr="000E7F4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</w:t>
      </w:r>
      <w:r w:rsidR="0059001C" w:rsidRPr="000E7F4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ՀՀ հանրային ծառայությունները կարգավորող</w:t>
      </w:r>
      <w:r w:rsidR="0059001C" w:rsidRPr="009378BE">
        <w:rPr>
          <w:rFonts w:ascii="GHEA Grapalat" w:hAnsi="GHEA Grapalat" w:cs="ArTarumianTimes"/>
          <w:b/>
          <w:sz w:val="24"/>
          <w:szCs w:val="24"/>
          <w:shd w:val="clear" w:color="auto" w:fill="FFFFFF"/>
        </w:rPr>
        <w:t xml:space="preserve"> հանձնաժողովի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որոշ</w:t>
      </w:r>
      <w:r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ումների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նախագծ</w:t>
      </w:r>
      <w:r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եր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="0059001C" w:rsidRPr="009378B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վերաբերյալ</w:t>
      </w:r>
      <w:r w:rsidR="0059001C" w:rsidRPr="009378B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</w:p>
    <w:p w14:paraId="3672FD11" w14:textId="77777777" w:rsidR="00590F08" w:rsidRPr="009378BE" w:rsidRDefault="00590F08" w:rsidP="004B4968">
      <w:pPr>
        <w:spacing w:before="100" w:beforeAutospacing="1" w:after="12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</w:pPr>
    </w:p>
    <w:p w14:paraId="74633A8E" w14:textId="1789F076" w:rsidR="0059001C" w:rsidRDefault="00426B6C" w:rsidP="00FE04FD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  <w:r w:rsidRPr="00FE04FD">
        <w:rPr>
          <w:rFonts w:ascii="GHEA Grapalat" w:hAnsi="GHEA Grapalat"/>
          <w:b/>
          <w:i/>
          <w:sz w:val="24"/>
          <w:szCs w:val="24"/>
        </w:rPr>
        <w:t>Ընթացիկ իրավիճակը և իրավական ակտ</w:t>
      </w:r>
      <w:r w:rsidR="000E7F4E">
        <w:rPr>
          <w:rFonts w:ascii="GHEA Grapalat" w:hAnsi="GHEA Grapalat"/>
          <w:b/>
          <w:i/>
          <w:sz w:val="24"/>
          <w:szCs w:val="24"/>
        </w:rPr>
        <w:t>եր</w:t>
      </w:r>
      <w:r w:rsidRPr="00FE04FD">
        <w:rPr>
          <w:rFonts w:ascii="GHEA Grapalat" w:hAnsi="GHEA Grapalat"/>
          <w:b/>
          <w:i/>
          <w:sz w:val="24"/>
          <w:szCs w:val="24"/>
        </w:rPr>
        <w:t>ի ընդունման անհրաժեշտությունը</w:t>
      </w:r>
    </w:p>
    <w:p w14:paraId="1DCA616F" w14:textId="77777777" w:rsidR="007677E2" w:rsidRPr="00FE04FD" w:rsidRDefault="007677E2" w:rsidP="007677E2">
      <w:pPr>
        <w:pStyle w:val="ListParagraph"/>
        <w:spacing w:after="0"/>
        <w:jc w:val="both"/>
        <w:rPr>
          <w:rFonts w:ascii="GHEA Grapalat" w:hAnsi="GHEA Grapalat"/>
          <w:b/>
          <w:i/>
          <w:sz w:val="24"/>
          <w:szCs w:val="24"/>
        </w:rPr>
      </w:pPr>
    </w:p>
    <w:p w14:paraId="6C72AF7C" w14:textId="13C43FA7" w:rsidR="001E472E" w:rsidRDefault="001E472E" w:rsidP="001E472E">
      <w:pPr>
        <w:pStyle w:val="namak"/>
        <w:spacing w:line="360" w:lineRule="auto"/>
        <w:ind w:firstLine="403"/>
        <w:rPr>
          <w:color w:val="000000"/>
          <w:shd w:val="clear" w:color="auto" w:fill="FFFFFF"/>
          <w:lang w:val="hy-AM"/>
        </w:rPr>
      </w:pPr>
      <w:r w:rsidRPr="001E472E">
        <w:rPr>
          <w:color w:val="000000"/>
          <w:shd w:val="clear" w:color="auto" w:fill="FFFFFF"/>
          <w:lang w:val="hy-AM"/>
        </w:rPr>
        <w:t xml:space="preserve">ՀՀ հանրային ծառայությունները կարգավորող հանձնաժողովի 2019 թվականի </w:t>
      </w:r>
      <w:r w:rsidRPr="004612D3">
        <w:rPr>
          <w:color w:val="000000"/>
          <w:shd w:val="clear" w:color="auto" w:fill="FFFFFF"/>
          <w:lang w:val="hy-AM"/>
        </w:rPr>
        <w:t xml:space="preserve">հունվարի 9-ի </w:t>
      </w:r>
      <w:r w:rsidRPr="001E472E">
        <w:rPr>
          <w:color w:val="000000"/>
          <w:shd w:val="clear" w:color="auto" w:fill="FFFFFF"/>
          <w:lang w:val="hy-AM"/>
        </w:rPr>
        <w:t>№1-Ն որոշմամբ սահմանվ</w:t>
      </w:r>
      <w:r w:rsidRPr="004612D3">
        <w:rPr>
          <w:color w:val="000000"/>
          <w:shd w:val="clear" w:color="auto" w:fill="FFFFFF"/>
          <w:lang w:val="hy-AM"/>
        </w:rPr>
        <w:t>ած</w:t>
      </w:r>
      <w:r w:rsidRPr="001E472E">
        <w:rPr>
          <w:color w:val="000000"/>
          <w:shd w:val="clear" w:color="auto" w:fill="FFFFFF"/>
          <w:lang w:val="hy-AM"/>
        </w:rPr>
        <w:t xml:space="preserve"> </w:t>
      </w:r>
      <w:r w:rsidRPr="004612D3">
        <w:rPr>
          <w:color w:val="000000"/>
          <w:shd w:val="clear" w:color="auto" w:fill="FFFFFF"/>
          <w:lang w:val="hy-AM"/>
        </w:rPr>
        <w:t>են</w:t>
      </w:r>
      <w:r w:rsidRPr="001E472E">
        <w:rPr>
          <w:color w:val="000000"/>
          <w:shd w:val="clear" w:color="auto" w:fill="FFFFFF"/>
          <w:lang w:val="hy-AM"/>
        </w:rPr>
        <w:t xml:space="preserve"> հանրային էլեկտրոնային հաղորդակցության ցանցերի օպերատորների կողմից հանրային էլեկտրոնային հաղորդակցության ամրակցված </w:t>
      </w:r>
      <w:r w:rsidRPr="004612D3">
        <w:rPr>
          <w:color w:val="000000"/>
          <w:shd w:val="clear" w:color="auto" w:fill="FFFFFF"/>
          <w:lang w:val="hy-AM"/>
        </w:rPr>
        <w:t>և</w:t>
      </w:r>
      <w:r w:rsidRPr="001E472E">
        <w:rPr>
          <w:color w:val="000000"/>
          <w:shd w:val="clear" w:color="auto" w:fill="FFFFFF"/>
          <w:lang w:val="hy-AM"/>
        </w:rPr>
        <w:t xml:space="preserve"> շարժական կապի ծառայությունների հասանելիության վերաբերյալ տեղեկատվության հրապարակման</w:t>
      </w:r>
      <w:r w:rsidRPr="004612D3">
        <w:rPr>
          <w:color w:val="000000"/>
          <w:shd w:val="clear" w:color="auto" w:fill="FFFFFF"/>
          <w:lang w:val="hy-AM"/>
        </w:rPr>
        <w:t xml:space="preserve"> պահանջները, իսկ </w:t>
      </w:r>
      <w:r w:rsidRPr="001E472E">
        <w:rPr>
          <w:color w:val="000000"/>
          <w:shd w:val="clear" w:color="auto" w:fill="FFFFFF"/>
          <w:lang w:val="hy-AM"/>
        </w:rPr>
        <w:t>2022 թվականի հոկտեմբերի 5-ի №391-Ն որոշմամբ</w:t>
      </w:r>
      <w:r w:rsidRPr="004612D3">
        <w:rPr>
          <w:color w:val="000000"/>
          <w:shd w:val="clear" w:color="auto" w:fill="FFFFFF"/>
          <w:lang w:val="hy-AM"/>
        </w:rPr>
        <w:t>՝</w:t>
      </w:r>
      <w:r w:rsidRPr="001E472E">
        <w:rPr>
          <w:color w:val="000000"/>
          <w:shd w:val="clear" w:color="auto" w:fill="FFFFFF"/>
          <w:lang w:val="hy-AM"/>
        </w:rPr>
        <w:t xml:space="preserve"> հանրային էլեկտրոնային հաղորդակցության շարժական</w:t>
      </w:r>
      <w:r>
        <w:rPr>
          <w:color w:val="000000"/>
          <w:shd w:val="clear" w:color="auto" w:fill="FFFFFF"/>
          <w:lang w:val="hy-AM"/>
        </w:rPr>
        <w:t xml:space="preserve"> կապի լայնաշերտ </w:t>
      </w:r>
      <w:r w:rsidRPr="001E472E">
        <w:rPr>
          <w:color w:val="000000"/>
          <w:shd w:val="clear" w:color="auto" w:fill="FFFFFF"/>
          <w:lang w:val="hy-AM"/>
        </w:rPr>
        <w:t xml:space="preserve">(LTE) </w:t>
      </w:r>
      <w:r>
        <w:rPr>
          <w:color w:val="000000"/>
          <w:shd w:val="clear" w:color="auto" w:fill="FFFFFF"/>
          <w:lang w:val="hy-AM"/>
        </w:rPr>
        <w:t>տեխնոլոգիայի ծածկույթի որակի չափանիշները, որոնց համաձայն</w:t>
      </w:r>
      <w:r w:rsidR="004612D3">
        <w:rPr>
          <w:color w:val="000000"/>
          <w:shd w:val="clear" w:color="auto" w:fill="FFFFFF"/>
          <w:lang w:val="hy-AM"/>
        </w:rPr>
        <w:t>՝ հանրային էլեկտրոնային հաղորդակցության ցանցի</w:t>
      </w:r>
      <w:r>
        <w:rPr>
          <w:color w:val="000000"/>
          <w:shd w:val="clear" w:color="auto" w:fill="FFFFFF"/>
          <w:lang w:val="hy-AM"/>
        </w:rPr>
        <w:t xml:space="preserve"> օպերատորները հրապարակում և հանձնաժողով են ներկայացնում իրենց </w:t>
      </w:r>
      <w:r w:rsidRPr="001E472E">
        <w:rPr>
          <w:color w:val="000000"/>
          <w:shd w:val="clear" w:color="auto" w:fill="FFFFFF"/>
          <w:lang w:val="hy-AM"/>
        </w:rPr>
        <w:t>հանրային շարժական</w:t>
      </w:r>
      <w:r>
        <w:rPr>
          <w:color w:val="000000"/>
          <w:shd w:val="clear" w:color="auto" w:fill="FFFFFF"/>
          <w:lang w:val="hy-AM"/>
        </w:rPr>
        <w:t xml:space="preserve"> կապի ցանցերի հասանելիության վերաբերյալ տեղեկատվությունն՝ ըստ բնակավայրերի։  </w:t>
      </w:r>
    </w:p>
    <w:p w14:paraId="78089EEF" w14:textId="18FB1CEA" w:rsidR="0083141B" w:rsidRDefault="001E472E" w:rsidP="007B7D35">
      <w:pPr>
        <w:pStyle w:val="namak"/>
        <w:spacing w:line="360" w:lineRule="auto"/>
        <w:ind w:firstLine="403"/>
        <w:rPr>
          <w:color w:val="000000"/>
          <w:shd w:val="clear" w:color="auto" w:fill="FFFFFF"/>
          <w:lang w:val="hy-AM"/>
        </w:rPr>
      </w:pPr>
      <w:r>
        <w:rPr>
          <w:color w:val="000000"/>
          <w:shd w:val="clear" w:color="auto" w:fill="FFFFFF"/>
          <w:lang w:val="hy-AM"/>
        </w:rPr>
        <w:t>Հաշվի առնելով վերոնշյալը և նկատի ունենալով հանձնաժողովի համապատասխան իրավական ակտերով «Յ</w:t>
      </w:r>
      <w:r w:rsidR="004612D3">
        <w:rPr>
          <w:color w:val="000000"/>
          <w:shd w:val="clear" w:color="auto" w:fill="FFFFFF"/>
          <w:lang w:val="hy-AM"/>
        </w:rPr>
        <w:t>ուքոմ</w:t>
      </w:r>
      <w:r>
        <w:rPr>
          <w:color w:val="000000"/>
          <w:shd w:val="clear" w:color="auto" w:fill="FFFFFF"/>
          <w:lang w:val="hy-AM"/>
        </w:rPr>
        <w:t xml:space="preserve">», «ՄՏՍ Հայաստան» ՓԲԸ-ներին և «Տելեկոմ Արմենիա» ԲԲԸ-ին տրամադրված ռադիոհաճախականությունների հատվածների օգտագործման թույլտվությունների պայմաններով սահմանված պարտավորությունները՝ ՀՀ միջպետական մայրուղիներում լայնաշերտ ինտերնետային բացօթյա ծածկույթ ապահովելու վերաբերյալ, հանձնաժողովը լրամշակել է </w:t>
      </w:r>
      <w:r w:rsidRPr="007B7D35">
        <w:rPr>
          <w:color w:val="000000"/>
          <w:shd w:val="clear" w:color="auto" w:fill="FFFFFF"/>
          <w:lang w:val="hy-AM"/>
        </w:rPr>
        <w:t>2019 թվականի հունվարի 9-ի №1-Ն և 2022 թվականի հոկտեմբերի 5-ի №391-Ն</w:t>
      </w:r>
      <w:r>
        <w:rPr>
          <w:color w:val="000000"/>
          <w:shd w:val="clear" w:color="auto" w:fill="FFFFFF"/>
          <w:lang w:val="hy-AM"/>
        </w:rPr>
        <w:t xml:space="preserve"> որոշումները</w:t>
      </w:r>
      <w:r w:rsidR="004612D3">
        <w:rPr>
          <w:color w:val="000000"/>
          <w:shd w:val="clear" w:color="auto" w:fill="FFFFFF"/>
          <w:lang w:val="hy-AM"/>
        </w:rPr>
        <w:t>։</w:t>
      </w:r>
      <w:r>
        <w:rPr>
          <w:color w:val="000000"/>
          <w:shd w:val="clear" w:color="auto" w:fill="FFFFFF"/>
          <w:lang w:val="hy-AM"/>
        </w:rPr>
        <w:t xml:space="preserve"> </w:t>
      </w:r>
    </w:p>
    <w:p w14:paraId="39732B1E" w14:textId="6F9E3231" w:rsidR="009378BE" w:rsidRDefault="009378BE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14:paraId="22F86FDF" w14:textId="77777777" w:rsidR="004612D3" w:rsidRPr="00E70989" w:rsidRDefault="004612D3" w:rsidP="00F64883">
      <w:pPr>
        <w:spacing w:after="0" w:line="240" w:lineRule="auto"/>
        <w:ind w:firstLine="360"/>
        <w:jc w:val="both"/>
        <w:rPr>
          <w:rFonts w:ascii="GHEA Grapalat" w:hAnsi="GHEA Grapalat"/>
          <w:sz w:val="10"/>
          <w:szCs w:val="24"/>
        </w:rPr>
      </w:pPr>
    </w:p>
    <w:p w14:paraId="124A0288" w14:textId="77777777" w:rsidR="00426B6C" w:rsidRPr="009B0E13" w:rsidRDefault="00426B6C" w:rsidP="00590F08">
      <w:pPr>
        <w:pStyle w:val="ListParagraph"/>
        <w:numPr>
          <w:ilvl w:val="0"/>
          <w:numId w:val="1"/>
        </w:numPr>
        <w:ind w:left="714" w:hanging="357"/>
        <w:rPr>
          <w:rFonts w:ascii="GHEA Grapalat" w:hAnsi="GHEA Grapalat"/>
          <w:b/>
          <w:i/>
          <w:sz w:val="24"/>
          <w:szCs w:val="24"/>
        </w:rPr>
      </w:pPr>
      <w:r w:rsidRPr="009B0E13">
        <w:rPr>
          <w:rFonts w:ascii="GHEA Grapalat" w:hAnsi="GHEA Grapalat" w:cs="Arial"/>
          <w:b/>
          <w:i/>
          <w:sz w:val="24"/>
          <w:szCs w:val="24"/>
        </w:rPr>
        <w:t>Առաջարկվող</w:t>
      </w:r>
      <w:r w:rsidRPr="009B0E13">
        <w:rPr>
          <w:rFonts w:ascii="GHEA Grapalat" w:hAnsi="GHEA Grapalat"/>
          <w:b/>
          <w:i/>
          <w:sz w:val="24"/>
          <w:szCs w:val="24"/>
        </w:rPr>
        <w:t xml:space="preserve"> կարգավորման բնույթը</w:t>
      </w:r>
    </w:p>
    <w:p w14:paraId="5C6D2986" w14:textId="718114F3" w:rsidR="007677E2" w:rsidRDefault="009E1EB1" w:rsidP="004612D3">
      <w:pPr>
        <w:pStyle w:val="namak"/>
        <w:spacing w:line="360" w:lineRule="auto"/>
        <w:ind w:firstLine="403"/>
        <w:rPr>
          <w:color w:val="000000"/>
          <w:shd w:val="clear" w:color="auto" w:fill="FFFFFF"/>
          <w:lang w:val="hy-AM"/>
        </w:rPr>
      </w:pPr>
      <w:r>
        <w:rPr>
          <w:color w:val="000000"/>
          <w:shd w:val="clear" w:color="auto" w:fill="FFFFFF"/>
          <w:lang w:val="hy-AM"/>
        </w:rPr>
        <w:t>Նախագծերով նախատեսվում են հանրային շարժական կապի օպերատորների կողմից իրենց հանրային շարժական կապի ցանցերի հասանելիության վերաբերյալ տեղեկատվության հրապարակման և ՀՀ հանրային ծառայությունները կարգավորող հանձնաժողով ներկայացման պահանջներ սահմանել ՀՀ ընդհանուր օգտագործման միջպետական նշանակության ավտոմոբիլային ճանապարհների (մայրուղիների) մասով։</w:t>
      </w:r>
    </w:p>
    <w:p w14:paraId="12F6D5C6" w14:textId="2273C85A" w:rsidR="000E7F4E" w:rsidRDefault="000E7F4E" w:rsidP="004612D3">
      <w:pPr>
        <w:pStyle w:val="namak"/>
        <w:spacing w:line="360" w:lineRule="auto"/>
        <w:ind w:firstLine="403"/>
        <w:rPr>
          <w:color w:val="000000"/>
          <w:shd w:val="clear" w:color="auto" w:fill="FFFFFF"/>
          <w:lang w:val="hy-AM"/>
        </w:rPr>
      </w:pPr>
    </w:p>
    <w:p w14:paraId="62DED77D" w14:textId="77777777" w:rsidR="00E70989" w:rsidRDefault="00E70989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14:paraId="19FDC023" w14:textId="77777777" w:rsidR="00A42D21" w:rsidRPr="00E70989" w:rsidRDefault="00A42D21" w:rsidP="00E70989">
      <w:pPr>
        <w:pStyle w:val="namak"/>
        <w:spacing w:line="240" w:lineRule="auto"/>
        <w:ind w:firstLine="360"/>
        <w:rPr>
          <w:sz w:val="10"/>
          <w:lang w:val="hy-AM"/>
        </w:rPr>
      </w:pPr>
    </w:p>
    <w:p w14:paraId="36C0BD81" w14:textId="58E52EDF" w:rsidR="0059001C" w:rsidRPr="009B0E13" w:rsidRDefault="0059001C" w:rsidP="00590F08">
      <w:pPr>
        <w:pStyle w:val="ListParagraph"/>
        <w:numPr>
          <w:ilvl w:val="0"/>
          <w:numId w:val="1"/>
        </w:numPr>
        <w:tabs>
          <w:tab w:val="left" w:pos="1245"/>
        </w:tabs>
        <w:ind w:left="714" w:hanging="357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 w:rsidRPr="00DD07B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ախագծ</w:t>
      </w:r>
      <w:r w:rsidR="000E7F4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եր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14:paraId="1B32DFF2" w14:textId="77777777" w:rsidR="0059001C" w:rsidRDefault="005104D4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E70989">
        <w:rPr>
          <w:rFonts w:ascii="GHEA Grapalat" w:eastAsia="Times New Roman" w:hAnsi="GHEA Grapalat" w:cs="Sylfaen"/>
          <w:sz w:val="24"/>
          <w:szCs w:val="24"/>
          <w:lang w:eastAsia="ru-RU"/>
        </w:rPr>
        <w:t>Ն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ախագիծը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9B0E13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>՝ քննարկելով այն հանրային շարժական</w:t>
      </w:r>
      <w:r w:rsidR="0040627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կապի օպերատորների </w:t>
      </w:r>
      <w:r w:rsidR="004140D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և ՀՀ բարձր տեխնոլոգական արդյունաբերության նախարարության </w:t>
      </w:r>
      <w:r w:rsidR="009378BE">
        <w:rPr>
          <w:rFonts w:ascii="GHEA Grapalat" w:eastAsia="Times New Roman" w:hAnsi="GHEA Grapalat" w:cs="Times New Roman"/>
          <w:sz w:val="24"/>
          <w:szCs w:val="24"/>
          <w:lang w:eastAsia="ru-RU"/>
        </w:rPr>
        <w:t>հետ</w:t>
      </w:r>
      <w:r w:rsidR="0059001C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D202CE" w:rsidRPr="009B0E13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09C617D7" w14:textId="77777777" w:rsidR="004140DB" w:rsidRDefault="004140DB" w:rsidP="00590F08">
      <w:pPr>
        <w:tabs>
          <w:tab w:val="left" w:pos="0"/>
        </w:tabs>
        <w:spacing w:after="0" w:line="324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F8D4D2E" w14:textId="77777777" w:rsidR="00DD07B7" w:rsidRPr="00E70989" w:rsidRDefault="00DD07B7" w:rsidP="00DD07B7">
      <w:pPr>
        <w:tabs>
          <w:tab w:val="left" w:pos="0"/>
        </w:tabs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24"/>
          <w:lang w:eastAsia="ru-RU"/>
        </w:rPr>
      </w:pPr>
    </w:p>
    <w:p w14:paraId="3AD6886C" w14:textId="77777777" w:rsidR="0059001C" w:rsidRPr="00590F08" w:rsidRDefault="0059001C" w:rsidP="0059001C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GHEA Grapalat" w:eastAsia="Times New Roman" w:hAnsi="GHEA Grapalat" w:cs="Times New Roman"/>
          <w:i/>
          <w:sz w:val="24"/>
          <w:szCs w:val="24"/>
          <w:lang w:val="en-US" w:eastAsia="ru-RU"/>
        </w:rPr>
      </w:pP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Ակնկալվող</w:t>
      </w:r>
      <w:r w:rsidRPr="009B0E13">
        <w:rPr>
          <w:rFonts w:ascii="GHEA Grapalat" w:eastAsia="Times New Roman" w:hAnsi="GHEA Grapalat" w:cs="Times New Roman"/>
          <w:b/>
          <w:bCs/>
          <w:i/>
          <w:sz w:val="24"/>
          <w:szCs w:val="24"/>
          <w:lang w:val="ru-RU" w:eastAsia="ru-RU"/>
        </w:rPr>
        <w:t xml:space="preserve"> </w:t>
      </w:r>
      <w:r w:rsidRPr="009B0E13">
        <w:rPr>
          <w:rFonts w:ascii="GHEA Grapalat" w:eastAsia="Times New Roman" w:hAnsi="GHEA Grapalat" w:cs="Sylfaen"/>
          <w:b/>
          <w:bCs/>
          <w:i/>
          <w:sz w:val="24"/>
          <w:szCs w:val="24"/>
          <w:lang w:val="ru-RU" w:eastAsia="ru-RU"/>
        </w:rPr>
        <w:t>արդյունքը</w:t>
      </w:r>
    </w:p>
    <w:p w14:paraId="533C5F3D" w14:textId="40FB9A7C" w:rsidR="00D62528" w:rsidRPr="004140DB" w:rsidRDefault="00406276" w:rsidP="00406276">
      <w:pPr>
        <w:tabs>
          <w:tab w:val="left" w:pos="709"/>
        </w:tabs>
        <w:spacing w:line="324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ab/>
      </w:r>
      <w:r w:rsidR="00590F08" w:rsidRPr="00406276">
        <w:rPr>
          <w:rFonts w:ascii="GHEA Grapalat" w:hAnsi="GHEA Grapalat"/>
          <w:sz w:val="24"/>
          <w:szCs w:val="24"/>
        </w:rPr>
        <w:t>Նախագծ</w:t>
      </w:r>
      <w:r w:rsidR="00D675B4" w:rsidRPr="00406276">
        <w:rPr>
          <w:rFonts w:ascii="GHEA Grapalat" w:hAnsi="GHEA Grapalat"/>
          <w:sz w:val="24"/>
          <w:szCs w:val="24"/>
        </w:rPr>
        <w:t>ի ընդուն</w:t>
      </w:r>
      <w:r w:rsidR="007677E2">
        <w:rPr>
          <w:rFonts w:ascii="GHEA Grapalat" w:hAnsi="GHEA Grapalat"/>
          <w:sz w:val="24"/>
          <w:szCs w:val="24"/>
        </w:rPr>
        <w:t>ու</w:t>
      </w:r>
      <w:r w:rsidR="00D675B4" w:rsidRPr="00406276">
        <w:rPr>
          <w:rFonts w:ascii="GHEA Grapalat" w:hAnsi="GHEA Grapalat"/>
          <w:sz w:val="24"/>
          <w:szCs w:val="24"/>
        </w:rPr>
        <w:t>մ</w:t>
      </w:r>
      <w:r w:rsidR="007677E2">
        <w:rPr>
          <w:rFonts w:ascii="GHEA Grapalat" w:hAnsi="GHEA Grapalat"/>
          <w:sz w:val="24"/>
          <w:szCs w:val="24"/>
        </w:rPr>
        <w:t xml:space="preserve">ը կնպաստի </w:t>
      </w:r>
      <w:r w:rsidR="00874505" w:rsidRPr="00874505">
        <w:rPr>
          <w:rFonts w:ascii="GHEA Grapalat" w:hAnsi="GHEA Grapalat"/>
          <w:sz w:val="24"/>
          <w:szCs w:val="24"/>
        </w:rPr>
        <w:t>ՀՀ ընդհանուր օգտագործման միջպետական նշանակության ավտոմոբիլային ճանապարհներ</w:t>
      </w:r>
      <w:r w:rsidR="00874505">
        <w:rPr>
          <w:rFonts w:ascii="GHEA Grapalat" w:hAnsi="GHEA Grapalat"/>
          <w:sz w:val="24"/>
          <w:szCs w:val="24"/>
        </w:rPr>
        <w:t>ում</w:t>
      </w:r>
      <w:r w:rsidR="00874505" w:rsidRPr="00874505">
        <w:rPr>
          <w:rFonts w:ascii="GHEA Grapalat" w:hAnsi="GHEA Grapalat"/>
          <w:sz w:val="24"/>
          <w:szCs w:val="24"/>
        </w:rPr>
        <w:t xml:space="preserve"> (մայրուղիներ) </w:t>
      </w:r>
      <w:r w:rsidR="004140DB" w:rsidRPr="004140DB">
        <w:rPr>
          <w:rFonts w:ascii="GHEA Grapalat" w:hAnsi="GHEA Grapalat"/>
          <w:sz w:val="24"/>
          <w:szCs w:val="24"/>
        </w:rPr>
        <w:t>հանրային շարժական կապի լայնաշերտ (LTE) տեխնոլոգիայի ծածկույթի</w:t>
      </w:r>
      <w:r w:rsidR="004140DB">
        <w:rPr>
          <w:rFonts w:ascii="GHEA Grapalat" w:hAnsi="GHEA Grapalat"/>
          <w:sz w:val="24"/>
          <w:szCs w:val="24"/>
        </w:rPr>
        <w:t xml:space="preserve"> </w:t>
      </w:r>
      <w:r w:rsidR="00874505">
        <w:rPr>
          <w:rFonts w:ascii="GHEA Grapalat" w:hAnsi="GHEA Grapalat"/>
          <w:sz w:val="24"/>
          <w:szCs w:val="24"/>
        </w:rPr>
        <w:t>հասանելիության ապահովման ա</w:t>
      </w:r>
      <w:r w:rsidR="004140DB">
        <w:rPr>
          <w:rFonts w:ascii="GHEA Grapalat" w:hAnsi="GHEA Grapalat"/>
          <w:sz w:val="24"/>
          <w:szCs w:val="24"/>
        </w:rPr>
        <w:t xml:space="preserve">ռումով պետական կարգավորման </w:t>
      </w:r>
      <w:r w:rsidR="004140DB" w:rsidRPr="00874505">
        <w:rPr>
          <w:rFonts w:ascii="GHEA Grapalat" w:hAnsi="GHEA Grapalat"/>
          <w:sz w:val="24"/>
          <w:szCs w:val="24"/>
        </w:rPr>
        <w:t>(</w:t>
      </w:r>
      <w:r w:rsidR="004140DB">
        <w:rPr>
          <w:rFonts w:ascii="GHEA Grapalat" w:hAnsi="GHEA Grapalat"/>
          <w:sz w:val="24"/>
          <w:szCs w:val="24"/>
        </w:rPr>
        <w:t>հսկողության, հանրապետությունում հանրային շարժական կապի ծածկույթի հասանելիության գնահատման</w:t>
      </w:r>
      <w:r w:rsidR="004140DB">
        <w:rPr>
          <w:rFonts w:ascii="GHEA Grapalat" w:hAnsi="GHEA Grapalat"/>
          <w:sz w:val="24"/>
          <w:szCs w:val="24"/>
          <w:lang w:val="en-US"/>
        </w:rPr>
        <w:t>)</w:t>
      </w:r>
      <w:r w:rsidR="004140DB">
        <w:rPr>
          <w:rFonts w:ascii="GHEA Grapalat" w:hAnsi="GHEA Grapalat"/>
          <w:sz w:val="24"/>
          <w:szCs w:val="24"/>
        </w:rPr>
        <w:t xml:space="preserve"> արդյունավետության բարձրացմանը</w:t>
      </w:r>
      <w:r w:rsidR="00590F08" w:rsidRPr="00590F08">
        <w:rPr>
          <w:rFonts w:ascii="GHEA Grapalat" w:hAnsi="GHEA Grapalat"/>
          <w:sz w:val="24"/>
          <w:szCs w:val="24"/>
        </w:rPr>
        <w:t>։</w:t>
      </w:r>
      <w:r w:rsidR="00590F08" w:rsidRPr="004140DB">
        <w:rPr>
          <w:rFonts w:ascii="GHEA Grapalat" w:hAnsi="GHEA Grapalat"/>
          <w:sz w:val="24"/>
          <w:szCs w:val="24"/>
        </w:rPr>
        <w:t xml:space="preserve">   </w:t>
      </w:r>
    </w:p>
    <w:sectPr w:rsidR="00D62528" w:rsidRPr="004140DB" w:rsidSect="00590F08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7458C7EC"/>
    <w:lvl w:ilvl="0" w:tplc="23062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C6EED"/>
    <w:multiLevelType w:val="hybridMultilevel"/>
    <w:tmpl w:val="B5481D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02A7BE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F705F4"/>
    <w:multiLevelType w:val="hybridMultilevel"/>
    <w:tmpl w:val="D96E1184"/>
    <w:lvl w:ilvl="0" w:tplc="AB06B82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Sylfae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3B6"/>
    <w:rsid w:val="00090FEE"/>
    <w:rsid w:val="000A5367"/>
    <w:rsid w:val="000C0256"/>
    <w:rsid w:val="000C2CFD"/>
    <w:rsid w:val="000E446F"/>
    <w:rsid w:val="000E7F4E"/>
    <w:rsid w:val="00125FBC"/>
    <w:rsid w:val="001B6379"/>
    <w:rsid w:val="001E472E"/>
    <w:rsid w:val="00205EAB"/>
    <w:rsid w:val="002123B6"/>
    <w:rsid w:val="002139B3"/>
    <w:rsid w:val="0023632D"/>
    <w:rsid w:val="002568C2"/>
    <w:rsid w:val="00296272"/>
    <w:rsid w:val="00332CBC"/>
    <w:rsid w:val="003378FE"/>
    <w:rsid w:val="00356898"/>
    <w:rsid w:val="003574B5"/>
    <w:rsid w:val="003D5C64"/>
    <w:rsid w:val="003D7A55"/>
    <w:rsid w:val="003E4790"/>
    <w:rsid w:val="004014F1"/>
    <w:rsid w:val="00406276"/>
    <w:rsid w:val="004140DB"/>
    <w:rsid w:val="00426B6C"/>
    <w:rsid w:val="004612D3"/>
    <w:rsid w:val="00463D80"/>
    <w:rsid w:val="004B4968"/>
    <w:rsid w:val="004F3182"/>
    <w:rsid w:val="005104D4"/>
    <w:rsid w:val="0059001C"/>
    <w:rsid w:val="00590F08"/>
    <w:rsid w:val="005A4D44"/>
    <w:rsid w:val="005D4816"/>
    <w:rsid w:val="005F4189"/>
    <w:rsid w:val="006961E7"/>
    <w:rsid w:val="006D3326"/>
    <w:rsid w:val="006F4DCC"/>
    <w:rsid w:val="00717198"/>
    <w:rsid w:val="00731F3C"/>
    <w:rsid w:val="007677E2"/>
    <w:rsid w:val="007B7D35"/>
    <w:rsid w:val="00821364"/>
    <w:rsid w:val="0083141B"/>
    <w:rsid w:val="00836D74"/>
    <w:rsid w:val="00874505"/>
    <w:rsid w:val="008918DC"/>
    <w:rsid w:val="008F01C7"/>
    <w:rsid w:val="008F4CAF"/>
    <w:rsid w:val="009378BE"/>
    <w:rsid w:val="009879D7"/>
    <w:rsid w:val="009A2C75"/>
    <w:rsid w:val="009B0E13"/>
    <w:rsid w:val="009E1EB1"/>
    <w:rsid w:val="00A268ED"/>
    <w:rsid w:val="00A42D21"/>
    <w:rsid w:val="00A758D8"/>
    <w:rsid w:val="00AA7E50"/>
    <w:rsid w:val="00B266AE"/>
    <w:rsid w:val="00B34C5C"/>
    <w:rsid w:val="00B40F59"/>
    <w:rsid w:val="00B875DD"/>
    <w:rsid w:val="00BE094B"/>
    <w:rsid w:val="00C75761"/>
    <w:rsid w:val="00D202CE"/>
    <w:rsid w:val="00D23015"/>
    <w:rsid w:val="00D62528"/>
    <w:rsid w:val="00D675B4"/>
    <w:rsid w:val="00D91A0F"/>
    <w:rsid w:val="00DD07B7"/>
    <w:rsid w:val="00E24322"/>
    <w:rsid w:val="00E53701"/>
    <w:rsid w:val="00E5637F"/>
    <w:rsid w:val="00E70989"/>
    <w:rsid w:val="00E72D1E"/>
    <w:rsid w:val="00E7647F"/>
    <w:rsid w:val="00ED3BBC"/>
    <w:rsid w:val="00EE50C1"/>
    <w:rsid w:val="00F42353"/>
    <w:rsid w:val="00F604B6"/>
    <w:rsid w:val="00F64883"/>
    <w:rsid w:val="00FB5C87"/>
    <w:rsid w:val="00FC7538"/>
    <w:rsid w:val="00FE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E9D1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paragraph" w:customStyle="1" w:styleId="namak">
    <w:name w:val="namak"/>
    <w:basedOn w:val="Normal"/>
    <w:link w:val="namak0"/>
    <w:rsid w:val="00B40F59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character" w:customStyle="1" w:styleId="namak0">
    <w:name w:val="namak Знак"/>
    <w:basedOn w:val="DefaultParagraphFont"/>
    <w:link w:val="namak"/>
    <w:rsid w:val="00B40F59"/>
    <w:rPr>
      <w:rFonts w:ascii="GHEA Grapalat" w:eastAsia="Times New Roman" w:hAnsi="GHEA Grapalat" w:cs="Times New Roman"/>
      <w:spacing w:val="-4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rsid w:val="006D33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6D3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namakipatasxane">
    <w:name w:val="nr namaki patasxane"/>
    <w:rsid w:val="00FE04FD"/>
    <w:pPr>
      <w:spacing w:after="0" w:line="240" w:lineRule="exact"/>
      <w:ind w:left="397"/>
    </w:pPr>
    <w:rPr>
      <w:rFonts w:ascii="GHEA Grapalat" w:eastAsia="Times New Roman" w:hAnsi="GHEA Grapalat" w:cs="Times New Roman"/>
      <w:spacing w:val="-4"/>
      <w:sz w:val="20"/>
      <w:szCs w:val="20"/>
      <w:lang w:val="en-US" w:eastAsia="ru-RU"/>
    </w:rPr>
  </w:style>
  <w:style w:type="paragraph" w:customStyle="1" w:styleId="namak1">
    <w:name w:val="Стиль namak"/>
    <w:basedOn w:val="Normal"/>
    <w:link w:val="namak2"/>
    <w:rsid w:val="00FE04FD"/>
    <w:pPr>
      <w:spacing w:after="0" w:line="400" w:lineRule="exact"/>
      <w:ind w:firstLine="397"/>
      <w:jc w:val="both"/>
    </w:pPr>
    <w:rPr>
      <w:rFonts w:ascii="Sylfaen" w:eastAsia="Times New Roman" w:hAnsi="Sylfaen" w:cs="Times New Roman"/>
      <w:spacing w:val="-4"/>
      <w:sz w:val="24"/>
      <w:szCs w:val="24"/>
      <w:lang w:val="en-US" w:eastAsia="ru-RU"/>
    </w:rPr>
  </w:style>
  <w:style w:type="character" w:customStyle="1" w:styleId="namak2">
    <w:name w:val="Стиль namak Знак"/>
    <w:link w:val="namak1"/>
    <w:rsid w:val="00FE04FD"/>
    <w:rPr>
      <w:rFonts w:ascii="Sylfaen" w:eastAsia="Times New Roman" w:hAnsi="Sylfaen" w:cs="Times New Roman"/>
      <w:spacing w:val="-4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62</cp:revision>
  <cp:lastPrinted>2021-08-05T10:08:00Z</cp:lastPrinted>
  <dcterms:created xsi:type="dcterms:W3CDTF">2017-11-07T05:41:00Z</dcterms:created>
  <dcterms:modified xsi:type="dcterms:W3CDTF">2024-02-26T10:52:00Z</dcterms:modified>
</cp:coreProperties>
</file>