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6EE1" w:rsidRPr="00886EE1" w:rsidRDefault="00886EE1" w:rsidP="00CD165E">
      <w:pPr>
        <w:spacing w:line="240" w:lineRule="auto"/>
        <w:jc w:val="center"/>
        <w:rPr>
          <w:rFonts w:ascii="GHEA Grapalat" w:hAnsi="GHEA Grapalat"/>
          <w:b/>
          <w:bCs/>
          <w:sz w:val="24"/>
          <w:szCs w:val="24"/>
          <w:lang w:val="hy-AM"/>
        </w:rPr>
      </w:pPr>
      <w:r w:rsidRPr="00886EE1">
        <w:rPr>
          <w:rFonts w:ascii="GHEA Grapalat" w:hAnsi="GHEA Grapalat"/>
          <w:b/>
          <w:bCs/>
          <w:sz w:val="24"/>
          <w:szCs w:val="24"/>
          <w:lang w:val="hy-AM"/>
        </w:rPr>
        <w:t>ՀԻՄՆԱՎՈՐՈՒՄ</w:t>
      </w:r>
    </w:p>
    <w:p w:rsidR="00886EE1" w:rsidRPr="00886EE1" w:rsidRDefault="00886EE1" w:rsidP="00CD165E">
      <w:pPr>
        <w:shd w:val="clear" w:color="auto" w:fill="FFFFFF"/>
        <w:spacing w:after="0" w:line="240" w:lineRule="auto"/>
        <w:jc w:val="center"/>
        <w:rPr>
          <w:rFonts w:ascii="GHEA Grapalat" w:eastAsia="Times New Roman" w:hAnsi="GHEA Grapalat" w:cs="Times New Roman"/>
          <w:b/>
          <w:bCs/>
          <w:color w:val="000000"/>
          <w:sz w:val="24"/>
          <w:szCs w:val="24"/>
          <w:lang w:val="hy-AM"/>
        </w:rPr>
      </w:pPr>
      <w:r w:rsidRPr="00886EE1">
        <w:rPr>
          <w:rFonts w:ascii="GHEA Grapalat" w:eastAsia="Times New Roman" w:hAnsi="GHEA Grapalat" w:cs="Times New Roman"/>
          <w:b/>
          <w:bCs/>
          <w:color w:val="000000"/>
          <w:sz w:val="24"/>
          <w:szCs w:val="24"/>
          <w:lang w:val="hy-AM"/>
        </w:rPr>
        <w:t xml:space="preserve">«ՀԱՅԱՍՏԱՆԻ ՀԱՆՐԱՊԵՏՈՒԹՅԱՆ ԿԱՌԱՎԱՐՈՒԹՅԱՆ 2010 ԹՎԱԿԱՆԻ </w:t>
      </w:r>
      <w:r w:rsidR="00064807">
        <w:rPr>
          <w:rFonts w:ascii="GHEA Grapalat" w:eastAsia="Times New Roman" w:hAnsi="GHEA Grapalat" w:cs="Times New Roman"/>
          <w:b/>
          <w:bCs/>
          <w:color w:val="000000"/>
          <w:sz w:val="24"/>
          <w:szCs w:val="24"/>
          <w:lang w:val="hy-AM"/>
        </w:rPr>
        <w:t>ԴԵԿՏԵՄԲԵՐԻ 2-Ի N 1698-Ն ՈՐՈՇ</w:t>
      </w:r>
      <w:r w:rsidRPr="00886EE1">
        <w:rPr>
          <w:rFonts w:ascii="GHEA Grapalat" w:eastAsia="Times New Roman" w:hAnsi="GHEA Grapalat" w:cs="Times New Roman"/>
          <w:b/>
          <w:bCs/>
          <w:color w:val="000000"/>
          <w:sz w:val="24"/>
          <w:szCs w:val="24"/>
          <w:lang w:val="hy-AM"/>
        </w:rPr>
        <w:t>ՄԱՆ ՄԵՋ ՓՈՓ</w:t>
      </w:r>
      <w:r w:rsidR="004C1460">
        <w:rPr>
          <w:rFonts w:ascii="GHEA Grapalat" w:eastAsia="Times New Roman" w:hAnsi="GHEA Grapalat" w:cs="Times New Roman"/>
          <w:b/>
          <w:bCs/>
          <w:color w:val="000000"/>
          <w:sz w:val="24"/>
          <w:szCs w:val="24"/>
          <w:lang w:val="hy-AM"/>
        </w:rPr>
        <w:t>Ո</w:t>
      </w:r>
      <w:r w:rsidRPr="00886EE1">
        <w:rPr>
          <w:rFonts w:ascii="GHEA Grapalat" w:eastAsia="Times New Roman" w:hAnsi="GHEA Grapalat" w:cs="Times New Roman"/>
          <w:b/>
          <w:bCs/>
          <w:color w:val="000000"/>
          <w:sz w:val="24"/>
          <w:szCs w:val="24"/>
          <w:lang w:val="hy-AM"/>
        </w:rPr>
        <w:t>ԽՈՒԹՅՈՒՆՆԵՐ ԿԱՏԱՐԵԼՈՒ ՄԱՍԻՆ»</w:t>
      </w:r>
    </w:p>
    <w:p w:rsidR="00886EE1" w:rsidRPr="00886EE1" w:rsidRDefault="00886EE1" w:rsidP="00886EE1">
      <w:pPr>
        <w:spacing w:line="360" w:lineRule="auto"/>
        <w:jc w:val="center"/>
        <w:rPr>
          <w:rFonts w:ascii="GHEA Grapalat" w:hAnsi="GHEA Grapalat"/>
          <w:b/>
          <w:bCs/>
          <w:sz w:val="24"/>
          <w:szCs w:val="24"/>
          <w:lang w:val="hy-AM"/>
        </w:rPr>
      </w:pPr>
      <w:r w:rsidRPr="00886EE1">
        <w:rPr>
          <w:rFonts w:ascii="GHEA Grapalat" w:hAnsi="GHEA Grapalat"/>
          <w:b/>
          <w:bCs/>
          <w:sz w:val="24"/>
          <w:szCs w:val="24"/>
          <w:lang w:val="hy-AM"/>
        </w:rPr>
        <w:t>Հայաստանի Հանրապետության կառավարության որոշման նախագծի</w:t>
      </w:r>
    </w:p>
    <w:p w:rsidR="00886EE1" w:rsidRPr="00886EE1" w:rsidRDefault="00886EE1" w:rsidP="00886EE1">
      <w:pPr>
        <w:spacing w:after="0" w:line="360" w:lineRule="auto"/>
        <w:ind w:firstLine="708"/>
        <w:jc w:val="both"/>
        <w:rPr>
          <w:rFonts w:ascii="GHEA Grapalat" w:hAnsi="GHEA Grapalat"/>
          <w:sz w:val="24"/>
          <w:szCs w:val="24"/>
          <w:lang w:val="hy-AM"/>
        </w:rPr>
      </w:pPr>
      <w:r w:rsidRPr="00886EE1">
        <w:rPr>
          <w:rFonts w:ascii="GHEA Grapalat" w:hAnsi="GHEA Grapalat"/>
          <w:b/>
          <w:bCs/>
          <w:sz w:val="24"/>
          <w:szCs w:val="24"/>
          <w:lang w:val="hy-AM"/>
        </w:rPr>
        <w:t>1</w:t>
      </w:r>
      <w:r w:rsidRPr="00886EE1">
        <w:rPr>
          <w:rFonts w:ascii="Cambria Math" w:hAnsi="Cambria Math" w:cs="Cambria Math"/>
          <w:b/>
          <w:bCs/>
          <w:sz w:val="24"/>
          <w:szCs w:val="24"/>
          <w:lang w:val="hy-AM"/>
        </w:rPr>
        <w:t>․</w:t>
      </w:r>
      <w:r w:rsidRPr="00886EE1">
        <w:rPr>
          <w:rFonts w:ascii="GHEA Grapalat" w:hAnsi="GHEA Grapalat"/>
          <w:b/>
          <w:bCs/>
          <w:sz w:val="24"/>
          <w:szCs w:val="24"/>
          <w:lang w:val="hy-AM"/>
        </w:rPr>
        <w:t xml:space="preserve"> Ընթացիկ իրավիճակը և իրավական ակտի ընդունման անհրաժեշտությունը.</w:t>
      </w:r>
      <w:r w:rsidRPr="00886EE1">
        <w:rPr>
          <w:rFonts w:ascii="GHEA Grapalat" w:hAnsi="GHEA Grapalat"/>
          <w:sz w:val="24"/>
          <w:szCs w:val="24"/>
          <w:lang w:val="hy-AM"/>
        </w:rPr>
        <w:t xml:space="preserve"> </w:t>
      </w:r>
    </w:p>
    <w:p w:rsidR="00886EE1" w:rsidRPr="00886EE1" w:rsidRDefault="00886EE1" w:rsidP="00886EE1">
      <w:pPr>
        <w:spacing w:after="0" w:line="360" w:lineRule="auto"/>
        <w:ind w:firstLine="708"/>
        <w:jc w:val="both"/>
        <w:rPr>
          <w:rFonts w:ascii="GHEA Grapalat" w:hAnsi="GHEA Grapalat"/>
          <w:sz w:val="24"/>
          <w:szCs w:val="24"/>
          <w:lang w:val="hy-AM"/>
        </w:rPr>
      </w:pPr>
      <w:r w:rsidRPr="00886EE1">
        <w:rPr>
          <w:rFonts w:ascii="GHEA Grapalat" w:hAnsi="GHEA Grapalat"/>
          <w:sz w:val="24"/>
          <w:szCs w:val="24"/>
          <w:lang w:val="hy-AM"/>
        </w:rPr>
        <w:t xml:space="preserve">ՀՀ Աշխատանքային օրենսգրքի ուսումնասիրությունը վկայում է, որ առկա են մի շարք հոդվածներ, որոնք անմիջականորեն կարգավորվում են աշխատանքի վնասակար և վտանգավոր պայմաններում աշխատողներին տրամադրվող լրացուցիչ արտոնությունները: Մասնավորապես, 183-րդ հոդվածի 2-րդ մասը նախատեսում է, որ ծանր, վնասակար արտադրությունների, աշխատանքների, մասնագիտությունների և պաշտոնների ցանկով նախատեսված աշխատանքները կատարելու համար աշխատողին վճարվում է հավելում նրա հիմնական աշխատավարձի ոչ պակաս, քան 30 տոկոսի չափով, իսկ առանձնապես ծանր, առանձնապես վնասակար արտադրությունների, աշխատանքների, մասնագիտությունների և պաշտոնների ցանկով նախատեսված աշխատանքները կատարելու համար` ոչ պակաս, քան 50 տոկոսի չափով, ցանկերը սահմանված են ՀՀ կառավարության 2010 թվականի դեկտեմբերի 2-ի թիվ N 1698-Ն որոշմամբ, որն ընդունվել է ավելի քան 10 տարի առաջ և բուն առողջապահության բնագավառի մասով գործնականում չի վերանայվել, չնայած վերջին տասնամյակներում բնագավառում արձանագրված գիտատեխնիկական նվաճումների, որոնք էապես բարելավում են բուժաշխատողների աշխատանքի անվտանգության մակարդակը՝ նվազեցնելով վնասակարության աստիճանը: </w:t>
      </w:r>
    </w:p>
    <w:p w:rsidR="00886EE1" w:rsidRPr="00886EE1" w:rsidRDefault="00886EE1" w:rsidP="00886EE1">
      <w:pPr>
        <w:spacing w:after="0" w:line="360" w:lineRule="auto"/>
        <w:ind w:firstLine="708"/>
        <w:jc w:val="both"/>
        <w:rPr>
          <w:rFonts w:ascii="GHEA Grapalat" w:hAnsi="GHEA Grapalat"/>
          <w:sz w:val="24"/>
          <w:szCs w:val="24"/>
          <w:lang w:val="hy-AM"/>
        </w:rPr>
      </w:pPr>
      <w:r w:rsidRPr="00886EE1">
        <w:rPr>
          <w:rFonts w:ascii="GHEA Grapalat" w:hAnsi="GHEA Grapalat"/>
          <w:bCs/>
          <w:sz w:val="24"/>
          <w:szCs w:val="24"/>
          <w:lang w:val="hy-AM"/>
        </w:rPr>
        <w:t>Միջազգային փորձի ուսումնասիրությունը վկայում է, որ</w:t>
      </w:r>
      <w:r w:rsidRPr="00886EE1">
        <w:rPr>
          <w:rFonts w:ascii="GHEA Grapalat" w:hAnsi="GHEA Grapalat"/>
          <w:sz w:val="24"/>
          <w:szCs w:val="24"/>
          <w:lang w:val="hy-AM"/>
        </w:rPr>
        <w:t xml:space="preserve"> վտանգի վճարը (hazard pay) նշանակում է լրացուցիչ վճար՝ վտանգավոր պարտականությունների կամ ֆիզիկական դժվարություններ պարունակող աշխատանք կատարելու համար: Աշխատանքային պարտականությունը, որն առաջացնում է ծայրահեղ ֆիզիկական անհանգստություն և հյուծում, որը պատշաճ կերպով չի մեղմվում պաշտպանիչ սարքերով, համարվում է ֆիզիկական դժվարություն:</w:t>
      </w:r>
    </w:p>
    <w:p w:rsidR="00886EE1" w:rsidRPr="00886EE1" w:rsidRDefault="00886EE1" w:rsidP="00886EE1">
      <w:pPr>
        <w:spacing w:after="0" w:line="360" w:lineRule="auto"/>
        <w:ind w:firstLine="708"/>
        <w:jc w:val="both"/>
        <w:rPr>
          <w:rFonts w:ascii="GHEA Grapalat" w:hAnsi="GHEA Grapalat"/>
          <w:sz w:val="24"/>
          <w:szCs w:val="24"/>
          <w:lang w:val="hy-AM"/>
        </w:rPr>
      </w:pPr>
      <w:r w:rsidRPr="00886EE1">
        <w:rPr>
          <w:rFonts w:ascii="GHEA Grapalat" w:hAnsi="GHEA Grapalat"/>
          <w:sz w:val="24"/>
          <w:szCs w:val="24"/>
          <w:lang w:val="hy-AM"/>
        </w:rPr>
        <w:lastRenderedPageBreak/>
        <w:t xml:space="preserve">ԵՄ երկրներում ընդհանուր սկզբունքը կայանում է նրանում, որ </w:t>
      </w:r>
      <w:r w:rsidR="00064807">
        <w:rPr>
          <w:rFonts w:ascii="GHEA Grapalat" w:hAnsi="GHEA Grapalat"/>
          <w:sz w:val="24"/>
          <w:szCs w:val="24"/>
          <w:lang w:val="hy-AM"/>
        </w:rPr>
        <w:t xml:space="preserve">անհրաժեշտ է </w:t>
      </w:r>
      <w:r w:rsidRPr="00886EE1">
        <w:rPr>
          <w:rFonts w:ascii="GHEA Grapalat" w:hAnsi="GHEA Grapalat"/>
          <w:sz w:val="24"/>
          <w:szCs w:val="24"/>
          <w:lang w:val="hy-AM"/>
        </w:rPr>
        <w:t>խթանել աշխատավայրի անվտանգությունը, այլ ոչ թե վճարել մարդկանց վտանգավոր կամ վնասակար աշխատանք կատարելու համար</w:t>
      </w:r>
      <w:r w:rsidRPr="00886EE1">
        <w:rPr>
          <w:rFonts w:ascii="GHEA Grapalat" w:hAnsi="GHEA Grapalat"/>
          <w:sz w:val="24"/>
          <w:szCs w:val="24"/>
          <w:vertAlign w:val="superscript"/>
          <w:lang w:val="hy-AM"/>
        </w:rPr>
        <w:footnoteReference w:id="1"/>
      </w:r>
      <w:r w:rsidRPr="00886EE1">
        <w:rPr>
          <w:rFonts w:ascii="GHEA Grapalat" w:hAnsi="GHEA Grapalat"/>
          <w:sz w:val="24"/>
          <w:szCs w:val="24"/>
          <w:lang w:val="hy-AM"/>
        </w:rPr>
        <w:t>: Միևնույն ժամանակ, որոշ Արևելյան Եվրոպայի երկրներում շարունակում են գործել կարգավորումներ</w:t>
      </w:r>
      <w:r w:rsidR="00064807">
        <w:rPr>
          <w:rFonts w:ascii="GHEA Grapalat" w:hAnsi="GHEA Grapalat"/>
          <w:sz w:val="24"/>
          <w:szCs w:val="24"/>
          <w:lang w:val="hy-AM"/>
        </w:rPr>
        <w:t>`</w:t>
      </w:r>
      <w:r w:rsidRPr="00886EE1">
        <w:rPr>
          <w:rFonts w:ascii="GHEA Grapalat" w:hAnsi="GHEA Grapalat"/>
          <w:sz w:val="24"/>
          <w:szCs w:val="24"/>
          <w:lang w:val="hy-AM"/>
        </w:rPr>
        <w:t xml:space="preserve"> համաձայն որոնց աշխատակիցներին տրամադրվում է հավելյալ վճար վտանգավոր աշխատանք կատարելու համար: Օրինակ՝ Չեխիայի Հանրապետությունում առավելագույն հավելումը միջին ժամային աշխատավարձի համեմատ կազմում է շուրջ 13%</w:t>
      </w:r>
      <w:r w:rsidRPr="00886EE1">
        <w:rPr>
          <w:rFonts w:ascii="GHEA Grapalat" w:hAnsi="GHEA Grapalat"/>
          <w:sz w:val="24"/>
          <w:szCs w:val="24"/>
          <w:vertAlign w:val="superscript"/>
          <w:lang w:val="hy-AM"/>
        </w:rPr>
        <w:footnoteReference w:id="2"/>
      </w:r>
      <w:r w:rsidRPr="00886EE1">
        <w:rPr>
          <w:rFonts w:ascii="GHEA Grapalat" w:hAnsi="GHEA Grapalat"/>
          <w:sz w:val="24"/>
          <w:szCs w:val="24"/>
          <w:lang w:val="hy-AM"/>
        </w:rPr>
        <w:t>:</w:t>
      </w:r>
    </w:p>
    <w:p w:rsidR="00886EE1" w:rsidRPr="00886EE1" w:rsidRDefault="00886EE1" w:rsidP="00886EE1">
      <w:pPr>
        <w:spacing w:after="0" w:line="360" w:lineRule="auto"/>
        <w:ind w:firstLine="708"/>
        <w:jc w:val="both"/>
        <w:rPr>
          <w:rFonts w:ascii="GHEA Grapalat" w:hAnsi="GHEA Grapalat"/>
          <w:sz w:val="24"/>
          <w:szCs w:val="24"/>
          <w:lang w:val="hy-AM"/>
        </w:rPr>
      </w:pPr>
      <w:r w:rsidRPr="00886EE1">
        <w:rPr>
          <w:rFonts w:ascii="GHEA Grapalat" w:hAnsi="GHEA Grapalat"/>
          <w:sz w:val="24"/>
          <w:szCs w:val="24"/>
          <w:lang w:val="hy-AM"/>
        </w:rPr>
        <w:t>ԱՄՆ օրենսդրությունը՝ Արդար աշխատանքի ստանդարտների մասին օրենքը (Fair Labor Standards Act (FLSA)</w:t>
      </w:r>
      <w:r w:rsidR="00E26822" w:rsidRPr="00E26822">
        <w:rPr>
          <w:rFonts w:ascii="GHEA Grapalat" w:hAnsi="GHEA Grapalat"/>
          <w:sz w:val="24"/>
          <w:szCs w:val="24"/>
          <w:lang w:val="hy-AM"/>
        </w:rPr>
        <w:t>)</w:t>
      </w:r>
      <w:r w:rsidRPr="00886EE1">
        <w:rPr>
          <w:rFonts w:ascii="GHEA Grapalat" w:hAnsi="GHEA Grapalat"/>
          <w:sz w:val="24"/>
          <w:szCs w:val="24"/>
          <w:lang w:val="hy-AM"/>
        </w:rPr>
        <w:t xml:space="preserve"> չի անդրադառնում վտանգի վճարի թեմային, բացառությամբ այն պահանջի, որ այն ներառվի որպես դաշնային աշխատողի կանոնավոր վարձատրության մաս՝ աշխատողի արտաժամյա աշխատավարձը հաշվարկելիս</w:t>
      </w:r>
      <w:r w:rsidRPr="00886EE1">
        <w:rPr>
          <w:rFonts w:ascii="GHEA Grapalat" w:hAnsi="GHEA Grapalat"/>
          <w:sz w:val="24"/>
          <w:szCs w:val="24"/>
          <w:vertAlign w:val="superscript"/>
          <w:lang w:val="hy-AM"/>
        </w:rPr>
        <w:footnoteReference w:id="3"/>
      </w:r>
      <w:r w:rsidRPr="00886EE1">
        <w:rPr>
          <w:rFonts w:ascii="GHEA Grapalat" w:hAnsi="GHEA Grapalat"/>
          <w:sz w:val="24"/>
          <w:szCs w:val="24"/>
          <w:lang w:val="hy-AM"/>
        </w:rPr>
        <w:t>: Սահմանված է, որ անկախ օրվա ընթացքում հանդիպող վտանգների քանակից, ցանկացած օրվա համար վտանգի ընդհանուր դիֆերենցիալ վճարումը չի կարող գերազանցել տվյալ օրվա աշխատողի հիմնական աշխատավարձի դրույքաչափի 25 տոկոսը</w:t>
      </w:r>
      <w:r w:rsidRPr="00886EE1">
        <w:rPr>
          <w:rFonts w:ascii="GHEA Grapalat" w:hAnsi="GHEA Grapalat"/>
          <w:sz w:val="24"/>
          <w:szCs w:val="24"/>
          <w:vertAlign w:val="superscript"/>
          <w:lang w:val="hy-AM"/>
        </w:rPr>
        <w:footnoteReference w:id="4"/>
      </w:r>
      <w:r w:rsidRPr="00886EE1">
        <w:rPr>
          <w:rFonts w:ascii="GHEA Grapalat" w:hAnsi="GHEA Grapalat"/>
          <w:sz w:val="24"/>
          <w:szCs w:val="24"/>
          <w:lang w:val="hy-AM"/>
        </w:rPr>
        <w:t>:</w:t>
      </w:r>
    </w:p>
    <w:p w:rsidR="00886EE1" w:rsidRPr="00886EE1" w:rsidRDefault="00886EE1" w:rsidP="00886EE1">
      <w:pPr>
        <w:spacing w:after="0" w:line="360" w:lineRule="auto"/>
        <w:ind w:firstLine="708"/>
        <w:jc w:val="both"/>
        <w:rPr>
          <w:rFonts w:ascii="GHEA Grapalat" w:hAnsi="GHEA Grapalat"/>
          <w:sz w:val="24"/>
          <w:szCs w:val="24"/>
          <w:lang w:val="hy-AM"/>
        </w:rPr>
      </w:pPr>
      <w:r w:rsidRPr="00886EE1">
        <w:rPr>
          <w:rFonts w:ascii="GHEA Grapalat" w:hAnsi="GHEA Grapalat"/>
          <w:sz w:val="24"/>
          <w:szCs w:val="24"/>
          <w:lang w:val="hy-AM"/>
        </w:rPr>
        <w:t xml:space="preserve">Որոշ ԵՄ երկրներում գործում է թոշակի անցնելու հատուկ ռեժիմ, այն անձանց համար, որոնք աշխատում են ծանր կամ վտանգավոր պայմաններում: Այնուամենայնիվ, ԵՄ երկրներում չկա միասնական մոտեցում ծանր կամ վտանգավոր պայմաններում աշխատանքի ճանաչման հարցում: Մասնավորապես, առաջին մոտեցումը ներառում է (շուրջ 22 երկրներում) ծանր կամ վտանգավոր պայմաններում կատարվող աշխատանքի իրավական ճանաչումը ազգային օրենսդրությամբ և շատ դեպքերում, հատուկ քաղաքականության (առավել հաճախ՝ կենսաթոշակների) աշխատակիցների կարիերայի ավարտի համար: Երկրորդ մոտեցման համաձայն ծանր կամ վտանգավոր պայմաններում կատարվող աշխատանքը չի ճանաչվում </w:t>
      </w:r>
      <w:r w:rsidRPr="00886EE1">
        <w:rPr>
          <w:rFonts w:ascii="GHEA Grapalat" w:hAnsi="GHEA Grapalat"/>
          <w:sz w:val="24"/>
          <w:szCs w:val="24"/>
          <w:lang w:val="hy-AM"/>
        </w:rPr>
        <w:lastRenderedPageBreak/>
        <w:t>օրենսդրությամբ և համապատասխանաբար առկա չեն քաղաքականության հատուկ միջոցներ (7 երկրներում)</w:t>
      </w:r>
      <w:r w:rsidRPr="00886EE1">
        <w:rPr>
          <w:rFonts w:ascii="GHEA Grapalat" w:hAnsi="GHEA Grapalat"/>
          <w:sz w:val="24"/>
          <w:szCs w:val="24"/>
          <w:vertAlign w:val="superscript"/>
          <w:lang w:val="hy-AM"/>
        </w:rPr>
        <w:footnoteReference w:id="5"/>
      </w:r>
      <w:r w:rsidRPr="00886EE1">
        <w:rPr>
          <w:rFonts w:ascii="GHEA Grapalat" w:hAnsi="GHEA Grapalat"/>
          <w:sz w:val="24"/>
          <w:szCs w:val="24"/>
          <w:lang w:val="hy-AM"/>
        </w:rPr>
        <w:t>:</w:t>
      </w:r>
    </w:p>
    <w:p w:rsidR="00886EE1" w:rsidRPr="00886EE1" w:rsidRDefault="00886EE1" w:rsidP="00886EE1">
      <w:pPr>
        <w:spacing w:after="0" w:line="360" w:lineRule="auto"/>
        <w:ind w:firstLine="708"/>
        <w:jc w:val="both"/>
        <w:rPr>
          <w:rFonts w:ascii="GHEA Grapalat" w:hAnsi="GHEA Grapalat"/>
          <w:sz w:val="24"/>
          <w:szCs w:val="24"/>
          <w:lang w:val="hy-AM"/>
        </w:rPr>
      </w:pPr>
      <w:r w:rsidRPr="00886EE1">
        <w:rPr>
          <w:rFonts w:ascii="GHEA Grapalat" w:hAnsi="GHEA Grapalat"/>
          <w:sz w:val="24"/>
          <w:szCs w:val="24"/>
          <w:lang w:val="hy-AM"/>
        </w:rPr>
        <w:t>Հարկ է նշել, որ Աշխատանքի Միջազգային Կազմակերպությունը նույնպես հիմնական շեշտադրումն ուղղում է աշխատավայրում անվտանգության և աշխատակիցների առողջության պահպանման, այլ ոչ թե վտանգավոր կամ վնասակար աշխատանք կատարելու դիմաց վճարների խրախուսման վրա</w:t>
      </w:r>
      <w:r w:rsidRPr="00886EE1">
        <w:rPr>
          <w:rFonts w:ascii="GHEA Grapalat" w:hAnsi="GHEA Grapalat"/>
          <w:sz w:val="24"/>
          <w:szCs w:val="24"/>
          <w:vertAlign w:val="superscript"/>
          <w:lang w:val="hy-AM"/>
        </w:rPr>
        <w:footnoteReference w:id="6"/>
      </w:r>
      <w:r w:rsidRPr="00886EE1">
        <w:rPr>
          <w:rFonts w:ascii="GHEA Grapalat" w:hAnsi="GHEA Grapalat"/>
          <w:sz w:val="24"/>
          <w:szCs w:val="24"/>
          <w:lang w:val="hy-AM"/>
        </w:rPr>
        <w:t>:</w:t>
      </w:r>
    </w:p>
    <w:p w:rsidR="00886EE1" w:rsidRPr="00886EE1" w:rsidRDefault="00886EE1" w:rsidP="00886EE1">
      <w:pPr>
        <w:spacing w:after="0" w:line="360" w:lineRule="auto"/>
        <w:ind w:firstLine="708"/>
        <w:jc w:val="both"/>
        <w:rPr>
          <w:rFonts w:ascii="GHEA Grapalat" w:hAnsi="GHEA Grapalat"/>
          <w:sz w:val="24"/>
          <w:szCs w:val="24"/>
          <w:lang w:val="hy-AM"/>
        </w:rPr>
      </w:pPr>
      <w:r w:rsidRPr="00886EE1">
        <w:rPr>
          <w:rFonts w:ascii="GHEA Grapalat" w:hAnsi="GHEA Grapalat"/>
          <w:sz w:val="24"/>
          <w:szCs w:val="24"/>
          <w:lang w:val="hy-AM"/>
        </w:rPr>
        <w:t>Հայաստանում իրավակարգավորումների փաստացի կիրառելիության, արդիական լինելու և գործատուների ու աշխատողների կողմից ընկալում</w:t>
      </w:r>
      <w:r w:rsidR="00064807">
        <w:rPr>
          <w:rFonts w:ascii="GHEA Grapalat" w:hAnsi="GHEA Grapalat"/>
          <w:sz w:val="24"/>
          <w:szCs w:val="24"/>
          <w:lang w:val="hy-AM"/>
        </w:rPr>
        <w:t>ը</w:t>
      </w:r>
      <w:r w:rsidRPr="00886EE1">
        <w:rPr>
          <w:rFonts w:ascii="GHEA Grapalat" w:hAnsi="GHEA Grapalat"/>
          <w:sz w:val="24"/>
          <w:szCs w:val="24"/>
          <w:lang w:val="hy-AM"/>
        </w:rPr>
        <w:t xml:space="preserve"> պարզելու նպատակով, իրականացվել է ուսումնասիրություն առողջապահության բնագավառում գործունեություն իրականացնող մի շարք կազմակերպություններում, որի արդյունքները վկայում են, որ ծանր, վնասակար արտադրությունների, աշխատանքների, մասնագիտությունների և պաշտոնների ցանկով նախատեսված աշխատանքները կատարելու համար աշխատողին վճարվող հավելումը դիտարկվում են որպես տվյալ աշխատակցին լրացուցիչ եկամուտով ապահովելու և մոտիվացնելու միջոց, այլ ոչ թե փախհատուցում առանձնահատուկ պայմաններում աշխատելու համար և հետևաբար առկա </w:t>
      </w:r>
      <w:r w:rsidR="00064807">
        <w:rPr>
          <w:rFonts w:ascii="GHEA Grapalat" w:hAnsi="GHEA Grapalat"/>
          <w:sz w:val="24"/>
          <w:szCs w:val="24"/>
          <w:lang w:val="hy-AM"/>
        </w:rPr>
        <w:t>կարգավորումները</w:t>
      </w:r>
      <w:r w:rsidRPr="00886EE1">
        <w:rPr>
          <w:rFonts w:ascii="GHEA Grapalat" w:hAnsi="GHEA Grapalat"/>
          <w:sz w:val="24"/>
          <w:szCs w:val="24"/>
          <w:lang w:val="hy-AM"/>
        </w:rPr>
        <w:t xml:space="preserve"> կարող են վերանայվել, եթե բուժաշխատողների եկամուտների կրճատում տեղի չունենա:</w:t>
      </w:r>
    </w:p>
    <w:p w:rsidR="00886EE1" w:rsidRPr="00886EE1" w:rsidRDefault="00886EE1" w:rsidP="00886EE1">
      <w:pPr>
        <w:spacing w:after="0" w:line="360" w:lineRule="auto"/>
        <w:ind w:firstLine="708"/>
        <w:jc w:val="both"/>
        <w:rPr>
          <w:rFonts w:ascii="GHEA Grapalat" w:hAnsi="GHEA Grapalat"/>
          <w:sz w:val="24"/>
          <w:szCs w:val="24"/>
          <w:lang w:val="hy-AM"/>
        </w:rPr>
      </w:pPr>
      <w:r w:rsidRPr="00886EE1">
        <w:rPr>
          <w:rFonts w:ascii="GHEA Grapalat" w:hAnsi="GHEA Grapalat"/>
          <w:sz w:val="24"/>
          <w:szCs w:val="24"/>
          <w:lang w:val="hy-AM"/>
        </w:rPr>
        <w:t>Հարկ է նշել, որ ուսումնասիրության</w:t>
      </w:r>
      <w:r w:rsidR="00CD165E">
        <w:rPr>
          <w:rFonts w:ascii="GHEA Grapalat" w:hAnsi="GHEA Grapalat"/>
          <w:sz w:val="24"/>
          <w:szCs w:val="24"/>
          <w:lang w:val="hy-AM"/>
        </w:rPr>
        <w:t xml:space="preserve"> </w:t>
      </w:r>
      <w:r w:rsidRPr="00886EE1">
        <w:rPr>
          <w:rFonts w:ascii="GHEA Grapalat" w:hAnsi="GHEA Grapalat"/>
          <w:sz w:val="24"/>
          <w:szCs w:val="24"/>
          <w:lang w:val="hy-AM"/>
        </w:rPr>
        <w:t>արդյունքներից հնարավոր է եղել եզրահանգել, որ այն բուժաշխատողները, որոնք չունեն գործատուի հետ կնքված աշխատանքային պայմանագիր, այլ աշխատում են ՀՀ քաղաքացիական օրենսգրքի շրջանակներում կնքված ծառայությունների մատուցման պայմանագրերով, փաստացի զրկված են Աշխատանքային օրենսգրքով նախատեսված արտոնություններից, որն առաջացնում է միևնույն աշխատանք կատարող անձանց միջև անհավասարության:</w:t>
      </w:r>
    </w:p>
    <w:p w:rsidR="00886EE1" w:rsidRPr="00886EE1" w:rsidRDefault="00886EE1" w:rsidP="00886EE1">
      <w:pPr>
        <w:spacing w:after="0" w:line="360" w:lineRule="auto"/>
        <w:ind w:firstLine="708"/>
        <w:jc w:val="both"/>
        <w:rPr>
          <w:rFonts w:ascii="GHEA Grapalat" w:hAnsi="GHEA Grapalat"/>
          <w:sz w:val="24"/>
          <w:szCs w:val="24"/>
          <w:lang w:val="hy-AM"/>
        </w:rPr>
      </w:pPr>
      <w:r w:rsidRPr="00886EE1">
        <w:rPr>
          <w:rFonts w:ascii="GHEA Grapalat" w:hAnsi="GHEA Grapalat"/>
          <w:sz w:val="24"/>
          <w:szCs w:val="24"/>
          <w:lang w:val="hy-AM"/>
        </w:rPr>
        <w:t>Միևնույն ժամանակ, ուսումնասիրության ընթացքում պարզվել է, որ</w:t>
      </w:r>
      <w:r w:rsidR="004C1460">
        <w:rPr>
          <w:rFonts w:ascii="GHEA Grapalat" w:hAnsi="GHEA Grapalat"/>
          <w:sz w:val="24"/>
          <w:szCs w:val="24"/>
          <w:lang w:val="hy-AM"/>
        </w:rPr>
        <w:t xml:space="preserve"> </w:t>
      </w:r>
      <w:r w:rsidRPr="00886EE1">
        <w:rPr>
          <w:rFonts w:ascii="GHEA Grapalat" w:hAnsi="GHEA Grapalat"/>
          <w:sz w:val="24"/>
          <w:szCs w:val="24"/>
          <w:lang w:val="hy-AM"/>
        </w:rPr>
        <w:t>առողջապահության բնագավառում նոր տեխնոլոգիաների զարգացման և ներդրման պայմաններում նպատակահարմար է մասնագիտությունների ցանկի թիրախային վերանայում:</w:t>
      </w:r>
    </w:p>
    <w:p w:rsidR="00886EE1" w:rsidRPr="00886EE1" w:rsidRDefault="00886EE1" w:rsidP="00886EE1">
      <w:pPr>
        <w:spacing w:after="0" w:line="360" w:lineRule="auto"/>
        <w:ind w:firstLine="708"/>
        <w:jc w:val="both"/>
        <w:rPr>
          <w:rFonts w:ascii="GHEA Grapalat" w:hAnsi="GHEA Grapalat"/>
          <w:sz w:val="24"/>
          <w:szCs w:val="24"/>
          <w:lang w:val="hy-AM"/>
        </w:rPr>
      </w:pPr>
      <w:r w:rsidRPr="00886EE1">
        <w:rPr>
          <w:rFonts w:ascii="GHEA Grapalat" w:hAnsi="GHEA Grapalat"/>
          <w:sz w:val="24"/>
          <w:szCs w:val="24"/>
          <w:lang w:val="hy-AM"/>
        </w:rPr>
        <w:lastRenderedPageBreak/>
        <w:t>Ի լրումն վերոնշյալի, գործող որոշման մեջ անհրաժեշտ է իրականացնել տեխնիկական բնույթի փոփոխություններ, պայմանավորված կազմակերպությունների անվանումների փոփոխությունների հետ, հստակեցնել լրացուցիչ վարձատրության իրավունք ունեցող անձանց շրջանակը, բացառել</w:t>
      </w:r>
      <w:r w:rsidR="004C1460">
        <w:rPr>
          <w:rFonts w:ascii="GHEA Grapalat" w:hAnsi="GHEA Grapalat"/>
          <w:sz w:val="24"/>
          <w:szCs w:val="24"/>
          <w:lang w:val="hy-AM"/>
        </w:rPr>
        <w:t>ո</w:t>
      </w:r>
      <w:r w:rsidRPr="00886EE1">
        <w:rPr>
          <w:rFonts w:ascii="GHEA Grapalat" w:hAnsi="GHEA Grapalat"/>
          <w:sz w:val="24"/>
          <w:szCs w:val="24"/>
          <w:lang w:val="hy-AM"/>
        </w:rPr>
        <w:t>վ անմիջականորեն ծանր ու վնասակար աշխատանքներում չներգրավված անձանց կողմից վճարների ստացումը, ինչպես նաև ներդնել միասնական սկզբունք</w:t>
      </w:r>
      <w:r w:rsidR="004C1460">
        <w:rPr>
          <w:rFonts w:ascii="GHEA Grapalat" w:hAnsi="GHEA Grapalat"/>
          <w:sz w:val="24"/>
          <w:szCs w:val="24"/>
          <w:lang w:val="hy-AM"/>
        </w:rPr>
        <w:t>`</w:t>
      </w:r>
      <w:r w:rsidRPr="00886EE1">
        <w:rPr>
          <w:rFonts w:ascii="GHEA Grapalat" w:hAnsi="GHEA Grapalat"/>
          <w:sz w:val="24"/>
          <w:szCs w:val="24"/>
          <w:lang w:val="hy-AM"/>
        </w:rPr>
        <w:t xml:space="preserve"> հիմնված բժշկական օգնության և սպասարկման լիցենզիայի տեսակի վրա:</w:t>
      </w:r>
    </w:p>
    <w:p w:rsidR="00886EE1" w:rsidRPr="00886EE1" w:rsidRDefault="00886EE1" w:rsidP="00886EE1">
      <w:pPr>
        <w:spacing w:after="0" w:line="360" w:lineRule="auto"/>
        <w:ind w:firstLine="708"/>
        <w:jc w:val="both"/>
        <w:rPr>
          <w:rFonts w:ascii="GHEA Grapalat" w:hAnsi="GHEA Grapalat"/>
          <w:sz w:val="24"/>
          <w:szCs w:val="24"/>
          <w:lang w:val="hy-AM"/>
        </w:rPr>
      </w:pPr>
      <w:r w:rsidRPr="00886EE1">
        <w:rPr>
          <w:rFonts w:ascii="GHEA Grapalat" w:hAnsi="GHEA Grapalat"/>
          <w:b/>
          <w:bCs/>
          <w:sz w:val="24"/>
          <w:szCs w:val="24"/>
          <w:lang w:val="hy-AM"/>
        </w:rPr>
        <w:t>2</w:t>
      </w:r>
      <w:r w:rsidRPr="00886EE1">
        <w:rPr>
          <w:rFonts w:ascii="Cambria Math" w:hAnsi="Cambria Math" w:cs="Cambria Math"/>
          <w:b/>
          <w:bCs/>
          <w:sz w:val="24"/>
          <w:szCs w:val="24"/>
          <w:lang w:val="hy-AM"/>
        </w:rPr>
        <w:t>․</w:t>
      </w:r>
      <w:r w:rsidRPr="00886EE1">
        <w:rPr>
          <w:rFonts w:ascii="GHEA Grapalat" w:hAnsi="GHEA Grapalat"/>
          <w:b/>
          <w:bCs/>
          <w:sz w:val="24"/>
          <w:szCs w:val="24"/>
          <w:lang w:val="hy-AM"/>
        </w:rPr>
        <w:t xml:space="preserve"> Առաջարկվող կարգավորումների բնույթը: </w:t>
      </w:r>
      <w:r w:rsidRPr="00886EE1">
        <w:rPr>
          <w:rFonts w:ascii="GHEA Grapalat" w:hAnsi="GHEA Grapalat"/>
          <w:sz w:val="24"/>
          <w:szCs w:val="24"/>
          <w:lang w:val="hy-AM"/>
        </w:rPr>
        <w:t>Այսպիսով, փոփոխությունը նպատակ ունի պահպանելով բուժաշխատողների վարձատրության չափը, ստեղծել հավասար պայմաններ առողջապահության բնագավառում մասնագիտական գործունեություն իրականացնող բոլոր բուժաշխատողների համար, անկախ գործատուի հետ պայմանագրային հարաբերությունների բնույթի</w:t>
      </w:r>
      <w:r w:rsidR="004C1460">
        <w:rPr>
          <w:rFonts w:ascii="GHEA Grapalat" w:hAnsi="GHEA Grapalat"/>
          <w:sz w:val="24"/>
          <w:szCs w:val="24"/>
          <w:lang w:val="hy-AM"/>
        </w:rPr>
        <w:t>ց</w:t>
      </w:r>
      <w:r w:rsidRPr="00886EE1">
        <w:rPr>
          <w:rFonts w:ascii="GHEA Grapalat" w:hAnsi="GHEA Grapalat"/>
          <w:sz w:val="24"/>
          <w:szCs w:val="24"/>
          <w:lang w:val="hy-AM"/>
        </w:rPr>
        <w:t>, հիմք ընդունելով նոր տեխնոլոգիաների և ստանդարտների ներդրումը</w:t>
      </w:r>
      <w:r w:rsidR="00064807">
        <w:rPr>
          <w:rFonts w:ascii="GHEA Grapalat" w:hAnsi="GHEA Grapalat"/>
          <w:sz w:val="24"/>
          <w:szCs w:val="24"/>
          <w:lang w:val="hy-AM"/>
        </w:rPr>
        <w:t>,</w:t>
      </w:r>
      <w:r w:rsidRPr="00886EE1">
        <w:rPr>
          <w:rFonts w:ascii="GHEA Grapalat" w:hAnsi="GHEA Grapalat"/>
          <w:sz w:val="24"/>
          <w:szCs w:val="24"/>
          <w:lang w:val="hy-AM"/>
        </w:rPr>
        <w:t xml:space="preserve"> վերանայել ծանր, վնասակար արտադրությունների, աշխատանքների, մասնագիտությունների և պաշտոնների ցանկը</w:t>
      </w:r>
      <w:r w:rsidR="00064807">
        <w:rPr>
          <w:rFonts w:ascii="GHEA Grapalat" w:hAnsi="GHEA Grapalat"/>
          <w:sz w:val="24"/>
          <w:szCs w:val="24"/>
          <w:lang w:val="hy-AM"/>
        </w:rPr>
        <w:t>`</w:t>
      </w:r>
      <w:r w:rsidRPr="00886EE1">
        <w:rPr>
          <w:rFonts w:ascii="GHEA Grapalat" w:hAnsi="GHEA Grapalat"/>
          <w:sz w:val="24"/>
          <w:szCs w:val="24"/>
          <w:lang w:val="hy-AM"/>
        </w:rPr>
        <w:t xml:space="preserve"> հիմք ընդունելով նաև աշխատակցի փաստացի ներգրավվածությունը </w:t>
      </w:r>
      <w:r w:rsidR="004C1460">
        <w:rPr>
          <w:rFonts w:ascii="GHEA Grapalat" w:hAnsi="GHEA Grapalat"/>
          <w:sz w:val="24"/>
          <w:szCs w:val="24"/>
          <w:lang w:val="hy-AM"/>
        </w:rPr>
        <w:t>նմանա</w:t>
      </w:r>
      <w:r w:rsidRPr="00886EE1">
        <w:rPr>
          <w:rFonts w:ascii="GHEA Grapalat" w:hAnsi="GHEA Grapalat"/>
          <w:sz w:val="24"/>
          <w:szCs w:val="24"/>
          <w:lang w:val="hy-AM"/>
        </w:rPr>
        <w:t>տիպ աշխատանքներում, ինչպես նաև նպաստել աշխատավայրում ան</w:t>
      </w:r>
      <w:r w:rsidR="004C1460">
        <w:rPr>
          <w:rFonts w:ascii="GHEA Grapalat" w:hAnsi="GHEA Grapalat"/>
          <w:sz w:val="24"/>
          <w:szCs w:val="24"/>
          <w:lang w:val="hy-AM"/>
        </w:rPr>
        <w:t>վ</w:t>
      </w:r>
      <w:r w:rsidRPr="00886EE1">
        <w:rPr>
          <w:rFonts w:ascii="GHEA Grapalat" w:hAnsi="GHEA Grapalat"/>
          <w:sz w:val="24"/>
          <w:szCs w:val="24"/>
          <w:lang w:val="hy-AM"/>
        </w:rPr>
        <w:t>տանգ միջավայրի ձևավորմանը, այլ ոչ թե վտանգի համար վճարելուն:</w:t>
      </w:r>
    </w:p>
    <w:p w:rsidR="00886EE1" w:rsidRPr="00886EE1" w:rsidRDefault="00886EE1" w:rsidP="00886EE1">
      <w:pPr>
        <w:spacing w:after="0" w:line="360" w:lineRule="auto"/>
        <w:jc w:val="both"/>
        <w:rPr>
          <w:rFonts w:ascii="GHEA Grapalat" w:hAnsi="GHEA Grapalat"/>
          <w:sz w:val="24"/>
          <w:szCs w:val="24"/>
          <w:lang w:val="hy-AM"/>
        </w:rPr>
      </w:pPr>
      <w:r w:rsidRPr="00886EE1">
        <w:rPr>
          <w:rFonts w:ascii="GHEA Grapalat" w:hAnsi="GHEA Grapalat"/>
          <w:sz w:val="24"/>
          <w:szCs w:val="24"/>
          <w:lang w:val="hy-AM"/>
        </w:rPr>
        <w:t xml:space="preserve"> </w:t>
      </w:r>
      <w:r w:rsidRPr="00886EE1">
        <w:rPr>
          <w:rFonts w:ascii="GHEA Grapalat" w:hAnsi="GHEA Grapalat"/>
          <w:sz w:val="24"/>
          <w:szCs w:val="24"/>
          <w:lang w:val="hy-AM"/>
        </w:rPr>
        <w:tab/>
      </w:r>
      <w:r w:rsidRPr="00886EE1">
        <w:rPr>
          <w:rFonts w:ascii="GHEA Grapalat" w:hAnsi="GHEA Grapalat"/>
          <w:b/>
          <w:bCs/>
          <w:sz w:val="24"/>
          <w:szCs w:val="24"/>
          <w:lang w:val="hy-AM"/>
        </w:rPr>
        <w:t>3</w:t>
      </w:r>
      <w:r w:rsidRPr="00886EE1">
        <w:rPr>
          <w:rFonts w:ascii="Cambria Math" w:hAnsi="Cambria Math" w:cs="Cambria Math"/>
          <w:b/>
          <w:bCs/>
          <w:sz w:val="24"/>
          <w:szCs w:val="24"/>
          <w:lang w:val="hy-AM"/>
        </w:rPr>
        <w:t>․</w:t>
      </w:r>
      <w:r w:rsidRPr="00886EE1">
        <w:rPr>
          <w:rFonts w:ascii="GHEA Grapalat" w:hAnsi="GHEA Grapalat"/>
          <w:b/>
          <w:bCs/>
          <w:sz w:val="24"/>
          <w:szCs w:val="24"/>
          <w:lang w:val="hy-AM"/>
        </w:rPr>
        <w:t xml:space="preserve"> Նախագծի մշակման գործընթացում ներգրավված ինստիտուտները և անձինք.</w:t>
      </w:r>
      <w:r w:rsidRPr="00886EE1">
        <w:rPr>
          <w:rFonts w:ascii="GHEA Grapalat" w:hAnsi="GHEA Grapalat"/>
          <w:sz w:val="24"/>
          <w:szCs w:val="24"/>
          <w:lang w:val="hy-AM"/>
        </w:rPr>
        <w:t xml:space="preserve"> Իրավական ակտի նախագիծը մշակվել է Հայաստանի Հանրապետության առողջապահության նախարարության մասնագետների կողմից: </w:t>
      </w:r>
    </w:p>
    <w:p w:rsidR="007D4747" w:rsidRDefault="00886EE1" w:rsidP="00886EE1">
      <w:pPr>
        <w:spacing w:after="0" w:line="360" w:lineRule="auto"/>
        <w:ind w:firstLine="720"/>
        <w:jc w:val="both"/>
        <w:rPr>
          <w:rFonts w:ascii="GHEA Grapalat" w:hAnsi="GHEA Grapalat"/>
          <w:sz w:val="24"/>
          <w:szCs w:val="24"/>
          <w:lang w:val="hy-AM"/>
        </w:rPr>
      </w:pPr>
      <w:r w:rsidRPr="00886EE1">
        <w:rPr>
          <w:rFonts w:ascii="GHEA Grapalat" w:hAnsi="GHEA Grapalat"/>
          <w:b/>
          <w:bCs/>
          <w:sz w:val="24"/>
          <w:szCs w:val="24"/>
          <w:lang w:val="hy-AM"/>
        </w:rPr>
        <w:t>4</w:t>
      </w:r>
      <w:r w:rsidRPr="00886EE1">
        <w:rPr>
          <w:rFonts w:ascii="Cambria Math" w:hAnsi="Cambria Math" w:cs="Cambria Math"/>
          <w:b/>
          <w:bCs/>
          <w:sz w:val="24"/>
          <w:szCs w:val="24"/>
          <w:lang w:val="hy-AM"/>
        </w:rPr>
        <w:t>․</w:t>
      </w:r>
      <w:r w:rsidRPr="00886EE1">
        <w:rPr>
          <w:rFonts w:ascii="GHEA Grapalat" w:hAnsi="GHEA Grapalat"/>
          <w:b/>
          <w:bCs/>
          <w:sz w:val="24"/>
          <w:szCs w:val="24"/>
          <w:lang w:val="hy-AM"/>
        </w:rPr>
        <w:t xml:space="preserve"> Ակնկալվող արդյունքը.</w:t>
      </w:r>
      <w:r w:rsidRPr="00886EE1">
        <w:rPr>
          <w:rFonts w:ascii="GHEA Grapalat" w:hAnsi="GHEA Grapalat"/>
          <w:sz w:val="24"/>
          <w:szCs w:val="24"/>
          <w:lang w:val="hy-AM"/>
        </w:rPr>
        <w:t xml:space="preserve"> Որոշման ընդունման արդյունքում, ներկայում գործող կարգավորումները կհամապատասխանեցվեն միջազգային ժամանակակից միտումներին, նպաստելով առողջապահության բնագավառում մասնագիտական գործունեություն իրականացվող բուժաշխատողների աշխատանքի պայմանների անվտանգության մակարդակի բարելավմանը։ </w:t>
      </w:r>
      <w:r w:rsidR="00242898">
        <w:rPr>
          <w:rFonts w:ascii="GHEA Grapalat" w:hAnsi="GHEA Grapalat"/>
          <w:sz w:val="24"/>
          <w:szCs w:val="24"/>
          <w:lang w:val="hy-AM"/>
        </w:rPr>
        <w:t>Բացի վերոնշյալից, նախագծի ընդունումը կնպաստի առողջապահության բնագավառի իրավական ակտերի համապատասխանեցմանը ժամանակակից միտումներին, ինչը կարևոր նշանակություն ունի առողջության համապարփակ ապահովագրության ներդրմանն ընդառաջ։</w:t>
      </w:r>
    </w:p>
    <w:p w:rsidR="00886EE1" w:rsidRPr="00886EE1" w:rsidRDefault="00886EE1" w:rsidP="0017105D">
      <w:pPr>
        <w:spacing w:after="0" w:line="360" w:lineRule="auto"/>
        <w:ind w:firstLine="720"/>
        <w:jc w:val="both"/>
        <w:rPr>
          <w:rFonts w:ascii="GHEA Grapalat" w:hAnsi="GHEA Grapalat"/>
          <w:sz w:val="24"/>
          <w:szCs w:val="24"/>
          <w:lang w:val="hy-AM"/>
        </w:rPr>
      </w:pPr>
      <w:r w:rsidRPr="00886EE1">
        <w:rPr>
          <w:rFonts w:ascii="GHEA Grapalat" w:hAnsi="GHEA Grapalat"/>
          <w:b/>
          <w:bCs/>
          <w:sz w:val="24"/>
          <w:szCs w:val="24"/>
          <w:lang w:val="hy-AM"/>
        </w:rPr>
        <w:lastRenderedPageBreak/>
        <w:t>5</w:t>
      </w:r>
      <w:r w:rsidRPr="00886EE1">
        <w:rPr>
          <w:rFonts w:ascii="Cambria Math" w:hAnsi="Cambria Math" w:cs="Cambria Math"/>
          <w:b/>
          <w:bCs/>
          <w:sz w:val="24"/>
          <w:szCs w:val="24"/>
          <w:lang w:val="hy-AM"/>
        </w:rPr>
        <w:t>․</w:t>
      </w:r>
      <w:r w:rsidRPr="00886EE1">
        <w:rPr>
          <w:rFonts w:ascii="GHEA Grapalat" w:hAnsi="GHEA Grapalat" w:cs="Cambria Math"/>
          <w:b/>
          <w:bCs/>
          <w:sz w:val="24"/>
          <w:szCs w:val="24"/>
          <w:lang w:val="hy-AM"/>
        </w:rPr>
        <w:t xml:space="preserve"> </w:t>
      </w:r>
      <w:r w:rsidRPr="00886EE1">
        <w:rPr>
          <w:rFonts w:ascii="GHEA Grapalat" w:hAnsi="GHEA Grapalat"/>
          <w:b/>
          <w:bCs/>
          <w:sz w:val="24"/>
          <w:szCs w:val="24"/>
          <w:lang w:val="hy-AM"/>
        </w:rPr>
        <w:t>Կապը ռազմավարական փաստաթղթերի հետ.</w:t>
      </w:r>
      <w:r w:rsidRPr="00886EE1">
        <w:rPr>
          <w:rFonts w:ascii="GHEA Grapalat" w:hAnsi="GHEA Grapalat"/>
          <w:sz w:val="24"/>
          <w:szCs w:val="24"/>
          <w:lang w:val="hy-AM"/>
        </w:rPr>
        <w:t xml:space="preserve"> </w:t>
      </w:r>
      <w:r w:rsidR="00EE578E">
        <w:rPr>
          <w:rFonts w:ascii="GHEA Grapalat" w:hAnsi="GHEA Grapalat"/>
          <w:sz w:val="24"/>
          <w:szCs w:val="24"/>
          <w:lang w:val="hy-AM"/>
        </w:rPr>
        <w:t>Նախագծի ընդունումը բխում է ՀՀ կառավարության</w:t>
      </w:r>
      <w:r w:rsidR="00CD165E">
        <w:rPr>
          <w:rFonts w:ascii="GHEA Grapalat" w:hAnsi="GHEA Grapalat"/>
          <w:sz w:val="24"/>
          <w:szCs w:val="24"/>
          <w:lang w:val="hy-AM"/>
        </w:rPr>
        <w:t xml:space="preserve"> </w:t>
      </w:r>
      <w:r w:rsidR="00EE578E" w:rsidRPr="00EE578E">
        <w:rPr>
          <w:rFonts w:ascii="GHEA Grapalat" w:hAnsi="GHEA Grapalat"/>
          <w:sz w:val="24"/>
          <w:szCs w:val="24"/>
          <w:lang w:val="hy-AM"/>
        </w:rPr>
        <w:t>2022 թվականի դեկտեմբերի 22</w:t>
      </w:r>
      <w:r w:rsidR="00EE578E">
        <w:rPr>
          <w:rFonts w:ascii="GHEA Grapalat" w:hAnsi="GHEA Grapalat"/>
          <w:sz w:val="24"/>
          <w:szCs w:val="24"/>
          <w:lang w:val="hy-AM"/>
        </w:rPr>
        <w:t xml:space="preserve">-ի թիվ </w:t>
      </w:r>
      <w:r w:rsidR="00EE578E" w:rsidRPr="00EE578E">
        <w:rPr>
          <w:rFonts w:ascii="GHEA Grapalat" w:hAnsi="GHEA Grapalat"/>
          <w:sz w:val="24"/>
          <w:szCs w:val="24"/>
          <w:lang w:val="hy-AM"/>
        </w:rPr>
        <w:t xml:space="preserve">N 2117 </w:t>
      </w:r>
      <w:r w:rsidR="00EE578E">
        <w:rPr>
          <w:rFonts w:ascii="GHEA Grapalat" w:hAnsi="GHEA Grapalat"/>
          <w:sz w:val="24"/>
          <w:szCs w:val="24"/>
          <w:lang w:val="hy-AM"/>
        </w:rPr>
        <w:t>–</w:t>
      </w:r>
      <w:r w:rsidR="00EE578E" w:rsidRPr="00EE578E">
        <w:rPr>
          <w:rFonts w:ascii="GHEA Grapalat" w:hAnsi="GHEA Grapalat"/>
          <w:sz w:val="24"/>
          <w:szCs w:val="24"/>
          <w:lang w:val="hy-AM"/>
        </w:rPr>
        <w:t xml:space="preserve"> Լ</w:t>
      </w:r>
      <w:r w:rsidR="00EE578E">
        <w:rPr>
          <w:rFonts w:ascii="GHEA Grapalat" w:hAnsi="GHEA Grapalat"/>
          <w:sz w:val="24"/>
          <w:szCs w:val="24"/>
          <w:lang w:val="hy-AM"/>
        </w:rPr>
        <w:t>՝</w:t>
      </w:r>
      <w:r w:rsidR="00EE578E" w:rsidRPr="00EE578E">
        <w:rPr>
          <w:lang w:val="hy-AM"/>
        </w:rPr>
        <w:t xml:space="preserve"> </w:t>
      </w:r>
      <w:r w:rsidR="00EE578E">
        <w:rPr>
          <w:lang w:val="hy-AM"/>
        </w:rPr>
        <w:t>«</w:t>
      </w:r>
      <w:r w:rsidR="00EE578E">
        <w:rPr>
          <w:rFonts w:ascii="GHEA Grapalat" w:hAnsi="GHEA Grapalat"/>
          <w:sz w:val="24"/>
          <w:szCs w:val="24"/>
          <w:lang w:val="hy-AM"/>
        </w:rPr>
        <w:t>Հ</w:t>
      </w:r>
      <w:r w:rsidR="00EE578E" w:rsidRPr="00EE578E">
        <w:rPr>
          <w:rFonts w:ascii="GHEA Grapalat" w:hAnsi="GHEA Grapalat"/>
          <w:sz w:val="24"/>
          <w:szCs w:val="24"/>
          <w:lang w:val="hy-AM"/>
        </w:rPr>
        <w:t xml:space="preserve">այաստանի </w:t>
      </w:r>
      <w:r w:rsidR="00EE578E">
        <w:rPr>
          <w:rFonts w:ascii="GHEA Grapalat" w:hAnsi="GHEA Grapalat"/>
          <w:sz w:val="24"/>
          <w:szCs w:val="24"/>
          <w:lang w:val="hy-AM"/>
        </w:rPr>
        <w:t>Հ</w:t>
      </w:r>
      <w:r w:rsidR="00EE578E" w:rsidRPr="00EE578E">
        <w:rPr>
          <w:rFonts w:ascii="GHEA Grapalat" w:hAnsi="GHEA Grapalat"/>
          <w:sz w:val="24"/>
          <w:szCs w:val="24"/>
          <w:lang w:val="hy-AM"/>
        </w:rPr>
        <w:t>անրապետության կառավարության 2021 թվականի</w:t>
      </w:r>
      <w:r w:rsidR="00EE578E">
        <w:rPr>
          <w:rFonts w:ascii="GHEA Grapalat" w:hAnsi="GHEA Grapalat"/>
          <w:sz w:val="24"/>
          <w:szCs w:val="24"/>
          <w:lang w:val="hy-AM"/>
        </w:rPr>
        <w:t xml:space="preserve"> </w:t>
      </w:r>
      <w:r w:rsidR="00EE578E" w:rsidRPr="00EE578E">
        <w:rPr>
          <w:rFonts w:ascii="GHEA Grapalat" w:hAnsi="GHEA Grapalat"/>
          <w:sz w:val="24"/>
          <w:szCs w:val="24"/>
          <w:lang w:val="hy-AM"/>
        </w:rPr>
        <w:t>նոյեմբերի 18-ի N 1902-Լ որոշման մեջ փոփոխություններ</w:t>
      </w:r>
      <w:r w:rsidR="00EE578E">
        <w:rPr>
          <w:rFonts w:ascii="GHEA Grapalat" w:hAnsi="GHEA Grapalat"/>
          <w:sz w:val="24"/>
          <w:szCs w:val="24"/>
          <w:lang w:val="hy-AM"/>
        </w:rPr>
        <w:t xml:space="preserve"> </w:t>
      </w:r>
      <w:r w:rsidR="00EE578E" w:rsidRPr="00EE578E">
        <w:rPr>
          <w:rFonts w:ascii="GHEA Grapalat" w:hAnsi="GHEA Grapalat"/>
          <w:sz w:val="24"/>
          <w:szCs w:val="24"/>
          <w:lang w:val="hy-AM"/>
        </w:rPr>
        <w:t>կատարելու մասին</w:t>
      </w:r>
      <w:r w:rsidR="00EE578E">
        <w:rPr>
          <w:rFonts w:ascii="GHEA Grapalat" w:hAnsi="GHEA Grapalat"/>
          <w:sz w:val="24"/>
          <w:szCs w:val="24"/>
          <w:lang w:val="hy-AM"/>
        </w:rPr>
        <w:t>» որոշման՝ «</w:t>
      </w:r>
      <w:r w:rsidR="00EE578E" w:rsidRPr="00EE578E">
        <w:rPr>
          <w:rFonts w:ascii="GHEA Grapalat" w:hAnsi="GHEA Grapalat"/>
          <w:sz w:val="24"/>
          <w:szCs w:val="24"/>
          <w:lang w:val="hy-AM"/>
        </w:rPr>
        <w:t>Առողջապահության նախարարություն</w:t>
      </w:r>
      <w:r w:rsidR="00EE578E">
        <w:rPr>
          <w:rFonts w:ascii="GHEA Grapalat" w:hAnsi="GHEA Grapalat"/>
          <w:sz w:val="24"/>
          <w:szCs w:val="24"/>
          <w:lang w:val="hy-AM"/>
        </w:rPr>
        <w:t xml:space="preserve">» բաժնի «1» նպատակի «1․1» միջոցառման՝ </w:t>
      </w:r>
      <w:r w:rsidR="0017105D">
        <w:rPr>
          <w:rFonts w:ascii="GHEA Grapalat" w:hAnsi="GHEA Grapalat"/>
          <w:sz w:val="24"/>
          <w:szCs w:val="24"/>
          <w:lang w:val="hy-AM"/>
        </w:rPr>
        <w:t>ՀՀ կառավարության</w:t>
      </w:r>
      <w:r w:rsidR="00CD165E">
        <w:rPr>
          <w:rFonts w:ascii="GHEA Grapalat" w:hAnsi="GHEA Grapalat"/>
          <w:sz w:val="24"/>
          <w:szCs w:val="24"/>
          <w:lang w:val="hy-AM"/>
        </w:rPr>
        <w:t xml:space="preserve"> </w:t>
      </w:r>
      <w:r w:rsidR="0017105D" w:rsidRPr="0017105D">
        <w:rPr>
          <w:rFonts w:ascii="GHEA Grapalat" w:hAnsi="GHEA Grapalat"/>
          <w:sz w:val="24"/>
          <w:szCs w:val="24"/>
          <w:lang w:val="hy-AM"/>
        </w:rPr>
        <w:t>2023 թվականի փետրվարի 2</w:t>
      </w:r>
      <w:r w:rsidR="0017105D">
        <w:rPr>
          <w:rFonts w:ascii="GHEA Grapalat" w:hAnsi="GHEA Grapalat"/>
          <w:sz w:val="24"/>
          <w:szCs w:val="24"/>
          <w:lang w:val="hy-AM"/>
        </w:rPr>
        <w:t xml:space="preserve">-ի թիվ </w:t>
      </w:r>
      <w:r w:rsidR="0017105D" w:rsidRPr="0017105D">
        <w:rPr>
          <w:rFonts w:ascii="GHEA Grapalat" w:hAnsi="GHEA Grapalat"/>
          <w:sz w:val="24"/>
          <w:szCs w:val="24"/>
          <w:lang w:val="hy-AM"/>
        </w:rPr>
        <w:t>N 133-Լ</w:t>
      </w:r>
      <w:r w:rsidR="0017105D">
        <w:rPr>
          <w:rFonts w:ascii="GHEA Grapalat" w:hAnsi="GHEA Grapalat"/>
          <w:sz w:val="24"/>
          <w:szCs w:val="24"/>
          <w:lang w:val="hy-AM"/>
        </w:rPr>
        <w:t xml:space="preserve"> որոշմամբ ընդունված «Ա</w:t>
      </w:r>
      <w:r w:rsidR="0017105D" w:rsidRPr="0017105D">
        <w:rPr>
          <w:rFonts w:ascii="GHEA Grapalat" w:hAnsi="GHEA Grapalat"/>
          <w:sz w:val="24"/>
          <w:szCs w:val="24"/>
          <w:lang w:val="hy-AM"/>
        </w:rPr>
        <w:t>ռողջության համապարփակ ապահովագրության ներդրման հայեցակարգը հաստատելու մասին</w:t>
      </w:r>
      <w:r w:rsidR="0017105D">
        <w:rPr>
          <w:rFonts w:ascii="GHEA Grapalat" w:hAnsi="GHEA Grapalat"/>
          <w:sz w:val="24"/>
          <w:szCs w:val="24"/>
          <w:lang w:val="hy-AM"/>
        </w:rPr>
        <w:t>» որոշման 68-րդ կետից։</w:t>
      </w:r>
    </w:p>
    <w:p w:rsidR="00603B3A" w:rsidRPr="00CD165E" w:rsidRDefault="00886EE1" w:rsidP="00CD165E">
      <w:pPr>
        <w:spacing w:after="0" w:line="360" w:lineRule="auto"/>
        <w:ind w:firstLine="720"/>
        <w:jc w:val="both"/>
        <w:rPr>
          <w:rFonts w:ascii="GHEA Grapalat" w:hAnsi="GHEA Grapalat"/>
          <w:sz w:val="24"/>
          <w:szCs w:val="24"/>
          <w:lang w:val="hy-AM"/>
        </w:rPr>
      </w:pPr>
      <w:r w:rsidRPr="00886EE1">
        <w:rPr>
          <w:rFonts w:ascii="GHEA Grapalat" w:hAnsi="GHEA Grapalat"/>
          <w:b/>
          <w:bCs/>
          <w:sz w:val="24"/>
          <w:szCs w:val="24"/>
          <w:lang w:val="hy-AM"/>
        </w:rPr>
        <w:t>6</w:t>
      </w:r>
      <w:r w:rsidRPr="00886EE1">
        <w:rPr>
          <w:rFonts w:ascii="Cambria Math" w:hAnsi="Cambria Math" w:cs="Cambria Math"/>
          <w:b/>
          <w:bCs/>
          <w:sz w:val="24"/>
          <w:szCs w:val="24"/>
          <w:lang w:val="hy-AM"/>
        </w:rPr>
        <w:t>․</w:t>
      </w:r>
      <w:r w:rsidRPr="00886EE1">
        <w:rPr>
          <w:rFonts w:ascii="GHEA Grapalat" w:hAnsi="GHEA Grapalat"/>
          <w:b/>
          <w:bCs/>
          <w:sz w:val="24"/>
          <w:szCs w:val="24"/>
          <w:lang w:val="hy-AM"/>
        </w:rPr>
        <w:t xml:space="preserve"> Նախագծի ընդունման առնչությամբ պետական կամ տեղական ինքնակառավարման մարմինների բյուջեներում ծախսերի և եկամուտների ավելացումներ կամ նվազեցումներ.</w:t>
      </w:r>
      <w:r w:rsidRPr="00886EE1">
        <w:rPr>
          <w:rFonts w:ascii="GHEA Grapalat" w:hAnsi="GHEA Grapalat"/>
          <w:sz w:val="24"/>
          <w:szCs w:val="24"/>
          <w:lang w:val="hy-AM"/>
        </w:rPr>
        <w:t xml:space="preserve"> Նախագծի ընդունման կապակցությամբ պետական կամ տեղական ինքնակառավարման մարմնի բյուջեում ծախսերի և եկամուտների ավելացում կամ նվազեցում տեղի չի ունենա, քանի որ նախատեսվում է պահպանել աշխատողների վարձատրության չափը:</w:t>
      </w:r>
      <w:bookmarkStart w:id="0" w:name="_GoBack"/>
      <w:bookmarkEnd w:id="0"/>
    </w:p>
    <w:sectPr w:rsidR="00603B3A" w:rsidRPr="00CD165E" w:rsidSect="00CD165E">
      <w:pgSz w:w="11907" w:h="16840" w:code="9"/>
      <w:pgMar w:top="851" w:right="1134"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1B30" w:rsidRDefault="00F11B30" w:rsidP="00886EE1">
      <w:pPr>
        <w:spacing w:after="0" w:line="240" w:lineRule="auto"/>
      </w:pPr>
      <w:r>
        <w:separator/>
      </w:r>
    </w:p>
  </w:endnote>
  <w:endnote w:type="continuationSeparator" w:id="0">
    <w:p w:rsidR="00F11B30" w:rsidRDefault="00F11B30" w:rsidP="00886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1B30" w:rsidRDefault="00F11B30" w:rsidP="00886EE1">
      <w:pPr>
        <w:spacing w:after="0" w:line="240" w:lineRule="auto"/>
      </w:pPr>
      <w:r>
        <w:separator/>
      </w:r>
    </w:p>
  </w:footnote>
  <w:footnote w:type="continuationSeparator" w:id="0">
    <w:p w:rsidR="00F11B30" w:rsidRDefault="00F11B30" w:rsidP="00886EE1">
      <w:pPr>
        <w:spacing w:after="0" w:line="240" w:lineRule="auto"/>
      </w:pPr>
      <w:r>
        <w:continuationSeparator/>
      </w:r>
    </w:p>
  </w:footnote>
  <w:footnote w:id="1">
    <w:p w:rsidR="00886EE1" w:rsidRPr="00630073" w:rsidRDefault="00886EE1" w:rsidP="00886EE1">
      <w:pPr>
        <w:pStyle w:val="FootnoteText"/>
        <w:jc w:val="both"/>
        <w:rPr>
          <w:rFonts w:ascii="GHEA Grapalat" w:hAnsi="GHEA Grapalat"/>
          <w:lang w:val="hy-AM"/>
        </w:rPr>
      </w:pPr>
      <w:r w:rsidRPr="00630073">
        <w:rPr>
          <w:rStyle w:val="FootnoteReference"/>
          <w:rFonts w:ascii="GHEA Grapalat" w:hAnsi="GHEA Grapalat"/>
        </w:rPr>
        <w:footnoteRef/>
      </w:r>
      <w:r w:rsidRPr="00630073">
        <w:rPr>
          <w:rFonts w:ascii="GHEA Grapalat" w:hAnsi="GHEA Grapalat"/>
          <w:lang w:val="en-US"/>
        </w:rPr>
        <w:t xml:space="preserve"> Council Directive 89/391/EEC of 12 June 1989 on the introduction of measures to encourage improvements in the safety and health of workers at work</w:t>
      </w:r>
      <w:r w:rsidRPr="00630073">
        <w:rPr>
          <w:rFonts w:ascii="GHEA Grapalat" w:hAnsi="GHEA Grapalat"/>
          <w:lang w:val="hy-AM"/>
        </w:rPr>
        <w:t>, https://eur-lex.europa.eu/LexUriServ/LexUriServ.do?uri=CELEX:31989L0391:EN:HTML</w:t>
      </w:r>
    </w:p>
  </w:footnote>
  <w:footnote w:id="2">
    <w:p w:rsidR="00886EE1" w:rsidRPr="00630073" w:rsidRDefault="00886EE1" w:rsidP="00886EE1">
      <w:pPr>
        <w:pStyle w:val="FootnoteText"/>
        <w:jc w:val="both"/>
        <w:rPr>
          <w:lang w:val="hy-AM"/>
        </w:rPr>
      </w:pPr>
      <w:r w:rsidRPr="00630073">
        <w:rPr>
          <w:rStyle w:val="FootnoteReference"/>
          <w:rFonts w:ascii="GHEA Grapalat" w:hAnsi="GHEA Grapalat"/>
        </w:rPr>
        <w:footnoteRef/>
      </w:r>
      <w:r>
        <w:rPr>
          <w:rFonts w:ascii="GHEA Grapalat" w:hAnsi="GHEA Grapalat"/>
          <w:lang w:val="hy-AM"/>
        </w:rPr>
        <w:t xml:space="preserve"> </w:t>
      </w:r>
      <w:r w:rsidRPr="00630073">
        <w:rPr>
          <w:rFonts w:ascii="GHEA Grapalat" w:hAnsi="GHEA Grapalat"/>
          <w:lang w:val="en-US"/>
        </w:rPr>
        <w:t>Bonuses for hazardous working conditions still prevalent</w:t>
      </w:r>
      <w:r w:rsidRPr="00630073">
        <w:rPr>
          <w:rFonts w:ascii="GHEA Grapalat" w:hAnsi="GHEA Grapalat"/>
          <w:lang w:val="hy-AM"/>
        </w:rPr>
        <w:t>.</w:t>
      </w:r>
      <w:r>
        <w:rPr>
          <w:lang w:val="hy-AM"/>
        </w:rPr>
        <w:t xml:space="preserve"> </w:t>
      </w:r>
      <w:r w:rsidRPr="00630073">
        <w:rPr>
          <w:rFonts w:ascii="GHEA Grapalat" w:hAnsi="GHEA Grapalat"/>
          <w:lang w:val="hy-AM"/>
        </w:rPr>
        <w:t>Published on: 05 Samhain 2006</w:t>
      </w:r>
      <w:r>
        <w:rPr>
          <w:rFonts w:ascii="GHEA Grapalat" w:hAnsi="GHEA Grapalat"/>
          <w:lang w:val="hy-AM"/>
        </w:rPr>
        <w:t>.</w:t>
      </w:r>
      <w:r w:rsidRPr="00630073">
        <w:rPr>
          <w:lang w:val="en-US"/>
        </w:rPr>
        <w:t xml:space="preserve"> </w:t>
      </w:r>
      <w:r w:rsidRPr="00630073">
        <w:rPr>
          <w:rFonts w:ascii="GHEA Grapalat" w:hAnsi="GHEA Grapalat"/>
          <w:lang w:val="hy-AM"/>
        </w:rPr>
        <w:t>https://www.eurofound.europa.eu/ga/publications/article/2006/bonuses-for-hazardous-working-conditions-still-prevalent</w:t>
      </w:r>
    </w:p>
  </w:footnote>
  <w:footnote w:id="3">
    <w:p w:rsidR="00886EE1" w:rsidRPr="0097778A" w:rsidRDefault="00886EE1" w:rsidP="00886EE1">
      <w:pPr>
        <w:pStyle w:val="FootnoteText"/>
        <w:jc w:val="both"/>
        <w:rPr>
          <w:rFonts w:ascii="GHEA Grapalat" w:hAnsi="GHEA Grapalat"/>
          <w:lang w:val="hy-AM"/>
        </w:rPr>
      </w:pPr>
      <w:r w:rsidRPr="0097778A">
        <w:rPr>
          <w:rStyle w:val="FootnoteReference"/>
          <w:rFonts w:ascii="GHEA Grapalat" w:hAnsi="GHEA Grapalat"/>
        </w:rPr>
        <w:footnoteRef/>
      </w:r>
      <w:r w:rsidRPr="0097778A">
        <w:rPr>
          <w:rFonts w:ascii="GHEA Grapalat" w:hAnsi="GHEA Grapalat"/>
          <w:lang w:val="hy-AM"/>
        </w:rPr>
        <w:t xml:space="preserve"> </w:t>
      </w:r>
      <w:r w:rsidRPr="0097778A">
        <w:rPr>
          <w:rFonts w:ascii="GHEA Grapalat" w:hAnsi="GHEA Grapalat"/>
          <w:lang w:val="en-US"/>
        </w:rPr>
        <w:t xml:space="preserve">US Department of Labor, </w:t>
      </w:r>
      <w:r w:rsidRPr="0097778A">
        <w:rPr>
          <w:rFonts w:ascii="GHEA Grapalat" w:hAnsi="GHEA Grapalat"/>
          <w:lang w:val="hy-AM"/>
        </w:rPr>
        <w:t>https://www.dol.gov/general/topic/wages/hazardpay</w:t>
      </w:r>
    </w:p>
  </w:footnote>
  <w:footnote w:id="4">
    <w:p w:rsidR="00886EE1" w:rsidRPr="0097778A" w:rsidRDefault="00886EE1" w:rsidP="00886EE1">
      <w:pPr>
        <w:pStyle w:val="FootnoteText"/>
        <w:jc w:val="both"/>
        <w:rPr>
          <w:rFonts w:ascii="GHEA Grapalat" w:hAnsi="GHEA Grapalat"/>
          <w:lang w:val="hy-AM"/>
        </w:rPr>
      </w:pPr>
      <w:r w:rsidRPr="0097778A">
        <w:rPr>
          <w:rStyle w:val="FootnoteReference"/>
          <w:rFonts w:ascii="GHEA Grapalat" w:hAnsi="GHEA Grapalat"/>
        </w:rPr>
        <w:footnoteRef/>
      </w:r>
      <w:r w:rsidRPr="0097778A">
        <w:rPr>
          <w:rFonts w:ascii="GHEA Grapalat" w:hAnsi="GHEA Grapalat"/>
          <w:lang w:val="en-US"/>
        </w:rPr>
        <w:t xml:space="preserve"> Office of</w:t>
      </w:r>
      <w:r w:rsidRPr="0097778A">
        <w:rPr>
          <w:rFonts w:ascii="GHEA Grapalat" w:hAnsi="GHEA Grapalat"/>
          <w:lang w:val="hy-AM"/>
        </w:rPr>
        <w:t xml:space="preserve"> </w:t>
      </w:r>
      <w:r w:rsidRPr="0097778A">
        <w:rPr>
          <w:rFonts w:ascii="GHEA Grapalat" w:hAnsi="GHEA Grapalat"/>
          <w:lang w:val="en-US"/>
        </w:rPr>
        <w:t>Human Resources Management</w:t>
      </w:r>
      <w:r w:rsidRPr="0097778A">
        <w:rPr>
          <w:rFonts w:ascii="GHEA Grapalat" w:hAnsi="GHEA Grapalat"/>
          <w:lang w:val="hy-AM"/>
        </w:rPr>
        <w:t xml:space="preserve">, https://www.commerce.gov/hr/practitioners/compensation-policies/premium-pay/hazard-pay </w:t>
      </w:r>
    </w:p>
  </w:footnote>
  <w:footnote w:id="5">
    <w:p w:rsidR="00886EE1" w:rsidRPr="0097778A" w:rsidRDefault="00886EE1" w:rsidP="00886EE1">
      <w:pPr>
        <w:pStyle w:val="FootnoteText"/>
        <w:jc w:val="both"/>
        <w:rPr>
          <w:rFonts w:ascii="GHEA Grapalat" w:hAnsi="GHEA Grapalat"/>
          <w:lang w:val="en-US"/>
        </w:rPr>
      </w:pPr>
      <w:r w:rsidRPr="0097778A">
        <w:rPr>
          <w:rStyle w:val="FootnoteReference"/>
          <w:rFonts w:ascii="GHEA Grapalat" w:hAnsi="GHEA Grapalat"/>
        </w:rPr>
        <w:footnoteRef/>
      </w:r>
      <w:r w:rsidRPr="0097778A">
        <w:rPr>
          <w:rFonts w:ascii="GHEA Grapalat" w:hAnsi="GHEA Grapalat"/>
          <w:lang w:val="en-US"/>
        </w:rPr>
        <w:t xml:space="preserve"> Retirement regimes for workers in arduous or hazardous jobs in Europe</w:t>
      </w:r>
      <w:r w:rsidRPr="0097778A">
        <w:rPr>
          <w:rFonts w:ascii="GHEA Grapalat" w:hAnsi="GHEA Grapalat"/>
          <w:lang w:val="hy-AM"/>
        </w:rPr>
        <w:t xml:space="preserve">. </w:t>
      </w:r>
      <w:r w:rsidRPr="0097778A">
        <w:rPr>
          <w:rFonts w:ascii="GHEA Grapalat" w:hAnsi="GHEA Grapalat"/>
          <w:lang w:val="en-US"/>
        </w:rPr>
        <w:t>A study of national policies</w:t>
      </w:r>
      <w:r w:rsidRPr="0097778A">
        <w:rPr>
          <w:rFonts w:ascii="GHEA Grapalat" w:hAnsi="GHEA Grapalat"/>
          <w:lang w:val="hy-AM"/>
        </w:rPr>
        <w:t xml:space="preserve">. David Natali, Slavina Spasova and Bart Vanhercke. July 2016. </w:t>
      </w:r>
      <w:r w:rsidRPr="0097778A">
        <w:rPr>
          <w:rFonts w:ascii="GHEA Grapalat" w:hAnsi="GHEA Grapalat"/>
          <w:lang w:val="en-US"/>
        </w:rPr>
        <w:t>European Commission.</w:t>
      </w:r>
    </w:p>
  </w:footnote>
  <w:footnote w:id="6">
    <w:p w:rsidR="00886EE1" w:rsidRPr="0097778A" w:rsidRDefault="00886EE1" w:rsidP="00886EE1">
      <w:pPr>
        <w:pStyle w:val="FootnoteText"/>
        <w:jc w:val="both"/>
        <w:rPr>
          <w:lang w:val="en-US"/>
        </w:rPr>
      </w:pPr>
      <w:r w:rsidRPr="0097778A">
        <w:rPr>
          <w:rStyle w:val="FootnoteReference"/>
          <w:rFonts w:ascii="GHEA Grapalat" w:hAnsi="GHEA Grapalat"/>
        </w:rPr>
        <w:footnoteRef/>
      </w:r>
      <w:r w:rsidRPr="0097778A">
        <w:rPr>
          <w:rFonts w:ascii="GHEA Grapalat" w:hAnsi="GHEA Grapalat"/>
          <w:lang w:val="en-US"/>
        </w:rPr>
        <w:t xml:space="preserve"> https://www.ilo.org/safework/areasofwork/hazardous-work/lang--en/index.htm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EE1"/>
    <w:rsid w:val="00064807"/>
    <w:rsid w:val="000B2486"/>
    <w:rsid w:val="0017105D"/>
    <w:rsid w:val="00242898"/>
    <w:rsid w:val="00311824"/>
    <w:rsid w:val="004106A6"/>
    <w:rsid w:val="004C1460"/>
    <w:rsid w:val="00596FBE"/>
    <w:rsid w:val="005E5766"/>
    <w:rsid w:val="00603B3A"/>
    <w:rsid w:val="007D4747"/>
    <w:rsid w:val="00886EE1"/>
    <w:rsid w:val="009F2FE4"/>
    <w:rsid w:val="00B42353"/>
    <w:rsid w:val="00B519A6"/>
    <w:rsid w:val="00CD165E"/>
    <w:rsid w:val="00D861A2"/>
    <w:rsid w:val="00E26822"/>
    <w:rsid w:val="00EE578E"/>
    <w:rsid w:val="00F11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2CC795"/>
  <w15:chartTrackingRefBased/>
  <w15:docId w15:val="{EA2B124B-954D-4B6A-8AE3-363632B01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86EE1"/>
    <w:pPr>
      <w:spacing w:after="0" w:line="240" w:lineRule="auto"/>
    </w:pPr>
    <w:rPr>
      <w:sz w:val="20"/>
      <w:szCs w:val="20"/>
      <w:lang w:val="ru-RU"/>
    </w:rPr>
  </w:style>
  <w:style w:type="character" w:customStyle="1" w:styleId="FootnoteTextChar">
    <w:name w:val="Footnote Text Char"/>
    <w:basedOn w:val="DefaultParagraphFont"/>
    <w:link w:val="FootnoteText"/>
    <w:uiPriority w:val="99"/>
    <w:semiHidden/>
    <w:rsid w:val="00886EE1"/>
    <w:rPr>
      <w:sz w:val="20"/>
      <w:szCs w:val="20"/>
      <w:lang w:val="ru-RU"/>
    </w:rPr>
  </w:style>
  <w:style w:type="character" w:styleId="FootnoteReference">
    <w:name w:val="footnote reference"/>
    <w:basedOn w:val="DefaultParagraphFont"/>
    <w:uiPriority w:val="99"/>
    <w:semiHidden/>
    <w:unhideWhenUsed/>
    <w:rsid w:val="00886EE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3639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1129</Words>
  <Characters>6440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Karine Gabrielyan</dc:creator>
  <cp:keywords/>
  <dc:description/>
  <cp:lastModifiedBy>MOH</cp:lastModifiedBy>
  <cp:revision>2</cp:revision>
  <dcterms:created xsi:type="dcterms:W3CDTF">2024-02-19T10:38:00Z</dcterms:created>
  <dcterms:modified xsi:type="dcterms:W3CDTF">2024-02-19T10:38:00Z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789bec1b-2244-417b-96f8-b7135c8f0540</vt:lpwstr>
  </property>
</Properties>
</file>