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A6" w14:textId="77777777" w:rsidR="00D61C0E" w:rsidRPr="0005623F" w:rsidRDefault="00D61C0E" w:rsidP="00295C2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6B711BF0" w14:textId="1E355922" w:rsidR="00D61C0E" w:rsidRPr="0005623F" w:rsidRDefault="00D61C0E" w:rsidP="00295C2C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ԿԱՌԱՎԱՐՈՒԹՅԱՆ 2017 ԹՎԱԿԱՆԻ ՄԱՅԻՍԻ 4-Ի N 526-Ն ՈՐՈՇՄԱՆ ՄԵՋ ԼՐԱՑՈՒՄՆԵՐ ԿԱՏԱՐԵԼՈՒ ՄԱՍԻՆ</w:t>
      </w:r>
      <w:r w:rsidRPr="0005623F"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ԿԱՌԱՎԱՐՈՒԹՅԱՆ </w:t>
      </w:r>
      <w:r w:rsidRPr="0005623F">
        <w:rPr>
          <w:rFonts w:ascii="GHEA Grapalat" w:eastAsia="GHEA Grapalat" w:hAnsi="GHEA Grapalat" w:cs="GHEA Grapalat"/>
          <w:b/>
          <w:sz w:val="24"/>
          <w:szCs w:val="24"/>
        </w:rPr>
        <w:t>ՈՐՈՇՄԱՆ ՆԱԽԱԳԾԻ ՎԵՐԱԲԵՐՅԱԼ</w:t>
      </w:r>
    </w:p>
    <w:p w14:paraId="6D49AEB6" w14:textId="77777777" w:rsidR="00D61C0E" w:rsidRPr="0005623F" w:rsidRDefault="00D61C0E" w:rsidP="00D61C0E">
      <w:pPr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9CE7343" w14:textId="1E13B479" w:rsidR="006E0E16" w:rsidRPr="004C2F7B" w:rsidRDefault="00D61C0E" w:rsidP="004C2F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4C2F7B">
        <w:rPr>
          <w:rFonts w:ascii="GHEA Grapalat" w:eastAsia="GHEA Grapalat" w:hAnsi="GHEA Grapalat" w:cs="GHEA Grapalat"/>
          <w:b/>
          <w:sz w:val="24"/>
          <w:szCs w:val="24"/>
        </w:rPr>
        <w:t>ԱՌԿԱ ԻՐԱՎԻՃԱԿԸ ԵՎ ԿԱՐԳԱՎՈՐՄԱՆ ԵՆԹԱԿԱ ԽՆԴԻՐՆԵՐԸ</w:t>
      </w:r>
    </w:p>
    <w:p w14:paraId="2C1E853E" w14:textId="0ECEAE4B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ՏՀԶԿ հանրային գնումների սկզբունքների համաձայն հանրային գնումներին հասանելիության ռիսկերը ներառում են ՓՄՁ սուբյեկտների առջև ծառացող ֆինանսական խոչընդոտները</w:t>
      </w:r>
      <w:r w:rsidRPr="0005623F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1"/>
      </w:r>
      <w:r w:rsidR="00DA5F3B" w:rsidRPr="0005623F">
        <w:rPr>
          <w:rFonts w:ascii="GHEA Grapalat" w:eastAsia="GHEA Grapalat" w:hAnsi="GHEA Grapalat" w:cs="GHEA Grapalat"/>
          <w:sz w:val="24"/>
          <w:szCs w:val="24"/>
        </w:rPr>
        <w:t>։</w:t>
      </w: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 Որպես կանոն` ՓՄՁ սուբյեկտները չեն ունենում այնքան ազատ ֆինանսական միջոցներ կամ այլ կերպ այդ միջոցները ներգրավելու հնարավորություն, որ կարողանան մասնակցել առավել մեծ արժեքով գործարքների, որը թույլ կտար նրանց աճել:</w:t>
      </w:r>
    </w:p>
    <w:p w14:paraId="200A6076" w14:textId="2CAAC4EF" w:rsidR="00D61C0E" w:rsidRPr="0005623F" w:rsidRDefault="00D61C0E" w:rsidP="00700BE4">
      <w:pPr>
        <w:tabs>
          <w:tab w:val="left" w:pos="54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Նշված խնդրի լուծման նպատակով անհրաժեշտ է բարելավել ՓՄՁ-ների համար ֆինանսների հասանելիությունը: Որպես այդպիսի գործիք կարող է ծառայել ֆակտորինգը, որի կիրառությունը ներկայումս բավարար չէ:</w:t>
      </w:r>
    </w:p>
    <w:p w14:paraId="49236542" w14:textId="09D16CB7" w:rsidR="00D61C0E" w:rsidRPr="0005623F" w:rsidRDefault="00D61C0E" w:rsidP="00193686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Բանկերի և պետական գնումներին մասնակցող տ</w:t>
      </w:r>
      <w:r w:rsidR="003C1E3A" w:rsidRPr="0005623F">
        <w:rPr>
          <w:rFonts w:ascii="GHEA Grapalat" w:eastAsia="GHEA Grapalat" w:hAnsi="GHEA Grapalat" w:cs="GHEA Grapalat"/>
          <w:sz w:val="24"/>
          <w:szCs w:val="24"/>
        </w:rPr>
        <w:t>ն</w:t>
      </w:r>
      <w:r w:rsidRPr="0005623F">
        <w:rPr>
          <w:rFonts w:ascii="GHEA Grapalat" w:eastAsia="GHEA Grapalat" w:hAnsi="GHEA Grapalat" w:cs="GHEA Grapalat"/>
          <w:sz w:val="24"/>
          <w:szCs w:val="24"/>
        </w:rPr>
        <w:t>տեսավարողների  ներկայացուցիչների հետ քննարկումները ցույց են տալիս, որ առկա են որոշ խոչընդոտներ, որոնց լուծումն էապես կարող է մեծացնել ֆակտորինգի կիրառության ծավալները:</w:t>
      </w:r>
    </w:p>
    <w:p w14:paraId="6DF07F5F" w14:textId="070AEC80" w:rsidR="00D61C0E" w:rsidRPr="0005623F" w:rsidRDefault="00D61C0E" w:rsidP="00700B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Ֆակտորինգի կիրառության կարևորությունն ընդգծվել է նաև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ԱՄՆ ՄԶԳ «Հայաստանի գործարար միջավայրի բարելավում» ծրագրի կողմից մշակված «ՓՄՁ</w:t>
      </w:r>
      <w:r w:rsidRPr="0005623F">
        <w:rPr>
          <w:rFonts w:ascii="GHEA Grapalat" w:eastAsia="GHEA Grapalat" w:hAnsi="GHEA Grapalat" w:cs="GHEA Grapalat"/>
          <w:sz w:val="24"/>
          <w:szCs w:val="24"/>
        </w:rPr>
        <w:t>-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ների ներգրավվածությունը հանրային գնումներին. առկա իրավիճակը և խոչընդոտները» վերջնական հաշվետվությամբ` առաջարկելով «առևտրային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բանկերի հետ բանակցությունների արդյունքում ներդնել ֆակտորինգ հանրային գնումների պայմանագրերի համար»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footnoteReference w:id="2"/>
      </w:r>
      <w:r w:rsidR="006E0E16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3E535D04" w14:textId="6153DC48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Հարկ է նշել, որ գնման պայմանագրից ծագող դրամական պահանջի զիջման դիմաց ֆինանսավորման (ֆակտորինգի) պայմանագրի կնքման հնարավորությունը նախատեսված է մի շարք պետությունների օրենսդրությամբ, մասնավորապես ԱՄՆ դաշնային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3"/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Ֆրանսիայի Հանրապետության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4"/>
      </w:r>
      <w:r w:rsidR="006E0E16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ՌԴ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5"/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Ղազախստանի</w:t>
      </w:r>
      <w:r w:rsidR="00BD202B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Հանրապետության</w:t>
      </w:r>
      <w:r w:rsidR="00BD202B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t xml:space="preserve"> </w:t>
      </w:r>
      <w:r w:rsidR="003C1ABB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օրենսդրությամբ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6"/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14:paraId="1F2445E3" w14:textId="50DCE211" w:rsidR="00D61C0E" w:rsidRPr="0005623F" w:rsidRDefault="00D61C0E" w:rsidP="00700BE4">
      <w:pPr>
        <w:tabs>
          <w:tab w:val="left" w:pos="54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«Գնումների մասին» ՀՀ օրենքի 4-րդ հոդվածի համաձայն </w:t>
      </w:r>
      <w:r w:rsidR="009A772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նումների մասին Հայաստանի Հանրապետության օրենսդրությունը ներառում է Հայաստանի Հանրապետության քաղաքացիական օրենսգիրքը: Որպես քաղաքացիաիրավական պայմանագրի տարատեսակ հանդիսացող գնման պայմանագրի հիման վրա պահանջի իրավունք ունեցող անձ</w:t>
      </w:r>
      <w:r w:rsidR="00E200D1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՝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գնման պայմանագրի կողմ ընտրված մասնակիցն իրավունք ունի ՀՀ քաղաքացիական օրենսգրքի 48-րդ գլխով սահմանված դեպքերում և կարգով կնքել գնման պայմանագրից ծագող դրամական պահանջի զիջման դիմաց ֆինանսավորման (ֆակտորինգի) պայմանագիր:</w:t>
      </w:r>
    </w:p>
    <w:p w14:paraId="4D99CA5D" w14:textId="4CDB8D04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Այնուամենայնիվ</w:t>
      </w:r>
      <w:r w:rsidR="006E0E16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մատակարարների և ՀՀ ֆինանսական կազմակերպությունների հետ քննարկումները ցույց տվեցին, որ առկա են մի շարք տեխնիկական խնդիրներ, որոնք թույլ չեն տալիս լիակատար գործածել այս գործիքի հնարավորությունները:</w:t>
      </w:r>
    </w:p>
    <w:p w14:paraId="1FF534C5" w14:textId="77777777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Մասնավորապես խոսքը գնում է Հայաստանի Հանրապետության քաղաքացիական օրենսգրքի 898-րդ հոդվածով սահմանված ծանուցումը ներկայացնելու ժամկետի և հասցեատիրոջ մասին, ինչպես նաև նման ծանուցման հիման վրա վճարումն անմիջապես ֆինանսական գործակալին կատարելու համար անհրաժեշտ կարգավորումների մասին:</w:t>
      </w:r>
    </w:p>
    <w:p w14:paraId="1CF61B06" w14:textId="343D7BB0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Բացի այդ ֆինանսական կազմակերպությունների կողմից տեղեկատվության ստացման կառուցակարգերի բացակայությունը դժվարեցնում է նրանց կողմից վարկային ռիսկի ճիշտ գնահատումը և ևս մեկ խոչ</w:t>
      </w:r>
      <w:r w:rsidR="00E200D1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նդոտ է հանդիսանում ֆակտորինգի կիրառման համար:</w:t>
      </w:r>
    </w:p>
    <w:p w14:paraId="28776429" w14:textId="77777777" w:rsidR="00D61C0E" w:rsidRPr="0005623F" w:rsidRDefault="00D61C0E" w:rsidP="00700BE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74A4E77" w14:textId="13ADDBD0" w:rsidR="00D61C0E" w:rsidRPr="000436CD" w:rsidRDefault="00D61C0E" w:rsidP="004C2F7B">
      <w:pPr>
        <w:pStyle w:val="ListParagraph"/>
        <w:numPr>
          <w:ilvl w:val="0"/>
          <w:numId w:val="13"/>
        </w:numPr>
        <w:spacing w:after="0" w:line="360" w:lineRule="auto"/>
        <w:ind w:hanging="43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436CD">
        <w:rPr>
          <w:rFonts w:ascii="GHEA Grapalat" w:eastAsia="GHEA Grapalat" w:hAnsi="GHEA Grapalat" w:cs="GHEA Grapalat"/>
          <w:b/>
          <w:sz w:val="24"/>
          <w:szCs w:val="24"/>
        </w:rPr>
        <w:t>ԿԱՐԳԱՎՈՐՄԱՆ ՆՊԱՏԱԿՆԵՐԸ</w:t>
      </w:r>
    </w:p>
    <w:p w14:paraId="48B0EF57" w14:textId="74D731E7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2" w:name="_heading=h.30j0zll" w:colFirst="0" w:colLast="0"/>
      <w:bookmarkEnd w:id="2"/>
      <w:r w:rsidRPr="0005623F">
        <w:rPr>
          <w:rFonts w:ascii="GHEA Grapalat" w:eastAsia="GHEA Grapalat" w:hAnsi="GHEA Grapalat" w:cs="GHEA Grapalat"/>
          <w:sz w:val="24"/>
          <w:szCs w:val="24"/>
        </w:rPr>
        <w:t>Ելնելով վերոգրյալից` նախագծ</w:t>
      </w:r>
      <w:r w:rsidR="000436CD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նպատակն է ստեղծել պայմաններ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ՀՀ գնման պայմանագրից ծագող դրամական պահանջի զիջման դիմաց ֆինանսավորման (ֆակտորինգի) պայմանագրերի միջոցով գնումների մասնակիցների համար առավել նպաստավոր պայմաններով ֆինանսավորման հնարավորություններ ստեղծելու համար</w:t>
      </w:r>
      <w:r w:rsidRPr="0005623F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5BBD8F7" w14:textId="77777777" w:rsidR="006E0E16" w:rsidRPr="0005623F" w:rsidRDefault="006E0E16" w:rsidP="00700BE4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6DABAB7" w14:textId="5C476A44" w:rsidR="00D61C0E" w:rsidRPr="000436CD" w:rsidRDefault="00D61C0E" w:rsidP="000436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0436CD">
        <w:rPr>
          <w:rFonts w:ascii="GHEA Grapalat" w:eastAsia="GHEA Grapalat" w:hAnsi="GHEA Grapalat" w:cs="GHEA Grapalat"/>
          <w:b/>
          <w:sz w:val="24"/>
          <w:szCs w:val="24"/>
        </w:rPr>
        <w:t>ԱՌԱՋԱՐԿՎՈՂ ԿԱՐԳԱՎՈՐՈՒՄՆԵՐԸ</w:t>
      </w:r>
    </w:p>
    <w:p w14:paraId="5039DDB7" w14:textId="77777777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Նախագծով առաջարկվում է լրացումներ կատարել Հայաստանի Հանրապետության կառավարության 2017 թվականի մայիսի 4-ի «Գնումների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մասին» N 526-Ն որոշման 1-ին կետի 1-ին ենթակետով հաստատված կարգում, սահմանելով, որ.</w:t>
      </w:r>
    </w:p>
    <w:p w14:paraId="56FB8A26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Ընտրված մասնակիցն իրավունք ունի գնման պայմանագրի կնքումից հետո Հայաստանի Հանրապետության քաղաքացիական օրենսգրքի 48-րդ գլխով սահմանված դեպքերում և կարգով կնքել գնման պայմանագրից ծագող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դրամական պահանջի զիջման դիմաց ֆինանսավորման (ֆակտորինգի) պայմանագիր,</w:t>
      </w:r>
    </w:p>
    <w:p w14:paraId="0AEFB763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Նման պայմանագրի կնքման դեպքում ֆինանսական գործակալը պարտավոր է պատվիրատուին և Հայաստանի Հանրապետության ֆինանսների նախարարությանը ֆակտորինգի պայմանագրի կնքման պահից մեկ աշխատանքային օրվա ընթացքում գրավոր ծանուցել` Հայաստանի Հանրապետության քաղաքացիական օրենսգրքի 898-րդ հոդվածով սահմանված կարգով,</w:t>
      </w:r>
    </w:p>
    <w:p w14:paraId="295B13CD" w14:textId="3916FC2B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Պատվիրատուն կամ Հայաստանի Հանրապետության ֆինանսների նախարարության խնդրանքով</w:t>
      </w:r>
      <w:r w:rsidR="000436CD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ֆինանսական գործակալը</w:t>
      </w:r>
      <w:r w:rsidR="000436CD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պարտավոր է երեք աշխատանքային օրվա  ժամկետում նրանց ապացույց ներկայացնել այն մասին, որ դրամական պահանջի զիջումը ֆինանսական գործակալին իրականում տեղի է ունեցել: Եթե ֆինանսական գործակալը չի կատարում այդ պահանջը, տվյալ պահանջով վճարումն իրականացվում է  ընտրված մասնակցին` ի կատարումն վերջինիս հանդեպ ունեցած պարտավորության,</w:t>
      </w:r>
    </w:p>
    <w:p w14:paraId="26137A36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Ֆինանսական գործակալն իրավունք ունի պատվիրատուից կամ Հայաստանի Հանրապետության ֆինանսների նախարարությունից պահանջել և ստանալ Ֆակտորինգի պայմանագրի առարկա հանդիսացող պահանջի համար հիմք հանդիսացած գնման պայմանագրի, ներառյալ դրա կատարման վերաբերյալ տեղեկատվություն, բացառությամբ Հայաստանի Հանրապետության օրենսդրությամբ սահմանված դեպքերի,</w:t>
      </w:r>
    </w:p>
    <w:p w14:paraId="5444422E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Ֆակտորինգի պայմանագրի կնքման մասին ծանուցում ստացած լինելու դեպքում լիազորված մարմինը վճարումը կատարում է ֆինանսական գործակալին:</w:t>
      </w:r>
    </w:p>
    <w:p w14:paraId="59ABD35F" w14:textId="77777777" w:rsidR="00D61C0E" w:rsidRPr="0005623F" w:rsidRDefault="00D61C0E" w:rsidP="00700BE4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2FD8DC99" w14:textId="45073F96" w:rsidR="00D61C0E" w:rsidRPr="000436CD" w:rsidRDefault="00D61C0E" w:rsidP="000436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436CD">
        <w:rPr>
          <w:rFonts w:ascii="GHEA Grapalat" w:eastAsia="GHEA Grapalat" w:hAnsi="GHEA Grapalat" w:cs="GHEA Grapalat"/>
          <w:b/>
          <w:sz w:val="24"/>
          <w:szCs w:val="24"/>
        </w:rPr>
        <w:t>ԱԿՆԿԱԼՎՈՂ ԱՐԴՅՈՒՆՔՆԵՐԸ</w:t>
      </w:r>
    </w:p>
    <w:p w14:paraId="2D93A171" w14:textId="10CE3F68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Ակնկալվում է, որ նախագծի ընդունմամբ կստեղծվեն պայմաններ գնման պայմանագրից ծագող դրամական պահանջի զիջման դիմաց ֆինանսավորման </w:t>
      </w:r>
      <w:r w:rsidRPr="0005623F">
        <w:rPr>
          <w:rFonts w:ascii="GHEA Grapalat" w:eastAsia="GHEA Grapalat" w:hAnsi="GHEA Grapalat" w:cs="GHEA Grapalat"/>
          <w:sz w:val="24"/>
          <w:szCs w:val="24"/>
        </w:rPr>
        <w:lastRenderedPageBreak/>
        <w:t>(ֆակտորինգի) պայմանագրերի միջոցով գնումների մասնակիցների համար առավել նպաստավոր պայմաններով ֆինանսավորման հնարավորություններ ստեղծելու համար:</w:t>
      </w:r>
    </w:p>
    <w:p w14:paraId="41D3E2E9" w14:textId="77777777" w:rsidR="00D61C0E" w:rsidRPr="0005623F" w:rsidRDefault="00D61C0E" w:rsidP="00700BE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4FD0554F" w14:textId="70806C8E" w:rsidR="00D61C0E" w:rsidRPr="0005623F" w:rsidRDefault="00D61C0E" w:rsidP="00700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ԿԱՊԸ ՌԱԶՄԱՎԱՐԱԿԱՆ ՓԱՍՏԱԹՂԹԵՐԻ ՀԵՏ</w:t>
      </w:r>
    </w:p>
    <w:p w14:paraId="0665A686" w14:textId="2C29E525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Նախագծի ընդունումը ապահովում է «Փոքր և միջին ձեռնարկատիրության զարգացման 2020-2024 թվականների ռազմավարությունը և դրանից բխող 2020-2022 թվականների գործողությունների ծրագիրը հաստատելու մասին» Հայաստանի Հանրապետության կառավարության 2020 թվականի օգոստոսի 27–ի №1443-Լ որոշման Հավելված №2–ի 3.6 կետի (</w:t>
      </w:r>
      <w:r w:rsidR="009F7E41" w:rsidRPr="0005623F">
        <w:rPr>
          <w:rFonts w:ascii="GHEA Grapalat" w:eastAsia="GHEA Grapalat" w:hAnsi="GHEA Grapalat" w:cs="GHEA Grapalat"/>
          <w:sz w:val="24"/>
          <w:szCs w:val="24"/>
        </w:rPr>
        <w:t>խ</w:t>
      </w:r>
      <w:r w:rsidRPr="0005623F">
        <w:rPr>
          <w:rFonts w:ascii="GHEA Grapalat" w:eastAsia="GHEA Grapalat" w:hAnsi="GHEA Grapalat" w:cs="GHEA Grapalat"/>
          <w:sz w:val="24"/>
          <w:szCs w:val="24"/>
        </w:rPr>
        <w:t>թանել ՓՄՁ-ների մասնակցությունը պետական գնումներին) և 1.2.1</w:t>
      </w:r>
      <w:r w:rsidRPr="0005623F">
        <w:rPr>
          <w:rFonts w:ascii="GHEA Grapalat" w:eastAsia="GHEA Grapalat" w:hAnsi="GHEA Grapalat" w:cs="GHEA Grapalat"/>
          <w:sz w:val="24"/>
          <w:szCs w:val="24"/>
        </w:rPr>
        <w:tab/>
        <w:t>կետի (</w:t>
      </w:r>
      <w:r w:rsidR="009F7E41" w:rsidRPr="0005623F">
        <w:rPr>
          <w:rFonts w:ascii="GHEA Grapalat" w:eastAsia="GHEA Grapalat" w:hAnsi="GHEA Grapalat" w:cs="GHEA Grapalat"/>
          <w:sz w:val="24"/>
          <w:szCs w:val="24"/>
        </w:rPr>
        <w:t>ա</w:t>
      </w:r>
      <w:r w:rsidRPr="0005623F">
        <w:rPr>
          <w:rFonts w:ascii="GHEA Grapalat" w:eastAsia="GHEA Grapalat" w:hAnsi="GHEA Grapalat" w:cs="GHEA Grapalat"/>
          <w:sz w:val="24"/>
          <w:szCs w:val="24"/>
        </w:rPr>
        <w:t>կտիվների հիմքով ֆինանսավորման (ֆակտորինգ, առևտրի ֆինանսավորում) կիրառության համար նպաստավոր միջավայրի (այդ թվում օրենսդրական) խոչընդոտների դուրս բերում) դրույթների կատարումը։</w:t>
      </w:r>
    </w:p>
    <w:p w14:paraId="04B20899" w14:textId="77777777" w:rsidR="00D61C0E" w:rsidRPr="0005623F" w:rsidRDefault="00D61C0E" w:rsidP="006E0E16">
      <w:pPr>
        <w:tabs>
          <w:tab w:val="left" w:pos="1650"/>
        </w:tabs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ab/>
      </w:r>
    </w:p>
    <w:p w14:paraId="3D00859D" w14:textId="6D600C8D" w:rsidR="00D61C0E" w:rsidRPr="0005623F" w:rsidRDefault="00D61C0E" w:rsidP="006E0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ՆԱԽԱԳԻԾԸ ՄՇԱԿՈՂ ՄԱՐՄԻՆՆԵՐ</w:t>
      </w:r>
      <w:r w:rsidR="000436C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14:paraId="58129C12" w14:textId="2FB96DB3" w:rsidR="00D61C0E" w:rsidRDefault="000436CD" w:rsidP="000436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Նախագիծը մշակվել է ՀՀ Էկոնոմիկայի նախարարության, </w:t>
      </w:r>
      <w:r w:rsidR="00D61C0E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Վերակառուցմա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D61C0E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Զարգացման Եվրոպական Բանկի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r w:rsidR="00D61C0E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Ներդրումային Խորհրդի կողմից:</w:t>
      </w:r>
    </w:p>
    <w:p w14:paraId="72385B85" w14:textId="77777777" w:rsidR="000436CD" w:rsidRDefault="000436CD" w:rsidP="00260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3E5C136" w14:textId="40E16A66" w:rsidR="00E56D17" w:rsidRPr="000436CD" w:rsidRDefault="00E56D17" w:rsidP="000436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GHEA Grapalat" w:eastAsia="GHEA Grapalat" w:hAnsi="GHEA Grapalat" w:cs="Cambria Math"/>
          <w:b/>
          <w:bCs/>
          <w:color w:val="000000"/>
          <w:sz w:val="24"/>
          <w:szCs w:val="24"/>
        </w:rPr>
      </w:pPr>
      <w:r w:rsidRPr="000436C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0436C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14:paraId="4CBCE193" w14:textId="3EC3363D" w:rsidR="00E56D17" w:rsidRPr="00E56D17" w:rsidRDefault="00E56D17" w:rsidP="004C2F7B">
      <w:pPr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6D17">
        <w:rPr>
          <w:rFonts w:ascii="GHEA Grapalat" w:hAnsi="GHEA Grapalat"/>
          <w:bCs/>
          <w:sz w:val="24"/>
          <w:szCs w:val="24"/>
        </w:rPr>
        <w:t xml:space="preserve">Նախագծի ընդունումը ՀՀ պետական և տեղական ինքնակառավարման մարմինների բյուջեներում </w:t>
      </w:r>
      <w:r w:rsidR="004C2F7B" w:rsidRPr="00E56D17">
        <w:rPr>
          <w:rFonts w:ascii="GHEA Grapalat" w:hAnsi="GHEA Grapalat"/>
          <w:bCs/>
          <w:sz w:val="24"/>
          <w:szCs w:val="24"/>
        </w:rPr>
        <w:t>լրացուցիչ</w:t>
      </w:r>
      <w:r w:rsidR="004C2F7B" w:rsidRPr="00E56D17">
        <w:rPr>
          <w:rFonts w:ascii="GHEA Grapalat" w:hAnsi="GHEA Grapalat"/>
          <w:bCs/>
          <w:sz w:val="24"/>
          <w:szCs w:val="24"/>
        </w:rPr>
        <w:t xml:space="preserve"> </w:t>
      </w:r>
      <w:r w:rsidRPr="00E56D17">
        <w:rPr>
          <w:rFonts w:ascii="GHEA Grapalat" w:hAnsi="GHEA Grapalat"/>
          <w:bCs/>
          <w:sz w:val="24"/>
          <w:szCs w:val="24"/>
        </w:rPr>
        <w:t xml:space="preserve">ֆինանսական միջոցների վերաբաշխման անհրաժեշտություն չի առաջացնում։ </w:t>
      </w:r>
    </w:p>
    <w:sectPr w:rsidR="00E56D17" w:rsidRPr="00E5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0823" w14:textId="77777777" w:rsidR="00794692" w:rsidRDefault="00794692" w:rsidP="00D61C0E">
      <w:pPr>
        <w:spacing w:after="0" w:line="240" w:lineRule="auto"/>
      </w:pPr>
      <w:r>
        <w:separator/>
      </w:r>
    </w:p>
  </w:endnote>
  <w:endnote w:type="continuationSeparator" w:id="0">
    <w:p w14:paraId="7B45154E" w14:textId="77777777" w:rsidR="00794692" w:rsidRDefault="00794692" w:rsidP="00D6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1887" w14:textId="77777777" w:rsidR="00794692" w:rsidRDefault="00794692" w:rsidP="00D61C0E">
      <w:pPr>
        <w:spacing w:after="0" w:line="240" w:lineRule="auto"/>
      </w:pPr>
      <w:r>
        <w:separator/>
      </w:r>
    </w:p>
  </w:footnote>
  <w:footnote w:type="continuationSeparator" w:id="0">
    <w:p w14:paraId="342ADA25" w14:textId="77777777" w:rsidR="00794692" w:rsidRDefault="00794692" w:rsidP="00D61C0E">
      <w:pPr>
        <w:spacing w:after="0" w:line="240" w:lineRule="auto"/>
      </w:pPr>
      <w:r>
        <w:continuationSeparator/>
      </w:r>
    </w:p>
  </w:footnote>
  <w:footnote w:id="1">
    <w:p w14:paraId="056289F9" w14:textId="77777777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hyperlink r:id="rId1">
        <w:r w:rsidRPr="0005623F">
          <w:rPr>
            <w:rFonts w:ascii="GHEA Grapalat" w:hAnsi="GHEA Grapalat"/>
            <w:color w:val="0000FF"/>
            <w:sz w:val="20"/>
            <w:szCs w:val="20"/>
            <w:u w:val="single"/>
          </w:rPr>
          <w:t>https://www.oecd.org/south-east-europe/programme/OECD-Public-Procurement-Policy-Briefing-Note.pdf</w:t>
        </w:r>
      </w:hyperlink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</w:p>
  </w:footnote>
  <w:footnote w:id="2">
    <w:p w14:paraId="1B4D139C" w14:textId="7AA8538D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bookmarkStart w:id="0" w:name="_Hlk136429612"/>
      <w:r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Pr="0005623F">
        <w:rPr>
          <w:rFonts w:ascii="GHEA Grapalat" w:hAnsi="GHEA Grapalat"/>
          <w:color w:val="000000"/>
          <w:sz w:val="20"/>
          <w:szCs w:val="20"/>
        </w:rPr>
        <w:t>ս ԱՄՆ ՄԶԳ «Հայաստանի գործարար միջավայրի բարելավում» ծրագրի կողմից մշակված «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ՓՄՁ-ների ներգրավվածությունը հանրային գնումներին. առկա իրավիճակը եվ խոչընդոտները»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վ</w:t>
      </w:r>
      <w:r w:rsidRPr="0005623F">
        <w:rPr>
          <w:rFonts w:ascii="GHEA Grapalat" w:hAnsi="GHEA Grapalat"/>
          <w:color w:val="000000"/>
          <w:sz w:val="20"/>
          <w:szCs w:val="20"/>
        </w:rPr>
        <w:t>երջնական</w:t>
      </w:r>
      <w:r w:rsidRPr="0005623F">
        <w:rPr>
          <w:rFonts w:ascii="GHEA Grapalat" w:hAnsi="GHEA Grapalat"/>
          <w:sz w:val="20"/>
          <w:szCs w:val="20"/>
        </w:rPr>
        <w:t xml:space="preserve">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հ</w:t>
      </w:r>
      <w:r w:rsidRPr="0005623F">
        <w:rPr>
          <w:rFonts w:ascii="GHEA Grapalat" w:hAnsi="GHEA Grapalat"/>
          <w:color w:val="000000"/>
          <w:sz w:val="20"/>
          <w:szCs w:val="20"/>
        </w:rPr>
        <w:t>աշվետվությունը:</w:t>
      </w:r>
      <w:bookmarkEnd w:id="0"/>
    </w:p>
  </w:footnote>
  <w:footnote w:id="3">
    <w:p w14:paraId="76F5FA2C" w14:textId="6AE615E2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Pr="0005623F">
        <w:rPr>
          <w:rFonts w:ascii="GHEA Grapalat" w:hAnsi="GHEA Grapalat"/>
          <w:color w:val="000000"/>
          <w:sz w:val="20"/>
          <w:szCs w:val="20"/>
        </w:rPr>
        <w:t>ս 41 U.S. Code § 6305 (b) (1)</w:t>
      </w:r>
    </w:p>
  </w:footnote>
  <w:footnote w:id="4">
    <w:p w14:paraId="558B5428" w14:textId="7FA4A8A1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bookmarkStart w:id="1" w:name="_Hlk146892900"/>
      <w:r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Pr="0005623F">
        <w:rPr>
          <w:rFonts w:ascii="GHEA Grapalat" w:hAnsi="GHEA Grapalat"/>
          <w:color w:val="000000"/>
          <w:sz w:val="20"/>
          <w:szCs w:val="20"/>
        </w:rPr>
        <w:t>ս</w:t>
      </w:r>
      <w:bookmarkEnd w:id="1"/>
      <w:r w:rsidRPr="0005623F">
        <w:rPr>
          <w:rFonts w:ascii="GHEA Grapalat" w:hAnsi="GHEA Grapalat"/>
          <w:color w:val="000000"/>
          <w:sz w:val="20"/>
          <w:szCs w:val="20"/>
        </w:rPr>
        <w:t xml:space="preserve"> ԱՄՆ ՄԶԳ «Հայաստանի գործարար միջավայրի բարելավում» ծրագրի կողմից մշակված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 «ՓՄՁ-ների ներգրավվածությունը հանրային գնումներին. առկա իրավիճակը եվ խոչընդոտները»</w:t>
      </w:r>
      <w:r w:rsidR="000F4927" w:rsidRPr="0005623F">
        <w:rPr>
          <w:rFonts w:ascii="GHEA Grapalat" w:hAnsi="GHEA Grapalat"/>
          <w:sz w:val="20"/>
          <w:szCs w:val="20"/>
        </w:rPr>
        <w:t xml:space="preserve">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վ</w:t>
      </w:r>
      <w:r w:rsidRPr="0005623F">
        <w:rPr>
          <w:rFonts w:ascii="GHEA Grapalat" w:hAnsi="GHEA Grapalat"/>
          <w:color w:val="000000"/>
          <w:sz w:val="20"/>
          <w:szCs w:val="20"/>
        </w:rPr>
        <w:t>երջնական</w:t>
      </w:r>
      <w:r w:rsidRPr="0005623F">
        <w:rPr>
          <w:rFonts w:ascii="GHEA Grapalat" w:hAnsi="GHEA Grapalat"/>
          <w:sz w:val="20"/>
          <w:szCs w:val="20"/>
        </w:rPr>
        <w:t xml:space="preserve">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հ</w:t>
      </w:r>
      <w:r w:rsidRPr="0005623F">
        <w:rPr>
          <w:rFonts w:ascii="GHEA Grapalat" w:hAnsi="GHEA Grapalat"/>
          <w:color w:val="000000"/>
          <w:sz w:val="20"/>
          <w:szCs w:val="20"/>
        </w:rPr>
        <w:t>աշվետվությունը:</w:t>
      </w:r>
    </w:p>
  </w:footnote>
  <w:footnote w:id="5">
    <w:p w14:paraId="5D286B34" w14:textId="0A12EFE6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ս </w:t>
      </w:r>
      <w:r w:rsidRPr="0005623F">
        <w:rPr>
          <w:rFonts w:ascii="GHEA Grapalat" w:hAnsi="GHEA Grapalat"/>
          <w:color w:val="000000"/>
          <w:sz w:val="20"/>
          <w:szCs w:val="20"/>
        </w:rPr>
        <w:t>մասնավորապես ՌԴ Գերագույն դատարանի 23.04.2019 թ. N АКПИ19-112 որոշումը,</w:t>
      </w:r>
    </w:p>
  </w:footnote>
  <w:footnote w:id="6">
    <w:p w14:paraId="72A5A093" w14:textId="2661C3F7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ս </w:t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մասնավորապես Ղազախստանի Հանրապետության «Պետական գնումների մասին» օրենքի 45-րդ հոդվածը,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4B1"/>
    <w:multiLevelType w:val="multilevel"/>
    <w:tmpl w:val="C9E03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FE1E64"/>
    <w:multiLevelType w:val="hybridMultilevel"/>
    <w:tmpl w:val="3650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07D"/>
    <w:multiLevelType w:val="multilevel"/>
    <w:tmpl w:val="5BDA3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150E9D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0BA"/>
    <w:multiLevelType w:val="hybridMultilevel"/>
    <w:tmpl w:val="F770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4C6"/>
    <w:multiLevelType w:val="multilevel"/>
    <w:tmpl w:val="A0042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9E45D6"/>
    <w:multiLevelType w:val="multilevel"/>
    <w:tmpl w:val="A0042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1A3CDC"/>
    <w:multiLevelType w:val="multilevel"/>
    <w:tmpl w:val="902EB6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F712E3"/>
    <w:multiLevelType w:val="multilevel"/>
    <w:tmpl w:val="C9E03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81279E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25D2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482B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94A9F"/>
    <w:multiLevelType w:val="multilevel"/>
    <w:tmpl w:val="208285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0466A45"/>
    <w:multiLevelType w:val="hybridMultilevel"/>
    <w:tmpl w:val="4B6A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9479">
    <w:abstractNumId w:val="10"/>
  </w:num>
  <w:num w:numId="2" w16cid:durableId="1666133016">
    <w:abstractNumId w:val="7"/>
  </w:num>
  <w:num w:numId="3" w16cid:durableId="1375277637">
    <w:abstractNumId w:val="4"/>
  </w:num>
  <w:num w:numId="4" w16cid:durableId="2146505127">
    <w:abstractNumId w:val="13"/>
  </w:num>
  <w:num w:numId="5" w16cid:durableId="1932273752">
    <w:abstractNumId w:val="1"/>
  </w:num>
  <w:num w:numId="6" w16cid:durableId="454911424">
    <w:abstractNumId w:val="9"/>
  </w:num>
  <w:num w:numId="7" w16cid:durableId="1067072177">
    <w:abstractNumId w:val="3"/>
  </w:num>
  <w:num w:numId="8" w16cid:durableId="1180316877">
    <w:abstractNumId w:val="11"/>
  </w:num>
  <w:num w:numId="9" w16cid:durableId="828524191">
    <w:abstractNumId w:val="0"/>
  </w:num>
  <w:num w:numId="10" w16cid:durableId="1530798019">
    <w:abstractNumId w:val="8"/>
  </w:num>
  <w:num w:numId="11" w16cid:durableId="145971867">
    <w:abstractNumId w:val="6"/>
  </w:num>
  <w:num w:numId="12" w16cid:durableId="1912888259">
    <w:abstractNumId w:val="5"/>
  </w:num>
  <w:num w:numId="13" w16cid:durableId="741559513">
    <w:abstractNumId w:val="12"/>
  </w:num>
  <w:num w:numId="14" w16cid:durableId="138491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D8"/>
    <w:rsid w:val="000436CD"/>
    <w:rsid w:val="0005623F"/>
    <w:rsid w:val="000F4927"/>
    <w:rsid w:val="00166662"/>
    <w:rsid w:val="00193686"/>
    <w:rsid w:val="00260641"/>
    <w:rsid w:val="00262A0B"/>
    <w:rsid w:val="0028015E"/>
    <w:rsid w:val="00295C2C"/>
    <w:rsid w:val="002E4FBD"/>
    <w:rsid w:val="003059D8"/>
    <w:rsid w:val="003C1ABB"/>
    <w:rsid w:val="003C1E3A"/>
    <w:rsid w:val="003C5A0C"/>
    <w:rsid w:val="004C2F7B"/>
    <w:rsid w:val="006E0E16"/>
    <w:rsid w:val="00700BE4"/>
    <w:rsid w:val="007704CE"/>
    <w:rsid w:val="007859A4"/>
    <w:rsid w:val="00794692"/>
    <w:rsid w:val="008A042B"/>
    <w:rsid w:val="0097093C"/>
    <w:rsid w:val="009A7721"/>
    <w:rsid w:val="009C6496"/>
    <w:rsid w:val="009F3E37"/>
    <w:rsid w:val="009F7E41"/>
    <w:rsid w:val="00AF14B2"/>
    <w:rsid w:val="00B36767"/>
    <w:rsid w:val="00BB27B0"/>
    <w:rsid w:val="00BD202B"/>
    <w:rsid w:val="00CA56BB"/>
    <w:rsid w:val="00D61C0E"/>
    <w:rsid w:val="00D810EC"/>
    <w:rsid w:val="00DA5F3B"/>
    <w:rsid w:val="00DE16D8"/>
    <w:rsid w:val="00E200D1"/>
    <w:rsid w:val="00E56D17"/>
    <w:rsid w:val="00F6424B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D6A07"/>
  <w15:chartTrackingRefBased/>
  <w15:docId w15:val="{5C27A96D-7C69-41B6-8DAA-FA60F69F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0E"/>
    <w:rPr>
      <w:rFonts w:ascii="Calibri" w:eastAsia="Calibri" w:hAnsi="Calibri" w:cs="Calibri"/>
      <w:kern w:val="0"/>
      <w:lang w:val="hy-A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61C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1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C0E"/>
    <w:rPr>
      <w:rFonts w:ascii="Calibri" w:eastAsia="Calibri" w:hAnsi="Calibri" w:cs="Calibri"/>
      <w:kern w:val="0"/>
      <w:sz w:val="20"/>
      <w:szCs w:val="20"/>
      <w:lang w:val="hy-AM"/>
      <w14:ligatures w14:val="none"/>
    </w:rPr>
  </w:style>
  <w:style w:type="paragraph" w:styleId="ListParagraph">
    <w:name w:val="List Paragraph"/>
    <w:basedOn w:val="Normal"/>
    <w:uiPriority w:val="34"/>
    <w:qFormat/>
    <w:rsid w:val="006E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86"/>
    <w:rPr>
      <w:rFonts w:ascii="Segoe UI" w:eastAsia="Calibri" w:hAnsi="Segoe UI" w:cs="Segoe UI"/>
      <w:kern w:val="0"/>
      <w:sz w:val="18"/>
      <w:szCs w:val="18"/>
      <w:lang w:val="hy-AM"/>
      <w14:ligatures w14:val="none"/>
    </w:rPr>
  </w:style>
  <w:style w:type="paragraph" w:styleId="Revision">
    <w:name w:val="Revision"/>
    <w:hidden/>
    <w:uiPriority w:val="99"/>
    <w:semiHidden/>
    <w:rsid w:val="00295C2C"/>
    <w:pPr>
      <w:spacing w:after="0" w:line="240" w:lineRule="auto"/>
    </w:pPr>
    <w:rPr>
      <w:rFonts w:ascii="Calibri" w:eastAsia="Calibri" w:hAnsi="Calibri" w:cs="Calibri"/>
      <w:kern w:val="0"/>
      <w:lang w:val="hy-AM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south-east-europe/programme/OECD-Public-Procurement-Policy-Briefing-No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S. Hovhannisyan</dc:creator>
  <cp:keywords/>
  <dc:description/>
  <cp:lastModifiedBy>Hasmik H. Misakyan</cp:lastModifiedBy>
  <cp:revision>7</cp:revision>
  <dcterms:created xsi:type="dcterms:W3CDTF">2023-09-29T11:30:00Z</dcterms:created>
  <dcterms:modified xsi:type="dcterms:W3CDTF">2023-10-06T06:45:00Z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bf133b01971a26fd6e02557045834b2c0f64c4162fcbb832c2a7157d0299da10</vt:lpwstr>
  </property>
</Properties>
</file>