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7A" w:rsidRDefault="00B25E7A" w:rsidP="00B25E7A">
      <w:pPr>
        <w:jc w:val="center"/>
        <w:rPr>
          <w:rFonts w:ascii="GHEA Grapalat" w:hAnsi="GHEA Grapalat"/>
          <w:sz w:val="24"/>
          <w:szCs w:val="24"/>
        </w:rPr>
      </w:pPr>
      <w:r>
        <w:rPr>
          <w:rFonts w:ascii="GHEA Grapalat" w:hAnsi="GHEA Grapalat"/>
          <w:b/>
          <w:bCs/>
          <w:sz w:val="24"/>
          <w:szCs w:val="24"/>
        </w:rPr>
        <w:t>Հ Ի Մ Ն Ա Վ Ո Ր ՈՒ Մ</w:t>
      </w:r>
    </w:p>
    <w:p w:rsidR="00B25E7A" w:rsidRPr="00B25E7A" w:rsidRDefault="00B25E7A" w:rsidP="00B25E7A">
      <w:pPr>
        <w:spacing w:after="0" w:line="360" w:lineRule="auto"/>
        <w:jc w:val="center"/>
        <w:rPr>
          <w:rFonts w:ascii="GHEA Grapalat" w:eastAsiaTheme="minorHAnsi" w:hAnsi="GHEA Grapalat" w:cstheme="minorBidi"/>
          <w:b/>
          <w:sz w:val="24"/>
          <w:szCs w:val="24"/>
          <w:lang w:val="hy-AM"/>
        </w:rPr>
      </w:pPr>
      <w:r>
        <w:rPr>
          <w:rFonts w:ascii="GHEA Grapalat" w:eastAsia="Times New Roman" w:hAnsi="GHEA Grapalat"/>
          <w:b/>
          <w:bCs/>
          <w:color w:val="000000"/>
          <w:sz w:val="24"/>
          <w:szCs w:val="24"/>
          <w:lang w:val="hy-AM"/>
        </w:rPr>
        <w:t>«</w:t>
      </w:r>
      <w:r w:rsidRPr="00B25E7A">
        <w:rPr>
          <w:rFonts w:ascii="GHEA Grapalat" w:eastAsiaTheme="minorHAnsi" w:hAnsi="GHEA Grapalat" w:cstheme="minorBidi"/>
          <w:b/>
          <w:bCs/>
          <w:sz w:val="24"/>
          <w:szCs w:val="24"/>
          <w:lang w:val="hy-AM"/>
        </w:rPr>
        <w:t>ՀՐԱԳՈՐԾԱԿԱՆ ԱՐՏԱԴՐԱՏԵՍԱԿՆԵՐԻ ԱՐՏԱԴՐՈՒԹՅԱՆ, ՆԵՐՄՈՒԾՄԱՆ ԿԱՄ ԱՐՏԱՀԱՆՄԱՆ ԼԻՑԵՆԶԱՎՈՐՄԱՆ ԿԱՐԳՆ ՈՒ ԼԻՑԵՆԶԻԱՅԻ ՁԵՎԵՐԸ ՀԱՍՏԱՏԵԼՈՒ</w:t>
      </w:r>
      <w:r w:rsidRPr="00B25E7A">
        <w:rPr>
          <w:rFonts w:ascii="Courier New" w:eastAsiaTheme="minorHAnsi" w:hAnsi="Courier New" w:cs="Courier New"/>
          <w:b/>
          <w:bCs/>
          <w:sz w:val="24"/>
          <w:szCs w:val="24"/>
          <w:lang w:val="hy-AM"/>
        </w:rPr>
        <w:t> </w:t>
      </w:r>
      <w:r w:rsidRPr="00B25E7A">
        <w:rPr>
          <w:rFonts w:ascii="GHEA Grapalat" w:eastAsiaTheme="minorHAnsi" w:hAnsi="GHEA Grapalat" w:cstheme="minorBidi"/>
          <w:b/>
          <w:bCs/>
          <w:sz w:val="24"/>
          <w:szCs w:val="24"/>
          <w:lang w:val="hy-AM"/>
        </w:rPr>
        <w:t>ՄԱՍԻՆ</w:t>
      </w:r>
      <w:r>
        <w:rPr>
          <w:rFonts w:ascii="GHEA Grapalat" w:eastAsia="Times New Roman" w:hAnsi="GHEA Grapalat" w:cs="GHEA Grapalat"/>
          <w:b/>
          <w:bCs/>
          <w:color w:val="000000"/>
          <w:sz w:val="24"/>
          <w:szCs w:val="24"/>
          <w:lang w:val="hy-AM"/>
        </w:rPr>
        <w:t>» ՀՀ ԿԱՌԱՎԱՐՈՒԹՅԱՆ ՈՐՈՇՄԱՆ ՆԱԽԱԳԾԻ ՎԵՐԱԲԵՐՅԱԼ</w:t>
      </w:r>
    </w:p>
    <w:p w:rsidR="00B25E7A" w:rsidRDefault="00B25E7A" w:rsidP="00B25E7A">
      <w:pPr>
        <w:jc w:val="both"/>
        <w:rPr>
          <w:rFonts w:ascii="GHEA Grapalat" w:hAnsi="GHEA Grapalat"/>
          <w:sz w:val="24"/>
          <w:szCs w:val="24"/>
        </w:rPr>
      </w:pPr>
      <w:r>
        <w:rPr>
          <w:rFonts w:ascii="Courier New" w:hAnsi="Courier New" w:cs="Courier New"/>
          <w:b/>
          <w:bCs/>
          <w:sz w:val="24"/>
          <w:szCs w:val="24"/>
        </w:rPr>
        <w:t> </w:t>
      </w:r>
    </w:p>
    <w:p w:rsidR="00B25E7A" w:rsidRDefault="00B25E7A" w:rsidP="00B25E7A">
      <w:pPr>
        <w:spacing w:after="0" w:line="360" w:lineRule="auto"/>
        <w:ind w:firstLine="708"/>
        <w:jc w:val="both"/>
        <w:rPr>
          <w:rFonts w:ascii="GHEA Grapalat" w:hAnsi="GHEA Grapalat"/>
          <w:b/>
          <w:sz w:val="24"/>
          <w:szCs w:val="24"/>
          <w:lang w:val="hy-AM"/>
        </w:rPr>
      </w:pPr>
    </w:p>
    <w:p w:rsidR="00B25E7A" w:rsidRDefault="00B25E7A" w:rsidP="00B25E7A">
      <w:pPr>
        <w:spacing w:after="0" w:line="360" w:lineRule="auto"/>
        <w:ind w:firstLine="708"/>
        <w:jc w:val="both"/>
        <w:rPr>
          <w:rFonts w:ascii="GHEA Grapalat" w:hAnsi="GHEA Grapalat"/>
          <w:sz w:val="24"/>
          <w:szCs w:val="24"/>
          <w:lang w:val="hy-AM"/>
        </w:rPr>
      </w:pPr>
      <w:r>
        <w:rPr>
          <w:rFonts w:ascii="GHEA Grapalat" w:hAnsi="GHEA Grapalat"/>
          <w:b/>
          <w:sz w:val="24"/>
          <w:szCs w:val="24"/>
          <w:lang w:val="hy-AM"/>
        </w:rPr>
        <w:t xml:space="preserve">1. </w:t>
      </w:r>
      <w:r>
        <w:rPr>
          <w:rFonts w:ascii="GHEA Grapalat" w:hAnsi="GHEA Grapalat" w:cs="Sylfaen"/>
          <w:b/>
          <w:sz w:val="24"/>
          <w:szCs w:val="24"/>
          <w:u w:val="single"/>
          <w:lang w:val="hy-AM"/>
        </w:rPr>
        <w:t>Ընթացիկ իրավիճակը և իրավական ակտի ընդունման անհրաժեշտությունը</w:t>
      </w:r>
      <w:r>
        <w:rPr>
          <w:rFonts w:ascii="Cambria Math" w:hAnsi="Cambria Math" w:cs="Sylfaen"/>
          <w:b/>
          <w:sz w:val="24"/>
          <w:szCs w:val="24"/>
          <w:u w:val="single"/>
          <w:lang w:val="hy-AM"/>
        </w:rPr>
        <w:t>․</w:t>
      </w:r>
      <w:r>
        <w:rPr>
          <w:rFonts w:ascii="GHEA Grapalat" w:hAnsi="GHEA Grapalat"/>
          <w:sz w:val="24"/>
          <w:szCs w:val="24"/>
          <w:lang w:val="hy-AM"/>
        </w:rPr>
        <w:t xml:space="preserve">  </w:t>
      </w:r>
    </w:p>
    <w:p w:rsidR="00B25E7A" w:rsidRDefault="00B25E7A" w:rsidP="00B25E7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2023 թվականի հուլիսի 13-ին Ազգային ժողովի կողմից ընդունվել է «Լիցենզավորման մասին» օրենքում փոփոխություններ և լրացումներ կատարելու մասին» ՀՕ-255-Ն օրենքը (այսուհետ՝ Օրենք), որի համաձայն՝ հրագործական արտադրատեսակների արտադրությունը, ներմուծումը, արտահանումը, առևտուրը (իրացումը), պահեստավորումը, տեղափոխումը, կիրառումը դարձել են լիցենզավորման ենթակա գործունեության տեսակներ։ </w:t>
      </w:r>
    </w:p>
    <w:p w:rsidR="00B25E7A" w:rsidRDefault="00B25E7A" w:rsidP="00B25E7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Մինչև Օրենքի ընդունումը հրագործական արտադրատեսակների արտադրության, ներմուծման, արտահանման, առևտրի (իրացման), պահեստավորման, տեղափոխման, կիրառման դեպքում լիցենզավորում չի պահանջվել։ Հրագործական նյութերի արտադրությունը, ներմուծումը և առևտուրն իրականացվել են «Գործունեության</w:t>
      </w:r>
      <w:r>
        <w:rPr>
          <w:rFonts w:ascii="Courier New" w:hAnsi="Courier New" w:cs="Courier New"/>
          <w:sz w:val="24"/>
          <w:szCs w:val="24"/>
          <w:lang w:val="hy-AM"/>
        </w:rPr>
        <w:t> </w:t>
      </w:r>
      <w:r>
        <w:rPr>
          <w:rFonts w:ascii="GHEA Grapalat" w:hAnsi="GHEA Grapalat"/>
          <w:sz w:val="24"/>
          <w:szCs w:val="24"/>
          <w:lang w:val="hy-AM"/>
        </w:rPr>
        <w:t>իրականացման</w:t>
      </w:r>
      <w:r>
        <w:rPr>
          <w:rFonts w:ascii="Courier New" w:hAnsi="Courier New" w:cs="Courier New"/>
          <w:sz w:val="24"/>
          <w:szCs w:val="24"/>
          <w:lang w:val="hy-AM"/>
        </w:rPr>
        <w:t> </w:t>
      </w:r>
      <w:r>
        <w:rPr>
          <w:rFonts w:ascii="GHEA Grapalat" w:hAnsi="GHEA Grapalat"/>
          <w:sz w:val="24"/>
          <w:szCs w:val="24"/>
          <w:lang w:val="hy-AM"/>
        </w:rPr>
        <w:t>ծանուցման</w:t>
      </w:r>
      <w:r>
        <w:rPr>
          <w:rFonts w:ascii="Courier New" w:hAnsi="Courier New" w:cs="Courier New"/>
          <w:sz w:val="24"/>
          <w:szCs w:val="24"/>
          <w:lang w:val="hy-AM"/>
        </w:rPr>
        <w:t> </w:t>
      </w:r>
      <w:r>
        <w:rPr>
          <w:rFonts w:ascii="GHEA Grapalat" w:hAnsi="GHEA Grapalat"/>
          <w:sz w:val="24"/>
          <w:szCs w:val="24"/>
          <w:lang w:val="hy-AM"/>
        </w:rPr>
        <w:t>մասին» ՀՀ օրենքով սահմանված ծանուցման ենթակա գործունեության իրականացման պարզ ընթացակարգով։</w:t>
      </w:r>
    </w:p>
    <w:p w:rsidR="00B25E7A" w:rsidRDefault="00B25E7A" w:rsidP="00B25E7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Հաշվի առնելով, որ վերոգրյալ գործունեության տեսակները իրենց մեջ ներառում են հասարակական անվտանգության, առողջապահական և համանման այլ բաղադրիչներ՝ գործընթացը բերվել է լիցենզավորման դաշտ, ինչը հնարավորություն կտա վերահսկողության ավելի գործուն միջոցներ ձեռնարկելու և </w:t>
      </w:r>
      <w:r>
        <w:rPr>
          <w:rFonts w:ascii="GHEA Grapalat" w:hAnsi="GHEA Grapalat"/>
          <w:sz w:val="24"/>
          <w:szCs w:val="24"/>
          <w:lang w:val="hy-AM"/>
        </w:rPr>
        <w:lastRenderedPageBreak/>
        <w:t>լիցենզիաների տրամադրման ելակետային չափորոշիչներ և պարտադիր պահանջներ սահմանելու համար:</w:t>
      </w:r>
    </w:p>
    <w:p w:rsidR="00B25E7A" w:rsidRDefault="00B25E7A" w:rsidP="00B25E7A">
      <w:pPr>
        <w:spacing w:after="0" w:line="360" w:lineRule="auto"/>
        <w:ind w:firstLine="720"/>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2</w:t>
      </w:r>
      <w:r>
        <w:rPr>
          <w:rFonts w:ascii="GHEA Grapalat" w:hAnsi="GHEA Grapalat"/>
          <w:b/>
          <w:color w:val="000000" w:themeColor="text1"/>
          <w:sz w:val="24"/>
          <w:szCs w:val="24"/>
          <w:lang w:val="af-ZA"/>
        </w:rPr>
        <w:t xml:space="preserve">. </w:t>
      </w:r>
      <w:r>
        <w:rPr>
          <w:rFonts w:ascii="GHEA Grapalat" w:hAnsi="GHEA Grapalat"/>
          <w:b/>
          <w:color w:val="000000" w:themeColor="text1"/>
          <w:sz w:val="24"/>
          <w:szCs w:val="24"/>
          <w:u w:val="single"/>
          <w:lang w:val="hy-AM"/>
        </w:rPr>
        <w:t>Կարգավորման նպատակը և բնույթը</w:t>
      </w:r>
      <w:r>
        <w:rPr>
          <w:rFonts w:ascii="Cambria Math" w:hAnsi="Cambria Math"/>
          <w:b/>
          <w:color w:val="000000" w:themeColor="text1"/>
          <w:sz w:val="24"/>
          <w:szCs w:val="24"/>
          <w:u w:val="single"/>
          <w:lang w:val="hy-AM"/>
        </w:rPr>
        <w:t>․</w:t>
      </w:r>
      <w:r>
        <w:rPr>
          <w:rFonts w:ascii="GHEA Grapalat" w:hAnsi="GHEA Grapalat"/>
          <w:b/>
          <w:color w:val="000000" w:themeColor="text1"/>
          <w:sz w:val="24"/>
          <w:szCs w:val="24"/>
          <w:lang w:val="hy-AM"/>
        </w:rPr>
        <w:t xml:space="preserve"> </w:t>
      </w:r>
    </w:p>
    <w:p w:rsidR="00441A6F" w:rsidRPr="00441A6F" w:rsidRDefault="00441A6F" w:rsidP="00441A6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Հրագործական արտադրատեսակների </w:t>
      </w:r>
      <w:r w:rsidR="001F37EB">
        <w:rPr>
          <w:rFonts w:ascii="GHEA Grapalat" w:hAnsi="GHEA Grapalat"/>
          <w:sz w:val="24"/>
          <w:szCs w:val="24"/>
          <w:lang w:val="hy-AM"/>
        </w:rPr>
        <w:t>արտադրությու</w:t>
      </w:r>
      <w:r>
        <w:rPr>
          <w:rFonts w:ascii="GHEA Grapalat" w:hAnsi="GHEA Grapalat"/>
          <w:sz w:val="24"/>
          <w:szCs w:val="24"/>
          <w:lang w:val="hy-AM"/>
        </w:rPr>
        <w:t>ն</w:t>
      </w:r>
      <w:r w:rsidR="001F37EB">
        <w:rPr>
          <w:rFonts w:ascii="GHEA Grapalat" w:hAnsi="GHEA Grapalat"/>
          <w:sz w:val="24"/>
          <w:szCs w:val="24"/>
          <w:lang w:val="hy-AM"/>
        </w:rPr>
        <w:t>ը</w:t>
      </w:r>
      <w:r>
        <w:rPr>
          <w:rFonts w:ascii="GHEA Grapalat" w:hAnsi="GHEA Grapalat"/>
          <w:sz w:val="24"/>
          <w:szCs w:val="24"/>
          <w:lang w:val="hy-AM"/>
        </w:rPr>
        <w:t xml:space="preserve">, </w:t>
      </w:r>
      <w:r w:rsidR="001F37EB">
        <w:rPr>
          <w:rFonts w:ascii="GHEA Grapalat" w:hAnsi="GHEA Grapalat"/>
          <w:sz w:val="24"/>
          <w:szCs w:val="24"/>
          <w:lang w:val="hy-AM"/>
        </w:rPr>
        <w:t>ներմուծումը</w:t>
      </w:r>
      <w:r>
        <w:rPr>
          <w:rFonts w:ascii="GHEA Grapalat" w:hAnsi="GHEA Grapalat"/>
          <w:sz w:val="24"/>
          <w:szCs w:val="24"/>
          <w:lang w:val="hy-AM"/>
        </w:rPr>
        <w:t xml:space="preserve">, </w:t>
      </w:r>
      <w:r w:rsidR="001F37EB">
        <w:rPr>
          <w:rFonts w:ascii="GHEA Grapalat" w:hAnsi="GHEA Grapalat"/>
          <w:sz w:val="24"/>
          <w:szCs w:val="24"/>
          <w:lang w:val="hy-AM"/>
        </w:rPr>
        <w:t>արտահանումը</w:t>
      </w:r>
      <w:r>
        <w:rPr>
          <w:rFonts w:ascii="GHEA Grapalat" w:hAnsi="GHEA Grapalat"/>
          <w:sz w:val="24"/>
          <w:szCs w:val="24"/>
          <w:lang w:val="hy-AM"/>
        </w:rPr>
        <w:t>, առևտ</w:t>
      </w:r>
      <w:r w:rsidR="001F37EB">
        <w:rPr>
          <w:rFonts w:ascii="GHEA Grapalat" w:hAnsi="GHEA Grapalat"/>
          <w:sz w:val="24"/>
          <w:szCs w:val="24"/>
          <w:lang w:val="hy-AM"/>
        </w:rPr>
        <w:t>ուրը</w:t>
      </w:r>
      <w:r>
        <w:rPr>
          <w:rFonts w:ascii="GHEA Grapalat" w:hAnsi="GHEA Grapalat"/>
          <w:sz w:val="24"/>
          <w:szCs w:val="24"/>
          <w:lang w:val="hy-AM"/>
        </w:rPr>
        <w:t xml:space="preserve"> (</w:t>
      </w:r>
      <w:r w:rsidR="001F37EB">
        <w:rPr>
          <w:rFonts w:ascii="GHEA Grapalat" w:hAnsi="GHEA Grapalat"/>
          <w:sz w:val="24"/>
          <w:szCs w:val="24"/>
          <w:lang w:val="hy-AM"/>
        </w:rPr>
        <w:t>իրացումը</w:t>
      </w:r>
      <w:r>
        <w:rPr>
          <w:rFonts w:ascii="GHEA Grapalat" w:hAnsi="GHEA Grapalat"/>
          <w:sz w:val="24"/>
          <w:szCs w:val="24"/>
          <w:lang w:val="hy-AM"/>
        </w:rPr>
        <w:t xml:space="preserve">), </w:t>
      </w:r>
      <w:r w:rsidR="001F37EB">
        <w:rPr>
          <w:rFonts w:ascii="GHEA Grapalat" w:hAnsi="GHEA Grapalat"/>
          <w:sz w:val="24"/>
          <w:szCs w:val="24"/>
          <w:lang w:val="hy-AM"/>
        </w:rPr>
        <w:t>պահեստավորումը</w:t>
      </w:r>
      <w:r>
        <w:rPr>
          <w:rFonts w:ascii="GHEA Grapalat" w:hAnsi="GHEA Grapalat"/>
          <w:sz w:val="24"/>
          <w:szCs w:val="24"/>
          <w:lang w:val="hy-AM"/>
        </w:rPr>
        <w:t xml:space="preserve">, </w:t>
      </w:r>
      <w:r w:rsidR="001F37EB">
        <w:rPr>
          <w:rFonts w:ascii="GHEA Grapalat" w:hAnsi="GHEA Grapalat"/>
          <w:sz w:val="24"/>
          <w:szCs w:val="24"/>
          <w:lang w:val="hy-AM"/>
        </w:rPr>
        <w:t>տեղափոխումը</w:t>
      </w:r>
      <w:r>
        <w:rPr>
          <w:rFonts w:ascii="GHEA Grapalat" w:hAnsi="GHEA Grapalat"/>
          <w:sz w:val="24"/>
          <w:szCs w:val="24"/>
          <w:lang w:val="hy-AM"/>
        </w:rPr>
        <w:t xml:space="preserve">, </w:t>
      </w:r>
      <w:r w:rsidR="001F37EB">
        <w:rPr>
          <w:rFonts w:ascii="GHEA Grapalat" w:hAnsi="GHEA Grapalat"/>
          <w:sz w:val="24"/>
          <w:szCs w:val="24"/>
          <w:lang w:val="hy-AM"/>
        </w:rPr>
        <w:t>կիրառումը</w:t>
      </w:r>
      <w:r>
        <w:rPr>
          <w:rFonts w:ascii="GHEA Grapalat" w:hAnsi="GHEA Grapalat"/>
          <w:sz w:val="24"/>
          <w:szCs w:val="24"/>
          <w:lang w:val="hy-AM"/>
        </w:rPr>
        <w:t xml:space="preserve">, </w:t>
      </w:r>
      <w:r w:rsidRPr="00441A6F">
        <w:rPr>
          <w:rFonts w:ascii="GHEA Grapalat" w:hAnsi="GHEA Grapalat"/>
          <w:sz w:val="24"/>
          <w:szCs w:val="24"/>
          <w:lang w:val="hy-AM"/>
        </w:rPr>
        <w:t>որոնք դարձել են լիցենզավորման ենթակա գործունեության տեսակ՝ սահմանել ՀՀ կառավարության որոշմամբ:</w:t>
      </w:r>
    </w:p>
    <w:p w:rsidR="00B25E7A" w:rsidRDefault="00B25E7A" w:rsidP="00B25E7A">
      <w:pPr>
        <w:pStyle w:val="NormalWeb"/>
        <w:shd w:val="clear" w:color="auto" w:fill="FFFFFF"/>
        <w:spacing w:before="0" w:beforeAutospacing="0" w:after="0" w:afterAutospacing="0" w:line="360" w:lineRule="auto"/>
        <w:jc w:val="both"/>
        <w:rPr>
          <w:rFonts w:ascii="GHEA Grapalat" w:hAnsi="GHEA Grapalat"/>
          <w:b/>
          <w:u w:val="single"/>
          <w:lang w:val="hy-AM"/>
        </w:rPr>
      </w:pPr>
      <w:r>
        <w:rPr>
          <w:rFonts w:ascii="GHEA Grapalat" w:hAnsi="GHEA Grapalat"/>
          <w:b/>
          <w:lang w:val="hy-AM"/>
        </w:rPr>
        <w:t xml:space="preserve">     </w:t>
      </w:r>
      <w:r>
        <w:rPr>
          <w:rFonts w:ascii="GHEA Grapalat" w:hAnsi="GHEA Grapalat"/>
          <w:b/>
          <w:lang w:val="hy-AM"/>
        </w:rPr>
        <w:tab/>
        <w:t>3</w:t>
      </w:r>
      <w:r>
        <w:rPr>
          <w:rFonts w:ascii="GHEA Grapalat" w:hAnsi="GHEA Grapalat"/>
          <w:b/>
          <w:lang w:val="pt-BR"/>
        </w:rPr>
        <w:t xml:space="preserve">. </w:t>
      </w:r>
      <w:r>
        <w:rPr>
          <w:rFonts w:ascii="GHEA Grapalat" w:hAnsi="GHEA Grapalat"/>
          <w:b/>
          <w:u w:val="single"/>
          <w:lang w:val="pt-BR"/>
        </w:rPr>
        <w:t>Ակնկալվող արդյունքը.</w:t>
      </w:r>
    </w:p>
    <w:p w:rsidR="001F37EB" w:rsidRPr="001F37EB" w:rsidRDefault="001F37EB" w:rsidP="001F37EB">
      <w:pPr>
        <w:spacing w:after="0" w:line="360" w:lineRule="auto"/>
        <w:jc w:val="both"/>
        <w:rPr>
          <w:rFonts w:ascii="GHEA Grapalat" w:hAnsi="GHEA Grapalat"/>
          <w:sz w:val="24"/>
          <w:szCs w:val="24"/>
          <w:lang w:val="hy-AM"/>
        </w:rPr>
      </w:pPr>
      <w:r w:rsidRPr="001F37EB">
        <w:rPr>
          <w:rFonts w:ascii="Courier New" w:hAnsi="Courier New" w:cs="Courier New"/>
          <w:sz w:val="24"/>
          <w:szCs w:val="24"/>
          <w:lang w:val="hy-AM"/>
        </w:rPr>
        <w:t>  </w:t>
      </w:r>
      <w:r w:rsidRPr="001F37EB">
        <w:rPr>
          <w:rFonts w:ascii="GHEA Grapalat" w:hAnsi="GHEA Grapalat"/>
          <w:sz w:val="24"/>
          <w:szCs w:val="24"/>
          <w:lang w:val="hy-AM"/>
        </w:rPr>
        <w:t xml:space="preserve"> </w:t>
      </w:r>
      <w:r w:rsidRPr="001F37EB">
        <w:rPr>
          <w:rFonts w:ascii="Courier New" w:hAnsi="Courier New" w:cs="Courier New"/>
          <w:sz w:val="24"/>
          <w:szCs w:val="24"/>
          <w:lang w:val="hy-AM"/>
        </w:rPr>
        <w:t> </w:t>
      </w:r>
      <w:r w:rsidRPr="001F37EB">
        <w:rPr>
          <w:rFonts w:ascii="GHEA Grapalat" w:hAnsi="GHEA Grapalat"/>
          <w:sz w:val="24"/>
          <w:szCs w:val="24"/>
          <w:lang w:val="hy-AM"/>
        </w:rPr>
        <w:t xml:space="preserve">Նախագծի ընդունման արդյունքում </w:t>
      </w:r>
      <w:r>
        <w:rPr>
          <w:rFonts w:ascii="GHEA Grapalat" w:hAnsi="GHEA Grapalat"/>
          <w:sz w:val="24"/>
          <w:szCs w:val="24"/>
          <w:lang w:val="hy-AM"/>
        </w:rPr>
        <w:t>հ</w:t>
      </w:r>
      <w:r w:rsidRPr="001F37EB">
        <w:rPr>
          <w:rFonts w:ascii="GHEA Grapalat" w:hAnsi="GHEA Grapalat"/>
          <w:sz w:val="24"/>
          <w:szCs w:val="24"/>
          <w:lang w:val="hy-AM"/>
        </w:rPr>
        <w:t>րագործական արտադրատեսակների արտադրությունը, ներմուծումը, արտահանումը, առևտուրը (իրացումը), պահեստավորումը, տեղափոխումը, կիրառումը</w:t>
      </w:r>
      <w:r>
        <w:rPr>
          <w:rFonts w:ascii="GHEA Grapalat" w:hAnsi="GHEA Grapalat"/>
          <w:sz w:val="24"/>
          <w:szCs w:val="24"/>
          <w:lang w:val="hy-AM"/>
        </w:rPr>
        <w:t xml:space="preserve"> </w:t>
      </w:r>
      <w:r w:rsidRPr="001F37EB">
        <w:rPr>
          <w:rFonts w:ascii="GHEA Grapalat" w:hAnsi="GHEA Grapalat"/>
          <w:sz w:val="24"/>
          <w:szCs w:val="24"/>
          <w:lang w:val="hy-AM"/>
        </w:rPr>
        <w:t>կբերվի լիցենզավորման դաշտ, ինչը հնարավորություն կտա վերահսկողության ավելի գործուն միջոցներ ձեռնարկելու և լիցենզիաների տրամադրման</w:t>
      </w:r>
      <w:r w:rsidRPr="001F37EB">
        <w:rPr>
          <w:rFonts w:ascii="Courier New" w:hAnsi="Courier New" w:cs="Courier New"/>
          <w:sz w:val="24"/>
          <w:szCs w:val="24"/>
          <w:lang w:val="hy-AM"/>
        </w:rPr>
        <w:t> </w:t>
      </w:r>
      <w:r w:rsidRPr="001F37EB">
        <w:rPr>
          <w:rFonts w:ascii="GHEA Grapalat" w:hAnsi="GHEA Grapalat"/>
          <w:sz w:val="24"/>
          <w:szCs w:val="24"/>
          <w:lang w:val="hy-AM"/>
        </w:rPr>
        <w:t xml:space="preserve"> ելակետային չափորոշիչներ և պարտադիր պահանջներ սահմանելու համար:</w:t>
      </w:r>
    </w:p>
    <w:p w:rsidR="00B25E7A" w:rsidRDefault="00B25E7A" w:rsidP="00B25E7A">
      <w:pPr>
        <w:spacing w:after="0" w:line="360" w:lineRule="auto"/>
        <w:jc w:val="both"/>
        <w:rPr>
          <w:rFonts w:ascii="GHEA Grapalat" w:hAnsi="GHEA Grapalat" w:cs="Sylfaen"/>
          <w:b/>
          <w:sz w:val="24"/>
          <w:szCs w:val="24"/>
          <w:u w:val="single"/>
          <w:lang w:val="hy-AM"/>
        </w:rPr>
      </w:pPr>
      <w:r>
        <w:rPr>
          <w:rFonts w:ascii="GHEA Grapalat" w:hAnsi="GHEA Grapalat"/>
          <w:b/>
          <w:sz w:val="24"/>
          <w:szCs w:val="24"/>
          <w:lang w:val="hy-AM"/>
        </w:rPr>
        <w:t xml:space="preserve">          4</w:t>
      </w:r>
      <w:r>
        <w:rPr>
          <w:rFonts w:ascii="GHEA Grapalat" w:hAnsi="GHEA Grapalat"/>
          <w:b/>
          <w:sz w:val="24"/>
          <w:szCs w:val="24"/>
          <w:lang w:val="fr-FR"/>
        </w:rPr>
        <w:t xml:space="preserve">. </w:t>
      </w:r>
      <w:proofErr w:type="spellStart"/>
      <w:r>
        <w:rPr>
          <w:rFonts w:ascii="GHEA Grapalat" w:hAnsi="GHEA Grapalat" w:cs="Sylfaen"/>
          <w:b/>
          <w:sz w:val="24"/>
          <w:szCs w:val="24"/>
          <w:u w:val="single"/>
          <w:lang w:val="fr-FR"/>
        </w:rPr>
        <w:t>Նախագծի</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մշակման</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գործընթացում</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ներգրավված</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ինստիտուտները</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եւ</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անձինք</w:t>
      </w:r>
      <w:proofErr w:type="spellEnd"/>
      <w:r>
        <w:rPr>
          <w:rFonts w:ascii="GHEA Grapalat" w:hAnsi="GHEA Grapalat" w:cs="Sylfaen"/>
          <w:b/>
          <w:sz w:val="24"/>
          <w:szCs w:val="24"/>
          <w:u w:val="single"/>
          <w:lang w:val="fr-FR"/>
        </w:rPr>
        <w:t>.</w:t>
      </w:r>
    </w:p>
    <w:p w:rsidR="00B25E7A" w:rsidRDefault="00B25E7A" w:rsidP="00B25E7A">
      <w:pPr>
        <w:spacing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 xml:space="preserve">   Նախագիծը մշակվել է Հայաստանի Հանրապետության ներքին գործերի նախարարության կողմից:</w:t>
      </w:r>
    </w:p>
    <w:p w:rsidR="00B25E7A" w:rsidRDefault="00B25E7A" w:rsidP="00B25E7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b/>
          <w:sz w:val="24"/>
          <w:szCs w:val="24"/>
          <w:lang w:val="hy-AM"/>
        </w:rPr>
        <w:t xml:space="preserve">5. </w:t>
      </w:r>
      <w:r>
        <w:rPr>
          <w:rFonts w:ascii="GHEA Grapalat" w:hAnsi="GHEA Grapalat"/>
          <w:b/>
          <w:sz w:val="24"/>
          <w:szCs w:val="24"/>
          <w:u w:val="single"/>
          <w:lang w:val="hy-AM"/>
        </w:rPr>
        <w:t>Լրացուցիչ ֆինանսական միջոցների անհրաժեշտությունը և պետական բյուջեի եկամուտներում և ծախսերում սպասվելիք փոփոխությունները</w:t>
      </w:r>
      <w:r>
        <w:rPr>
          <w:rFonts w:ascii="Cambria Math" w:hAnsi="Cambria Math"/>
          <w:b/>
          <w:sz w:val="24"/>
          <w:szCs w:val="24"/>
          <w:u w:val="single"/>
          <w:lang w:val="hy-AM"/>
        </w:rPr>
        <w:t>․</w:t>
      </w:r>
      <w:r>
        <w:rPr>
          <w:rFonts w:ascii="GHEA Grapalat" w:hAnsi="GHEA Grapalat"/>
          <w:sz w:val="24"/>
          <w:szCs w:val="24"/>
          <w:lang w:val="hy-AM"/>
        </w:rPr>
        <w:t xml:space="preserve"> </w:t>
      </w:r>
    </w:p>
    <w:p w:rsidR="00B25E7A" w:rsidRDefault="00B25E7A" w:rsidP="00B25E7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sz w:val="24"/>
          <w:szCs w:val="24"/>
          <w:lang w:val="hy-AM"/>
        </w:rPr>
        <w:t>Նախագծի ընդունման կապակցությամբ լրացուցիչ ֆինանսական միջոցների անհրաժեշտությունը բացակայում է: ՀՀ պետական կամ տեղական ինքնակառավարման մարմնի բյուջեի ծախսերի և եկամուտների ավելացում կամ նվազեցում չի նախատեսվում:</w:t>
      </w:r>
    </w:p>
    <w:p w:rsidR="00B25E7A" w:rsidRDefault="00B25E7A" w:rsidP="00B25E7A">
      <w:pPr>
        <w:spacing w:before="240" w:after="0" w:line="360" w:lineRule="auto"/>
        <w:ind w:firstLine="540"/>
        <w:jc w:val="both"/>
        <w:rPr>
          <w:rFonts w:ascii="GHEA Grapalat" w:hAnsi="GHEA Grapalat" w:cs="Arial Armenian"/>
          <w:sz w:val="24"/>
          <w:szCs w:val="24"/>
          <w:lang w:val="hy-AM"/>
        </w:rPr>
      </w:pPr>
      <w:r>
        <w:rPr>
          <w:rFonts w:ascii="GHEA Grapalat" w:hAnsi="GHEA Grapalat" w:cs="Arial Armenian"/>
          <w:b/>
          <w:sz w:val="24"/>
          <w:szCs w:val="24"/>
          <w:lang w:val="hy-AM"/>
        </w:rPr>
        <w:t xml:space="preserve">6. </w:t>
      </w:r>
      <w:r>
        <w:rPr>
          <w:rFonts w:ascii="GHEA Grapalat" w:hAnsi="GHEA Grapalat" w:cs="Arial Armenian"/>
          <w:b/>
          <w:sz w:val="24"/>
          <w:szCs w:val="24"/>
          <w:u w:val="single"/>
          <w:lang w:val="hy-AM"/>
        </w:rPr>
        <w:t>Կապը ռազմավարական փաստաթղթերի հետ</w:t>
      </w:r>
      <w:r>
        <w:rPr>
          <w:rFonts w:ascii="GHEA Grapalat" w:hAnsi="GHEA Grapalat" w:cs="Arial Armenian"/>
          <w:sz w:val="24"/>
          <w:szCs w:val="24"/>
          <w:u w:val="single"/>
          <w:lang w:val="hy-AM"/>
        </w:rPr>
        <w:t>.</w:t>
      </w:r>
    </w:p>
    <w:p w:rsidR="00B25E7A" w:rsidRDefault="00B25E7A" w:rsidP="00B25E7A">
      <w:pPr>
        <w:spacing w:after="0" w:line="360" w:lineRule="auto"/>
        <w:jc w:val="both"/>
        <w:rPr>
          <w:rFonts w:ascii="GHEA Grapalat" w:hAnsi="GHEA Grapalat"/>
          <w:sz w:val="24"/>
          <w:szCs w:val="24"/>
          <w:lang w:val="hy-AM"/>
        </w:rPr>
      </w:pPr>
      <w:r>
        <w:rPr>
          <w:rFonts w:ascii="Courier New" w:hAnsi="Courier New" w:cs="Courier New"/>
          <w:sz w:val="24"/>
          <w:szCs w:val="24"/>
          <w:lang w:val="hy-AM"/>
        </w:rPr>
        <w:lastRenderedPageBreak/>
        <w:t>   </w:t>
      </w:r>
      <w:r>
        <w:rPr>
          <w:rFonts w:ascii="GHEA Grapalat" w:hAnsi="GHEA Grapalat"/>
          <w:sz w:val="24"/>
          <w:szCs w:val="24"/>
          <w:lang w:val="hy-AM"/>
        </w:rPr>
        <w:t xml:space="preserve"> Նախագիծը բխում է ՀՀ կառավարության 2021-2026թթ. գործունեության ծրագրից: Դրույթը ներառված է ծրագրի «1. Անվտանգություն և արտաքին քաղաքականություն» գլխի «Աղետներին դիմակայունության բարձրացումը» վերնագրում՝ «Անվտանգության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ինչպես նաև «4. Մարդկային կապիտալի զարգացում» գլխի «4.10 Շրջակա միջավայրի պահպանություն» բաժնում</w:t>
      </w:r>
      <w:r w:rsidR="00FE3B01">
        <w:rPr>
          <w:rFonts w:ascii="GHEA Grapalat" w:hAnsi="GHEA Grapalat"/>
          <w:sz w:val="24"/>
          <w:szCs w:val="24"/>
          <w:lang w:val="hy-AM"/>
        </w:rPr>
        <w:t>. «</w:t>
      </w:r>
      <w:bookmarkStart w:id="0" w:name="_GoBack"/>
      <w:bookmarkEnd w:id="0"/>
      <w:r>
        <w:rPr>
          <w:rFonts w:ascii="GHEA Grapalat" w:hAnsi="GHEA Grapalat"/>
          <w:sz w:val="24"/>
          <w:szCs w:val="24"/>
          <w:lang w:val="hy-AM"/>
        </w:rPr>
        <w:t>շրջակա միջավայրի պահպանության վերահսկողության և մշտադիտարկման միասնական համակարգի կատարելագործումը, թույլտվությունների, լիցենզիաների միասնական և ժամանակակից համակարգերի ներդրումը, առաջնային տեղեկատվության համակարգված կառավարումը, շրջակա միջավայրի վրա ազդեցության գնահատման և փորձաքննության համակարգի կատարելագործումը՝ հիմնված կանխարգելման սկզբունքի վրա, փորձաքննության որակի բարձրացմանն ուղղված գործուն մեխանիզմների ներդրմամբ»:</w:t>
      </w:r>
    </w:p>
    <w:p w:rsidR="00B25E7A" w:rsidRDefault="00B25E7A" w:rsidP="00B25E7A">
      <w:pPr>
        <w:spacing w:after="0" w:line="360" w:lineRule="auto"/>
        <w:jc w:val="both"/>
        <w:rPr>
          <w:lang w:val="hy-AM"/>
        </w:rPr>
      </w:pPr>
    </w:p>
    <w:p w:rsidR="00B25E7A" w:rsidRDefault="00B25E7A" w:rsidP="00B25E7A">
      <w:pPr>
        <w:spacing w:after="0" w:line="360" w:lineRule="auto"/>
        <w:rPr>
          <w:lang w:val="hy-AM"/>
        </w:rPr>
      </w:pPr>
    </w:p>
    <w:p w:rsidR="00B25E7A" w:rsidRDefault="00B25E7A" w:rsidP="00B25E7A">
      <w:pPr>
        <w:spacing w:after="0" w:line="360" w:lineRule="auto"/>
        <w:jc w:val="both"/>
        <w:rPr>
          <w:rFonts w:ascii="GHEA Grapalat" w:hAnsi="GHEA Grapalat" w:cs="Sylfaen"/>
          <w:b/>
          <w:sz w:val="24"/>
          <w:szCs w:val="24"/>
          <w:lang w:val="hy-AM"/>
        </w:rPr>
      </w:pPr>
    </w:p>
    <w:p w:rsidR="00B25E7A" w:rsidRDefault="00B25E7A" w:rsidP="00B25E7A">
      <w:pPr>
        <w:spacing w:after="0" w:line="360" w:lineRule="auto"/>
        <w:jc w:val="both"/>
        <w:rPr>
          <w:rFonts w:ascii="GHEA Grapalat" w:hAnsi="GHEA Grapalat"/>
          <w:sz w:val="24"/>
          <w:szCs w:val="24"/>
          <w:lang w:val="hy-AM"/>
        </w:rPr>
      </w:pPr>
    </w:p>
    <w:p w:rsidR="00951D41" w:rsidRPr="00B25E7A" w:rsidRDefault="00FE3B01">
      <w:pPr>
        <w:rPr>
          <w:lang w:val="hy-AM"/>
        </w:rPr>
      </w:pPr>
    </w:p>
    <w:sectPr w:rsidR="00951D41" w:rsidRPr="00B25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90"/>
    <w:rsid w:val="001F37EB"/>
    <w:rsid w:val="00441A6F"/>
    <w:rsid w:val="004D6F34"/>
    <w:rsid w:val="008A1890"/>
    <w:rsid w:val="00981883"/>
    <w:rsid w:val="00B25E7A"/>
    <w:rsid w:val="00FE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B25E7A"/>
    <w:rPr>
      <w:rFonts w:ascii="Times New Roman" w:eastAsia="Times New Roman" w:hAnsi="Times New Roman" w:cs="Times New Roman"/>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B25E7A"/>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B25E7A"/>
    <w:rPr>
      <w:rFonts w:ascii="Times New Roman" w:eastAsia="Times New Roman" w:hAnsi="Times New Roman" w:cs="Times New Roman"/>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B25E7A"/>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irav18</dc:creator>
  <cp:keywords/>
  <dc:description/>
  <cp:lastModifiedBy>irav18</cp:lastModifiedBy>
  <cp:revision>4</cp:revision>
  <dcterms:created xsi:type="dcterms:W3CDTF">2024-01-08T10:56:00Z</dcterms:created>
  <dcterms:modified xsi:type="dcterms:W3CDTF">2024-01-08T12:19:00Z</dcterms:modified>
</cp:coreProperties>
</file>