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A194" w14:textId="77777777" w:rsidR="00D21952" w:rsidRPr="00CD349E" w:rsidRDefault="00D21952" w:rsidP="00EC1CD6">
      <w:pPr>
        <w:spacing w:after="0" w:line="360" w:lineRule="auto"/>
        <w:jc w:val="center"/>
        <w:rPr>
          <w:rFonts w:ascii="GHEA Grapalat" w:hAnsi="GHEA Grapalat" w:cs="Arial"/>
          <w:b/>
          <w:bCs/>
          <w:sz w:val="24"/>
          <w:szCs w:val="24"/>
        </w:rPr>
      </w:pPr>
      <w:r w:rsidRPr="00CD349E">
        <w:rPr>
          <w:rFonts w:ascii="GHEA Grapalat" w:hAnsi="GHEA Grapalat" w:cs="Arial"/>
          <w:b/>
          <w:bCs/>
          <w:sz w:val="24"/>
          <w:szCs w:val="24"/>
        </w:rPr>
        <w:t>ՀԻՄՆԱՎՈՐՈՒՄ</w:t>
      </w:r>
    </w:p>
    <w:p w14:paraId="4E689949" w14:textId="0C983212" w:rsidR="00D21952" w:rsidRDefault="00D21952" w:rsidP="00EC1CD6">
      <w:pPr>
        <w:spacing w:after="0" w:line="360" w:lineRule="auto"/>
        <w:contextualSpacing/>
        <w:jc w:val="center"/>
        <w:rPr>
          <w:rFonts w:ascii="GHEA Grapalat" w:hAnsi="GHEA Grapalat" w:cs="Arial"/>
          <w:b/>
          <w:bCs/>
          <w:sz w:val="24"/>
          <w:szCs w:val="24"/>
        </w:rPr>
      </w:pPr>
      <w:r w:rsidRPr="00CD349E">
        <w:rPr>
          <w:rFonts w:ascii="GHEA Grapalat" w:hAnsi="GHEA Grapalat" w:cs="Arial"/>
          <w:b/>
          <w:bCs/>
          <w:sz w:val="24"/>
          <w:szCs w:val="24"/>
        </w:rPr>
        <w:t>«</w:t>
      </w:r>
      <w:r w:rsidR="00EC1CD6" w:rsidRPr="00EC1CD6">
        <w:rPr>
          <w:rFonts w:ascii="GHEA Grapalat" w:hAnsi="GHEA Grapalat" w:cs="Arial"/>
          <w:b/>
          <w:bCs/>
          <w:sz w:val="24"/>
          <w:szCs w:val="24"/>
          <w:lang w:val="hy-AM"/>
        </w:rPr>
        <w:t>ՀԱՅԱՍՏԱՆԻ ՀԱՆՐԱՊԵՏՈՒԹՅԱՆ ԿԱՌԱՎԱՐՈՒԹՅԱՆ 2008 ԹՎԱԿԱՆԻ</w:t>
      </w:r>
      <w:r w:rsidR="00EC1CD6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="00EC1CD6" w:rsidRPr="00EC1CD6">
        <w:rPr>
          <w:rFonts w:ascii="GHEA Grapalat" w:hAnsi="GHEA Grapalat" w:cs="Arial"/>
          <w:b/>
          <w:bCs/>
          <w:sz w:val="24"/>
          <w:szCs w:val="24"/>
        </w:rPr>
        <w:t>ՀՈՒՆՎԱՐ</w:t>
      </w:r>
      <w:r w:rsidR="00EC1CD6" w:rsidRPr="00EC1CD6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Ի </w:t>
      </w:r>
      <w:r w:rsidR="00EC1CD6" w:rsidRPr="00EC1CD6">
        <w:rPr>
          <w:rFonts w:ascii="GHEA Grapalat" w:hAnsi="GHEA Grapalat" w:cs="Arial"/>
          <w:b/>
          <w:bCs/>
          <w:sz w:val="24"/>
          <w:szCs w:val="24"/>
        </w:rPr>
        <w:t>25</w:t>
      </w:r>
      <w:r w:rsidR="00EC1CD6" w:rsidRPr="00EC1CD6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-Ի N </w:t>
      </w:r>
      <w:r w:rsidR="00EC1CD6" w:rsidRPr="00EC1CD6">
        <w:rPr>
          <w:rFonts w:ascii="GHEA Grapalat" w:hAnsi="GHEA Grapalat" w:cs="Arial"/>
          <w:b/>
          <w:bCs/>
          <w:sz w:val="24"/>
          <w:szCs w:val="24"/>
        </w:rPr>
        <w:t>115</w:t>
      </w:r>
      <w:r w:rsidR="00EC1CD6" w:rsidRPr="00EC1CD6">
        <w:rPr>
          <w:rFonts w:ascii="GHEA Grapalat" w:hAnsi="GHEA Grapalat" w:cs="Arial"/>
          <w:b/>
          <w:bCs/>
          <w:sz w:val="24"/>
          <w:szCs w:val="24"/>
          <w:lang w:val="hy-AM"/>
        </w:rPr>
        <w:t>-Ն ՈՐՈՇՄԱՆ ՄԵՋ ՓՈՓՈԽՈՒԹՅՈՒՆՆԵՐ ԵՎ ԼՐԱՑՈՒՄՆԵՐ ԿԱՏԱՐԵԼՈՒ ՄԱՍԻՆ</w:t>
      </w:r>
      <w:r w:rsidRPr="00CD349E">
        <w:rPr>
          <w:rFonts w:ascii="GHEA Grapalat" w:hAnsi="GHEA Grapalat" w:cs="Arial"/>
          <w:b/>
          <w:bCs/>
          <w:sz w:val="24"/>
          <w:szCs w:val="24"/>
        </w:rPr>
        <w:t>» ԿԱՌԱՎԱՐՈՒԹՅԱՆ ՈՐՈՇՄԱՆ ՆԱԽԱԳԾԻ ՎԵՐԱԲԵՐՅԱԼ</w:t>
      </w:r>
    </w:p>
    <w:p w14:paraId="1DCD5C5D" w14:textId="77777777" w:rsidR="00D21952" w:rsidRPr="00CD349E" w:rsidRDefault="00D21952" w:rsidP="00C34C5B">
      <w:pPr>
        <w:spacing w:after="0" w:line="360" w:lineRule="auto"/>
        <w:ind w:left="-90" w:hanging="90"/>
        <w:contextualSpacing/>
        <w:jc w:val="center"/>
        <w:rPr>
          <w:rFonts w:ascii="GHEA Grapalat" w:hAnsi="GHEA Grapalat" w:cs="Arial"/>
          <w:b/>
          <w:bCs/>
          <w:sz w:val="24"/>
          <w:szCs w:val="24"/>
        </w:rPr>
      </w:pPr>
    </w:p>
    <w:p w14:paraId="6A5D2344" w14:textId="77777777" w:rsidR="00D21952" w:rsidRPr="00CD349E" w:rsidRDefault="00D21952" w:rsidP="00EC1CD6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Ընթացիկ իրավիճակը և իրավական ակտի ընդունման </w:t>
      </w:r>
      <w:r w:rsidRPr="00CD349E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14:paraId="121ECC7C" w14:textId="0D047400" w:rsidR="00D21952" w:rsidRPr="00C34C5B" w:rsidRDefault="004A672E" w:rsidP="00EC1CD6">
      <w:pPr>
        <w:pStyle w:val="Style15"/>
        <w:tabs>
          <w:tab w:val="left" w:pos="540"/>
          <w:tab w:val="left" w:pos="993"/>
        </w:tabs>
        <w:ind w:firstLine="567"/>
        <w:rPr>
          <w:rFonts w:ascii="GHEA Grapalat" w:hAnsi="GHEA Grapalat"/>
          <w:sz w:val="24"/>
          <w:szCs w:val="24"/>
          <w:lang w:val="hy-AM"/>
        </w:rPr>
      </w:pPr>
      <w:r w:rsidRPr="009C503C">
        <w:rPr>
          <w:rFonts w:ascii="GHEA Grapalat" w:hAnsi="GHEA Grapalat" w:cs="Courier New"/>
          <w:sz w:val="24"/>
          <w:szCs w:val="24"/>
          <w:lang w:val="hy-AM" w:eastAsia="ja-JP"/>
        </w:rPr>
        <w:t>«</w:t>
      </w:r>
      <w:r w:rsidRPr="004A672E">
        <w:rPr>
          <w:rFonts w:ascii="GHEA Grapalat" w:hAnsi="GHEA Grapalat" w:cs="Courier New"/>
          <w:sz w:val="24"/>
          <w:szCs w:val="24"/>
          <w:lang w:val="hy-AM" w:eastAsia="ja-JP"/>
        </w:rPr>
        <w:t>Հայաստանի Հանրապետության կառավարության 2008 թվականի</w:t>
      </w:r>
      <w:r w:rsidRPr="009C503C">
        <w:rPr>
          <w:rFonts w:ascii="GHEA Grapalat" w:hAnsi="GHEA Grapalat" w:cs="Courier New"/>
          <w:sz w:val="24"/>
          <w:szCs w:val="24"/>
          <w:lang w:val="hy-AM" w:eastAsia="ja-JP"/>
        </w:rPr>
        <w:t xml:space="preserve"> հունվար</w:t>
      </w:r>
      <w:r w:rsidRPr="004A672E">
        <w:rPr>
          <w:rFonts w:ascii="GHEA Grapalat" w:hAnsi="GHEA Grapalat" w:cs="Courier New"/>
          <w:sz w:val="24"/>
          <w:szCs w:val="24"/>
          <w:lang w:val="hy-AM" w:eastAsia="ja-JP"/>
        </w:rPr>
        <w:t xml:space="preserve">ի </w:t>
      </w:r>
      <w:r w:rsidRPr="009C503C">
        <w:rPr>
          <w:rFonts w:ascii="GHEA Grapalat" w:hAnsi="GHEA Grapalat" w:cs="Courier New"/>
          <w:sz w:val="24"/>
          <w:szCs w:val="24"/>
          <w:lang w:val="hy-AM" w:eastAsia="ja-JP"/>
        </w:rPr>
        <w:t>25</w:t>
      </w:r>
      <w:r w:rsidRPr="004A672E">
        <w:rPr>
          <w:rFonts w:ascii="GHEA Grapalat" w:hAnsi="GHEA Grapalat" w:cs="Courier New"/>
          <w:sz w:val="24"/>
          <w:szCs w:val="24"/>
          <w:lang w:val="hy-AM" w:eastAsia="ja-JP"/>
        </w:rPr>
        <w:t xml:space="preserve">-ի N </w:t>
      </w:r>
      <w:r w:rsidRPr="009C503C">
        <w:rPr>
          <w:rFonts w:ascii="GHEA Grapalat" w:hAnsi="GHEA Grapalat" w:cs="Courier New"/>
          <w:sz w:val="24"/>
          <w:szCs w:val="24"/>
          <w:lang w:val="hy-AM" w:eastAsia="ja-JP"/>
        </w:rPr>
        <w:t>115</w:t>
      </w:r>
      <w:r w:rsidRPr="004A672E">
        <w:rPr>
          <w:rFonts w:ascii="GHEA Grapalat" w:hAnsi="GHEA Grapalat" w:cs="Courier New"/>
          <w:sz w:val="24"/>
          <w:szCs w:val="24"/>
          <w:lang w:val="hy-AM" w:eastAsia="ja-JP"/>
        </w:rPr>
        <w:t xml:space="preserve">-Ն որոշման մեջ փոփոխություններ </w:t>
      </w:r>
      <w:r w:rsidRPr="009C503C">
        <w:rPr>
          <w:rFonts w:ascii="GHEA Grapalat" w:hAnsi="GHEA Grapalat" w:cs="Courier New"/>
          <w:sz w:val="24"/>
          <w:szCs w:val="24"/>
          <w:lang w:val="hy-AM" w:eastAsia="ja-JP"/>
        </w:rPr>
        <w:t>և</w:t>
      </w:r>
      <w:r w:rsidRPr="004A672E">
        <w:rPr>
          <w:rFonts w:ascii="GHEA Grapalat" w:hAnsi="GHEA Grapalat" w:cs="Courier New"/>
          <w:sz w:val="24"/>
          <w:szCs w:val="24"/>
          <w:lang w:val="hy-AM" w:eastAsia="ja-JP"/>
        </w:rPr>
        <w:t xml:space="preserve"> լրացումներ կատարելու մասին</w:t>
      </w:r>
      <w:r w:rsidRPr="009C503C">
        <w:rPr>
          <w:rFonts w:ascii="GHEA Grapalat" w:hAnsi="GHEA Grapalat" w:cs="Courier New"/>
          <w:sz w:val="24"/>
          <w:szCs w:val="24"/>
          <w:lang w:val="hy-AM" w:eastAsia="ja-JP"/>
        </w:rPr>
        <w:t>»</w:t>
      </w:r>
      <w:r w:rsidR="00D21952">
        <w:rPr>
          <w:rFonts w:ascii="GHEA Grapalat" w:hAnsi="GHEA Grapalat" w:cs="Courier New"/>
          <w:sz w:val="24"/>
          <w:szCs w:val="24"/>
          <w:lang w:val="hy-AM" w:eastAsia="ja-JP"/>
        </w:rPr>
        <w:t xml:space="preserve"> Կառա</w:t>
      </w:r>
      <w:r w:rsidR="00D21952">
        <w:rPr>
          <w:rFonts w:ascii="GHEA Grapalat" w:hAnsi="GHEA Grapalat" w:cs="Courier New"/>
          <w:sz w:val="24"/>
          <w:szCs w:val="24"/>
          <w:lang w:val="hy-AM" w:eastAsia="ja-JP"/>
        </w:rPr>
        <w:softHyphen/>
        <w:t>վարության որոշման նա</w:t>
      </w:r>
      <w:r w:rsidR="00D21952">
        <w:rPr>
          <w:rFonts w:ascii="GHEA Grapalat" w:hAnsi="GHEA Grapalat" w:cs="Courier New"/>
          <w:sz w:val="24"/>
          <w:szCs w:val="24"/>
          <w:lang w:val="hy-AM" w:eastAsia="ja-JP"/>
        </w:rPr>
        <w:softHyphen/>
        <w:t xml:space="preserve">խագծի ընդունումը պայմանավորված է </w:t>
      </w:r>
      <w:r w:rsidRPr="004A672E">
        <w:rPr>
          <w:rFonts w:ascii="GHEA Grapalat" w:hAnsi="GHEA Grapalat"/>
          <w:sz w:val="24"/>
          <w:szCs w:val="24"/>
          <w:lang w:val="hy-AM"/>
        </w:rPr>
        <w:t>Հայաստանի Հանրապետության տարածքում անցանկալի համարվող օտարերկրացիների տվյալների բանկում տեղեկություններ մտցնելու և դրանից օգտվելու կարգը</w:t>
      </w:r>
      <w:r w:rsidRPr="009C503C">
        <w:rPr>
          <w:rFonts w:ascii="GHEA Grapalat" w:hAnsi="GHEA Grapalat"/>
          <w:sz w:val="24"/>
          <w:szCs w:val="24"/>
          <w:lang w:val="hy-AM"/>
        </w:rPr>
        <w:t xml:space="preserve"> «Օտարերկրացիների մասին» օրենքին համապատասխանեցնելու</w:t>
      </w:r>
      <w:r w:rsidR="002E0F99" w:rsidRPr="009C503C">
        <w:rPr>
          <w:rFonts w:ascii="GHEA Grapalat" w:hAnsi="GHEA Grapalat"/>
          <w:sz w:val="24"/>
          <w:szCs w:val="24"/>
          <w:lang w:val="hy-AM"/>
        </w:rPr>
        <w:t>, ինչպես նաև գործնականում առաջ եկած որոշ խնդիրներ կարգավորելու</w:t>
      </w:r>
      <w:r w:rsidR="000D37A6" w:rsidRPr="009C503C">
        <w:rPr>
          <w:rFonts w:ascii="GHEA Grapalat" w:hAnsi="GHEA Grapalat"/>
          <w:sz w:val="24"/>
          <w:szCs w:val="24"/>
          <w:lang w:val="hy-AM"/>
        </w:rPr>
        <w:t xml:space="preserve"> և աշխատանքի արդյունավետությունը բարձրացնելու</w:t>
      </w:r>
      <w:r w:rsidR="000121D8" w:rsidRPr="009C50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t>անհրա</w:t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  <w:t>ժեշտությամբ:</w:t>
      </w:r>
    </w:p>
    <w:p w14:paraId="42977049" w14:textId="7F931126" w:rsidR="00D21952" w:rsidRPr="009C503C" w:rsidRDefault="00D21952" w:rsidP="00EC1CD6">
      <w:pPr>
        <w:pStyle w:val="Style15"/>
        <w:tabs>
          <w:tab w:val="left" w:pos="540"/>
          <w:tab w:val="left" w:pos="993"/>
        </w:tabs>
        <w:ind w:firstLine="567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4019FF">
        <w:rPr>
          <w:rFonts w:ascii="GHEA Grapalat" w:hAnsi="GHEA Grapalat" w:cs="Courier New"/>
          <w:sz w:val="24"/>
          <w:szCs w:val="24"/>
          <w:lang w:val="hy-AM" w:eastAsia="ja-JP"/>
        </w:rPr>
        <w:t>Մասնավորապես</w:t>
      </w:r>
      <w:bookmarkStart w:id="0" w:name="_Hlk114572492"/>
      <w:r w:rsidRPr="004019FF">
        <w:rPr>
          <w:rFonts w:ascii="GHEA Grapalat" w:hAnsi="GHEA Grapalat" w:cs="Courier New"/>
          <w:sz w:val="24"/>
          <w:szCs w:val="24"/>
          <w:lang w:val="hy-AM" w:eastAsia="ja-JP"/>
        </w:rPr>
        <w:t xml:space="preserve">, </w:t>
      </w:r>
      <w:bookmarkEnd w:id="0"/>
      <w:r w:rsidR="002E0F99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«Օտարերկրացիների մասին» օրենքում կատարված մի շարք փոփոխությունների արդյունքում օրենքի 8-րդ հոդվածով սահմանված՝ օտարերկրացուն մուտքի վիզայի տրամադրումը (ժամկետի երկարաձգումը) մերժելու, տրամադրված մուտքի վիզան ուժը կորցրած ճանաչելու և Հայաստանի Հանրապետություն օտարերկրացու մուտքն արգելելու հիմքերը փոփոխվել և լրացվել են</w:t>
      </w:r>
      <w:r w:rsidR="000D37A6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տարբեր օրենքներով, և անհրաժեշտ է Կառավարության որոշման մեջ նշված համապատասխան հիմքերը համահունչ դարձնել օրենքին: </w:t>
      </w:r>
    </w:p>
    <w:p w14:paraId="6C2BA58E" w14:textId="77777777" w:rsidR="009C503C" w:rsidRDefault="00244849" w:rsidP="009C503C">
      <w:pPr>
        <w:pStyle w:val="Style15"/>
        <w:tabs>
          <w:tab w:val="left" w:pos="540"/>
          <w:tab w:val="left" w:pos="993"/>
        </w:tabs>
        <w:ind w:firstLine="567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Միաժամանակ</w:t>
      </w:r>
      <w:r w:rsidR="00145E17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, </w:t>
      </w:r>
      <w:r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տվյալների բանկ մուտքագրելու նպատակով գրավոր եղանակով տեղեկություններ ներկայացնելու և տվյալների բանկից գրավոր միջնորդությունների հիման վրա տեղեկությունները հանելու վերաբերյալ գործող կարգով նախատեսված ընթացակարգերը վերանայման կարիք ունեն, քանի որ ներկայիս թվայնացման գործընթացների համատեքստում դրանք բավարար չափով արդյունավետ չեն գործում: Բացի այդ, </w:t>
      </w:r>
      <w:r w:rsidR="00145E17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«Օտարերկրացիների մասին» օրենքը </w:t>
      </w:r>
      <w:r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և ճանապարհային երթևեկության անվտանգության ապահովման բնագավառի օրենսդրությունը </w:t>
      </w:r>
      <w:r w:rsidR="00145E17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խախտելու համար վարչական պատասխանատվության</w:t>
      </w:r>
      <w:r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ենթարկված անձանց վերաբերյալ տեղեկությունները ստացվում են նաև էլեկտրոնային՝ ինքնաշխատ եղանակով, և հաշվի </w:t>
      </w:r>
      <w:r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lastRenderedPageBreak/>
        <w:t xml:space="preserve">առնելով դրանց մեծածավալությունը՝ անհրաժեշտություն է առաջացել տվյալների բանկ դրանց ներմուծումը ևս իրականացնել ինքնաշխատ եղանակով, ինչը թույլ կտա </w:t>
      </w:r>
      <w:r w:rsidR="00D42814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առավել օպերատիվ կերպով համալրել տվյալների բանկ մուտքագրվող տեղեկությունները և </w:t>
      </w:r>
      <w:r w:rsidR="00B41F83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ապահովել դրանց թարմացումն իրական ժամանակում:</w:t>
      </w:r>
      <w:r w:rsidR="00CE6F35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Միաժամանակ, անհրաժեշտ է նախատեսել, որ </w:t>
      </w:r>
      <w:r w:rsidR="00F4282B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համապատասխան ժամկետները լրանալու կամ վարչական ակտով անձի վրա դրված պարտականությունը կատարելու վերաբերյալ տեղեկությունները տվյալների բանկում հասանելի լինելու դեպքում </w:t>
      </w:r>
      <w:r w:rsidR="004F2485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օտարերկրացիների մասին տեղեկությունները կարող են տվյալների բանկից հանվել ինքնաշխատ եղանակով, քանի որ դա պայմանավորված է օբյեկտիվ հանգամանքների այնպիսի փոփոխություններով, որոնք միջնորդագրով լրացուցիչ հաստատելու անհրաժեշտությունը բացակայում է:</w:t>
      </w:r>
      <w:r w:rsidR="000C42E1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Գործող ընթացակարգով տեղեկությունները տվյալների բանկից հանելը ենթադրում է ժամանակատար պրոցես, և հաշվի առնելով, որ այն ուղղակիորեն առնչվում է անձի իրավունքների սահմանափակմանը, անհրաժեշտ է գործընթացն իրականացնել հնարավորինս օպերատիվ:</w:t>
      </w:r>
      <w:r w:rsidR="004F2485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="000C42E1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Մասնավորապես, օտարերկրացու կողմից վարչական տուգանքի վճարման վերաբերյալ տեղեկությունները տվյալների բանկ մուտքագրվելու պահից անմիջապես ինքնաշխատ եղանակով հնարավոր կլինի վերացնել անձի նկատմամբ կիրառված մուտքի սահմանափակումը (բացառությամբ այն դեպքերի,</w:t>
      </w:r>
      <w:r w:rsidR="00A67CC4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ե</w:t>
      </w:r>
      <w:r w:rsidR="00BF4CFC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րբ</w:t>
      </w:r>
      <w:r w:rsidR="00A67CC4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="00BF4CFC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տվյալների բանկում առկա կլինեն </w:t>
      </w:r>
      <w:r w:rsidR="00A67CC4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օտարերկրացուն անցանկալի համարելու այլ հիմքեր</w:t>
      </w:r>
      <w:r w:rsidR="00BF4CFC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ով հաշվառելու վերաբերյալ տեղեկություններ</w:t>
      </w:r>
      <w:r w:rsidR="000C42E1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)</w:t>
      </w:r>
      <w:r w:rsidR="0019211B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, ինչը հնարավորություն կտա նաև առավել արագ կազմակերպել անձանց ՀՀ մուտք գործելու գործընթացը՝ խուսափելով կուտակումներից</w:t>
      </w:r>
      <w:r w:rsidR="00A67CC4" w:rsidRPr="009C503C">
        <w:rPr>
          <w:rFonts w:ascii="GHEA Grapalat" w:hAnsi="GHEA Grapalat"/>
          <w:color w:val="000000"/>
          <w:sz w:val="24"/>
          <w:szCs w:val="24"/>
          <w:lang w:val="hy-AM" w:eastAsia="hy-AM"/>
        </w:rPr>
        <w:t>:</w:t>
      </w:r>
    </w:p>
    <w:p w14:paraId="46BB860C" w14:textId="092BB0D6" w:rsidR="00D21952" w:rsidRPr="009C503C" w:rsidRDefault="00D21952" w:rsidP="009C503C">
      <w:pPr>
        <w:pStyle w:val="Style15"/>
        <w:tabs>
          <w:tab w:val="left" w:pos="540"/>
          <w:tab w:val="left" w:pos="993"/>
        </w:tabs>
        <w:ind w:firstLine="567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Առաջարկվող կարգավորման բնույթը</w:t>
      </w:r>
    </w:p>
    <w:p w14:paraId="11EA120E" w14:textId="112F99E7" w:rsidR="00D21952" w:rsidRPr="009C503C" w:rsidRDefault="00461541" w:rsidP="00EC1CD6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C503C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</w:t>
      </w:r>
      <w:r w:rsidR="00D21952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ախագծով</w:t>
      </w:r>
      <w:r w:rsidR="00D21952"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D21952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նախատեսվում է </w:t>
      </w:r>
      <w:r w:rsidR="00D21952"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ՀՀ ազգային անվտանգության ծառայության կողմից </w:t>
      </w:r>
      <w:r w:rsidRPr="009C503C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վարվող՝ </w:t>
      </w:r>
      <w:r w:rsidRPr="00461541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Հայաստանի Հանրապետության տարածքում անցանկալի համարվող օտարերկրացիների տվյալների բանկում տեղեկություններ մտցնելու և դրանից օգտվելու կարգ</w:t>
      </w:r>
      <w:r w:rsidRPr="009C503C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ով նախատեսված հիմքերը համապատասխանեցնել «Օտարերկրացիների մասին» օրենքին, ինչպես նաև վերանայել տվյալների մուտքագրման ընթացակարգի հետ կապված որոշ կարգավորումներ՝ նախատեսելով էլեկտրոնային և ինքնաշխատ եղանակով տվյալների ստացման և նույն եղանակով տեղեկությունները տվյալների բանկից հանելու հնարավորություն՝ աշխատանքն առավել արդյունավետ </w:t>
      </w:r>
      <w:r w:rsidRPr="009C503C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lastRenderedPageBreak/>
        <w:t xml:space="preserve">իրականացնելու նպատակով: </w:t>
      </w:r>
      <w:r w:rsidR="0019211B" w:rsidRPr="009C503C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Նշված եղանակով աշխատանքի կազմակերպումը կնպաստի նաև «Մեկ կանգառ, մեկ պատուհան» սկզբունքով սահմանահատումների իրականացման ժամանակի կրճատմանը:</w:t>
      </w:r>
    </w:p>
    <w:p w14:paraId="6478EB2F" w14:textId="77777777" w:rsidR="009C503C" w:rsidRDefault="00D21952" w:rsidP="009C503C">
      <w:pPr>
        <w:tabs>
          <w:tab w:val="left" w:pos="5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ընդունումից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եկամուտներում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ծախսերում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չեն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առաջանա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  <w:proofErr w:type="gramEnd"/>
    </w:p>
    <w:p w14:paraId="7121755E" w14:textId="4E3BBAC5" w:rsidR="00D21952" w:rsidRPr="009C503C" w:rsidRDefault="00D21952" w:rsidP="009C503C">
      <w:pPr>
        <w:tabs>
          <w:tab w:val="left" w:pos="5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արդյունքը</w:t>
      </w:r>
    </w:p>
    <w:p w14:paraId="101D31CE" w14:textId="77777777" w:rsidR="009C503C" w:rsidRDefault="00D21952" w:rsidP="009C503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Նախագծի ընդունմա</w:t>
      </w:r>
      <w:r w:rsidR="00F94E4E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F94E4E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94E4E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կապահովվի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դրույթների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համապատասխանեցումն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կլինի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օպտիմալացնել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բանկ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տեղեկությունների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մուտքագրման</w:t>
      </w:r>
      <w:proofErr w:type="spellEnd"/>
      <w:r w:rsidR="008210F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8210F9">
        <w:rPr>
          <w:rFonts w:ascii="GHEA Grapalat" w:eastAsia="Times New Roman" w:hAnsi="GHEA Grapalat" w:cs="Times New Roman"/>
          <w:color w:val="000000"/>
          <w:sz w:val="24"/>
          <w:szCs w:val="24"/>
        </w:rPr>
        <w:t>մշակման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E6E79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գործընթացը</w:t>
      </w:r>
      <w:proofErr w:type="spellEnd"/>
      <w:r w:rsidR="008E6E79" w:rsidRPr="009C503C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: </w:t>
      </w:r>
    </w:p>
    <w:p w14:paraId="49FDD37A" w14:textId="66C78A9A" w:rsidR="00D21952" w:rsidRPr="009C503C" w:rsidRDefault="00D21952" w:rsidP="009C503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>Կապը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>ռազմավարական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>փաստաթղթերի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>հետ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. </w:t>
      </w:r>
      <w:proofErr w:type="spellStart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>Հայաստանի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>վերափոխման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>ռազ</w:t>
      </w:r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softHyphen/>
        <w:t>մա</w:t>
      </w:r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softHyphen/>
        <w:t>վարություն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2050, </w:t>
      </w:r>
      <w:proofErr w:type="spellStart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2021-2026թթ. </w:t>
      </w:r>
      <w:proofErr w:type="spellStart"/>
      <w:proofErr w:type="gramStart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>ծրագիր</w:t>
      </w:r>
      <w:proofErr w:type="spellEnd"/>
      <w:proofErr w:type="gramEnd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>ոլորտային</w:t>
      </w:r>
      <w:proofErr w:type="spellEnd"/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և/</w:t>
      </w:r>
      <w:proofErr w:type="spellStart"/>
      <w:r w:rsidRPr="00371EB6">
        <w:rPr>
          <w:rFonts w:ascii="GHEA Grapalat" w:eastAsia="Times New Roman" w:hAnsi="GHEA Grapalat" w:cs="Arial"/>
          <w:b/>
          <w:sz w:val="24"/>
          <w:szCs w:val="24"/>
          <w:lang w:val="fr-FR"/>
        </w:rPr>
        <w:t>կամ</w:t>
      </w:r>
      <w:proofErr w:type="spellEnd"/>
      <w:r w:rsidRPr="00371EB6"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</w:t>
      </w:r>
      <w:proofErr w:type="spellStart"/>
      <w:r w:rsidRPr="00371EB6">
        <w:rPr>
          <w:rFonts w:ascii="GHEA Grapalat" w:eastAsia="Times New Roman" w:hAnsi="GHEA Grapalat" w:cs="Arial"/>
          <w:b/>
          <w:sz w:val="24"/>
          <w:szCs w:val="24"/>
          <w:lang w:val="fr-FR"/>
        </w:rPr>
        <w:t>այլ</w:t>
      </w:r>
      <w:proofErr w:type="spellEnd"/>
      <w:r w:rsidRPr="00371EB6"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</w:t>
      </w:r>
      <w:proofErr w:type="spellStart"/>
      <w:r w:rsidRPr="00371EB6">
        <w:rPr>
          <w:rFonts w:ascii="GHEA Grapalat" w:eastAsia="Times New Roman" w:hAnsi="GHEA Grapalat" w:cs="Arial"/>
          <w:b/>
          <w:sz w:val="24"/>
          <w:szCs w:val="24"/>
          <w:lang w:val="fr-FR"/>
        </w:rPr>
        <w:t>ռազմավարություններ</w:t>
      </w:r>
      <w:proofErr w:type="spellEnd"/>
    </w:p>
    <w:p w14:paraId="29A6BAB3" w14:textId="38FC7733" w:rsidR="00D21952" w:rsidRDefault="00D21952" w:rsidP="00EC1CD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s-ES_tradnl"/>
        </w:rPr>
      </w:pP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Նախագծի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ընդունումը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բխում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է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Ազգային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ժողովի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2021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թվականի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օգոստոսի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26-ի </w:t>
      </w:r>
      <w:r w:rsidR="009C503C">
        <w:rPr>
          <w:rFonts w:ascii="GHEA Grapalat" w:hAnsi="GHEA Grapalat" w:cs="Sylfaen"/>
          <w:sz w:val="24"/>
          <w:szCs w:val="24"/>
          <w:lang w:val="es-ES_tradnl"/>
        </w:rPr>
        <w:t xml:space="preserve">                 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N ԱԺՈ-002-Ն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որոշմամբ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հաստատված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Հայաստանի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Հանրապետության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կառա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վա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րության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(2021-2026թթ.)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ծրագրի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1-ին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գլխի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«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Ազգային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անվտանգության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մարմին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ների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կայուն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համա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կար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գը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»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կետ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ից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: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Համաձայն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նշված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կետի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` ՀՀ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ներքին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և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արտաքին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անվտանգության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,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կայունու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թյան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,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հա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սա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րա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կու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թյան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բնականոն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գործունեության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կարևորագույն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նախապայմաններից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է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մշտապես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կա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տա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րե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լա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գործվող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,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արդի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մարտա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հրա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վերներին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դիմակայելու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ունակ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, </w:t>
      </w:r>
      <w:proofErr w:type="spellStart"/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t>տեխնիկական</w:t>
      </w:r>
      <w:proofErr w:type="spellEnd"/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t xml:space="preserve"> </w:t>
      </w:r>
      <w:proofErr w:type="spellStart"/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t>զարգա</w:t>
      </w:r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softHyphen/>
        <w:t>ցում</w:t>
      </w:r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softHyphen/>
        <w:t>ներին</w:t>
      </w:r>
      <w:proofErr w:type="spellEnd"/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t xml:space="preserve"> </w:t>
      </w:r>
      <w:proofErr w:type="spellStart"/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t>համ</w:t>
      </w:r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softHyphen/>
        <w:t>ընթաց</w:t>
      </w:r>
      <w:proofErr w:type="spellEnd"/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t xml:space="preserve"> </w:t>
      </w:r>
      <w:proofErr w:type="spellStart"/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t>ար</w:t>
      </w:r>
      <w:r w:rsidRPr="00F94E4E">
        <w:rPr>
          <w:rFonts w:ascii="GHEA Grapalat" w:hAnsi="GHEA Grapalat" w:cs="Sylfaen"/>
          <w:i/>
          <w:iCs/>
          <w:sz w:val="24"/>
          <w:szCs w:val="24"/>
          <w:lang w:val="es-ES_tradnl"/>
        </w:rPr>
        <w:softHyphen/>
        <w:t>դիականացվող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,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համապատասխան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որակյալ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կադրերով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համալրվող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և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հասա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րա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կու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թյան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վստահությունը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վայելող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ազգային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անվտանգության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մարմինների</w:t>
      </w:r>
      <w:proofErr w:type="spellEnd"/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371EB6">
        <w:rPr>
          <w:rFonts w:ascii="GHEA Grapalat" w:hAnsi="GHEA Grapalat" w:cs="Sylfaen"/>
          <w:sz w:val="24"/>
          <w:szCs w:val="24"/>
          <w:lang w:val="es-ES_tradnl"/>
        </w:rPr>
        <w:t>առկա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յու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թյունը</w:t>
      </w:r>
      <w:proofErr w:type="spellEnd"/>
      <w:r w:rsidR="001C35D4">
        <w:rPr>
          <w:rFonts w:ascii="GHEA Grapalat" w:hAnsi="GHEA Grapalat" w:cs="Sylfaen"/>
          <w:sz w:val="24"/>
          <w:szCs w:val="24"/>
          <w:lang w:val="es-ES_tradnl"/>
        </w:rPr>
        <w:t>:</w:t>
      </w:r>
    </w:p>
    <w:p w14:paraId="0991B26A" w14:textId="77777777" w:rsidR="00B15D3B" w:rsidRDefault="00B15D3B" w:rsidP="00EC1CD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s-ES_tradnl"/>
        </w:rPr>
      </w:pPr>
    </w:p>
    <w:p w14:paraId="1A0384A5" w14:textId="03793F9B" w:rsidR="00B15D3B" w:rsidRPr="002E799A" w:rsidRDefault="00B15D3B" w:rsidP="00B15D3B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  <w:proofErr w:type="spellStart"/>
      <w:r w:rsidRPr="002E799A">
        <w:rPr>
          <w:rFonts w:ascii="GHEA Grapalat" w:hAnsi="GHEA Grapalat" w:cs="Sylfaen"/>
          <w:sz w:val="24"/>
          <w:szCs w:val="24"/>
          <w:lang w:val="es-ES_tradnl"/>
        </w:rPr>
        <w:t>Ազգային</w:t>
      </w:r>
      <w:proofErr w:type="spellEnd"/>
      <w:r w:rsidRPr="002E799A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2E799A">
        <w:rPr>
          <w:rFonts w:ascii="GHEA Grapalat" w:hAnsi="GHEA Grapalat" w:cs="Sylfaen"/>
          <w:sz w:val="24"/>
          <w:szCs w:val="24"/>
          <w:lang w:val="es-ES_tradnl"/>
        </w:rPr>
        <w:t>անվտանգության</w:t>
      </w:r>
      <w:proofErr w:type="spellEnd"/>
      <w:r w:rsidRPr="002E799A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2E799A">
        <w:rPr>
          <w:rFonts w:ascii="GHEA Grapalat" w:hAnsi="GHEA Grapalat" w:cs="Sylfaen"/>
          <w:sz w:val="24"/>
          <w:szCs w:val="24"/>
          <w:lang w:val="es-ES_tradnl"/>
        </w:rPr>
        <w:t>ծառայություն</w:t>
      </w:r>
      <w:proofErr w:type="spellEnd"/>
    </w:p>
    <w:sectPr w:rsidR="00B15D3B" w:rsidRPr="002E799A" w:rsidSect="00461541">
      <w:headerReference w:type="default" r:id="rId6"/>
      <w:pgSz w:w="11906" w:h="16838" w:code="9"/>
      <w:pgMar w:top="720" w:right="922" w:bottom="993" w:left="1276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C143" w14:textId="77777777" w:rsidR="00EB4BAC" w:rsidRDefault="00EB4BAC" w:rsidP="00D21952">
      <w:pPr>
        <w:spacing w:after="0" w:line="240" w:lineRule="auto"/>
      </w:pPr>
      <w:r>
        <w:separator/>
      </w:r>
    </w:p>
  </w:endnote>
  <w:endnote w:type="continuationSeparator" w:id="0">
    <w:p w14:paraId="47E8DFBA" w14:textId="77777777" w:rsidR="00EB4BAC" w:rsidRDefault="00EB4BAC" w:rsidP="00D2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C7D4" w14:textId="77777777" w:rsidR="00EB4BAC" w:rsidRDefault="00EB4BAC" w:rsidP="00D21952">
      <w:pPr>
        <w:spacing w:after="0" w:line="240" w:lineRule="auto"/>
      </w:pPr>
      <w:r>
        <w:separator/>
      </w:r>
    </w:p>
  </w:footnote>
  <w:footnote w:type="continuationSeparator" w:id="0">
    <w:p w14:paraId="620BB620" w14:textId="77777777" w:rsidR="00EB4BAC" w:rsidRDefault="00EB4BAC" w:rsidP="00D2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1347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C97AD9" w14:textId="2353490C" w:rsidR="00D21952" w:rsidRDefault="00D219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A7A46" w14:textId="77777777" w:rsidR="00D21952" w:rsidRDefault="00D219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AC"/>
    <w:rsid w:val="000121D8"/>
    <w:rsid w:val="00070C01"/>
    <w:rsid w:val="000C42E1"/>
    <w:rsid w:val="000D37A6"/>
    <w:rsid w:val="00145E17"/>
    <w:rsid w:val="00152818"/>
    <w:rsid w:val="0019211B"/>
    <w:rsid w:val="001B08F5"/>
    <w:rsid w:val="001C35D4"/>
    <w:rsid w:val="001F077A"/>
    <w:rsid w:val="00244849"/>
    <w:rsid w:val="00270A9C"/>
    <w:rsid w:val="002E0F99"/>
    <w:rsid w:val="002E799A"/>
    <w:rsid w:val="003221D7"/>
    <w:rsid w:val="00346854"/>
    <w:rsid w:val="004019FF"/>
    <w:rsid w:val="0041034A"/>
    <w:rsid w:val="004103CE"/>
    <w:rsid w:val="00461541"/>
    <w:rsid w:val="004A672E"/>
    <w:rsid w:val="004F2485"/>
    <w:rsid w:val="0056082E"/>
    <w:rsid w:val="00676A2B"/>
    <w:rsid w:val="008210F9"/>
    <w:rsid w:val="00833765"/>
    <w:rsid w:val="00886728"/>
    <w:rsid w:val="008E6E79"/>
    <w:rsid w:val="009A1974"/>
    <w:rsid w:val="009C5032"/>
    <w:rsid w:val="009C503C"/>
    <w:rsid w:val="00A45C4E"/>
    <w:rsid w:val="00A67CC4"/>
    <w:rsid w:val="00AF5547"/>
    <w:rsid w:val="00B131A7"/>
    <w:rsid w:val="00B15D3B"/>
    <w:rsid w:val="00B41F83"/>
    <w:rsid w:val="00B56E53"/>
    <w:rsid w:val="00B9226F"/>
    <w:rsid w:val="00B96279"/>
    <w:rsid w:val="00BE4922"/>
    <w:rsid w:val="00BF4CFC"/>
    <w:rsid w:val="00C34C5B"/>
    <w:rsid w:val="00C84CAC"/>
    <w:rsid w:val="00C95293"/>
    <w:rsid w:val="00CD349E"/>
    <w:rsid w:val="00CE6F35"/>
    <w:rsid w:val="00D21952"/>
    <w:rsid w:val="00D42814"/>
    <w:rsid w:val="00DB2CA9"/>
    <w:rsid w:val="00E57AE2"/>
    <w:rsid w:val="00EB4BAC"/>
    <w:rsid w:val="00EC1CD6"/>
    <w:rsid w:val="00F4282B"/>
    <w:rsid w:val="00F9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0A469"/>
  <w15:chartTrackingRefBased/>
  <w15:docId w15:val="{91A12889-5726-4F9E-A578-625E2222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9E"/>
    <w:pPr>
      <w:spacing w:after="160" w:line="254" w:lineRule="auto"/>
      <w:jc w:val="left"/>
    </w:pPr>
    <w:rPr>
      <w:rFonts w:asciiTheme="minorHAnsi" w:eastAsia="MS Mincho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49E"/>
    <w:pPr>
      <w:spacing w:line="240" w:lineRule="auto"/>
      <w:jc w:val="left"/>
    </w:pPr>
    <w:rPr>
      <w:rFonts w:asciiTheme="minorHAnsi" w:hAnsiTheme="minorHAnsi"/>
      <w:sz w:val="22"/>
      <w:lang w:val="ru-RU"/>
    </w:rPr>
  </w:style>
  <w:style w:type="paragraph" w:customStyle="1" w:styleId="Style15">
    <w:name w:val="Style1.5"/>
    <w:basedOn w:val="Normal"/>
    <w:rsid w:val="00CD349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D2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952"/>
    <w:rPr>
      <w:rFonts w:asciiTheme="minorHAnsi" w:eastAsia="MS Mincho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2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952"/>
    <w:rPr>
      <w:rFonts w:asciiTheme="minorHAnsi" w:eastAsia="MS Mincho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2024-01-08T05:10:00Z</cp:lastPrinted>
  <dcterms:created xsi:type="dcterms:W3CDTF">2022-11-07T19:25:00Z</dcterms:created>
  <dcterms:modified xsi:type="dcterms:W3CDTF">2024-01-08T05:11:00Z</dcterms:modified>
</cp:coreProperties>
</file>