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D62527" w14:textId="77777777" w:rsidR="00857D8B" w:rsidRPr="00857D8B" w:rsidRDefault="00857D8B" w:rsidP="00857D8B">
      <w:pPr>
        <w:spacing w:after="0"/>
        <w:jc w:val="center"/>
        <w:rPr>
          <w:b/>
          <w:szCs w:val="24"/>
          <w:lang w:val="hy-AM"/>
        </w:rPr>
      </w:pPr>
      <w:bookmarkStart w:id="0" w:name="_GoBack"/>
      <w:bookmarkEnd w:id="0"/>
      <w:r w:rsidRPr="00857D8B">
        <w:rPr>
          <w:b/>
          <w:szCs w:val="24"/>
          <w:lang w:val="hy-AM"/>
        </w:rPr>
        <w:t>ՀԻՄՆԱՎՈՐՈՒՄ</w:t>
      </w:r>
    </w:p>
    <w:p w14:paraId="575C3E5B" w14:textId="3B94F9A9" w:rsidR="00857D8B" w:rsidRPr="00857D8B" w:rsidRDefault="00857D8B" w:rsidP="00857D8B">
      <w:pPr>
        <w:autoSpaceDE w:val="0"/>
        <w:autoSpaceDN w:val="0"/>
        <w:adjustRightInd w:val="0"/>
        <w:spacing w:after="0" w:line="240" w:lineRule="auto"/>
        <w:jc w:val="center"/>
        <w:rPr>
          <w:rFonts w:cs="GHEA Grapalat"/>
          <w:b/>
          <w:szCs w:val="24"/>
          <w:lang w:val="hy-AM"/>
        </w:rPr>
      </w:pPr>
      <w:r w:rsidRPr="00857D8B">
        <w:rPr>
          <w:rFonts w:cs="GHEA Grapalat"/>
          <w:b/>
          <w:szCs w:val="24"/>
          <w:lang w:val="hy-AM"/>
        </w:rPr>
        <w:t>«</w:t>
      </w:r>
      <w:r w:rsidR="00CA36AA" w:rsidRPr="00CA36AA">
        <w:rPr>
          <w:rFonts w:cs="GHEA Grapalat"/>
          <w:b/>
          <w:szCs w:val="24"/>
          <w:lang w:val="hy-AM"/>
        </w:rPr>
        <w:t>ՀԱՅԱՍՏԱՆԻ ՀԱՆՐԱՊԵՏՈՒԹՅԱՆ ԿԱՌԱՎԱՐՈՒԹՅԱՆ 2012 ԹՎԱԿԱՆԻ ՍԵՊՏԵՄԲԵՐԻ 6-Ի N 1201-Ն ՈՐՈՇՈՒՄՆ ՈՒԺԸ ԿՈՐՑՐԱԾ ՃԱՆԱՉԵԼՈՒ ՄԱՍԻՆ</w:t>
      </w:r>
      <w:r w:rsidRPr="00857D8B">
        <w:rPr>
          <w:rFonts w:cs="GHEA Grapalat"/>
          <w:b/>
          <w:szCs w:val="24"/>
          <w:lang w:val="hy-AM"/>
        </w:rPr>
        <w:t>»</w:t>
      </w:r>
    </w:p>
    <w:p w14:paraId="08D10633" w14:textId="6BFBD55E" w:rsidR="00857D8B" w:rsidRPr="00857D8B" w:rsidRDefault="00CA36AA" w:rsidP="00857D8B">
      <w:pPr>
        <w:spacing w:after="0"/>
        <w:jc w:val="center"/>
        <w:rPr>
          <w:rStyle w:val="Strong"/>
          <w:bCs w:val="0"/>
          <w:szCs w:val="24"/>
          <w:lang w:val="hy-AM"/>
        </w:rPr>
      </w:pPr>
      <w:r w:rsidRPr="00CA36AA">
        <w:rPr>
          <w:rFonts w:cs="GHEA Grapalat"/>
          <w:b/>
          <w:szCs w:val="24"/>
          <w:lang w:val="hy-AM"/>
        </w:rPr>
        <w:t xml:space="preserve">ՀԱՅԱՍՏԱՆԻ ՀԱՆՐԱՊԵՏՈՒԹՅԱՆ ԿԱՌԱՎԱՐՈՒԹՅԱՆ </w:t>
      </w:r>
      <w:r w:rsidR="00857D8B" w:rsidRPr="00857D8B">
        <w:rPr>
          <w:rStyle w:val="Strong"/>
          <w:szCs w:val="24"/>
          <w:shd w:val="clear" w:color="auto" w:fill="FFFFFF"/>
          <w:lang w:val="hy-AM"/>
        </w:rPr>
        <w:t>ՈՐՈՇՄԱՆ ՆԱԽԱԳԾԻ</w:t>
      </w:r>
    </w:p>
    <w:p w14:paraId="55E77D89" w14:textId="77777777" w:rsidR="00857D8B" w:rsidRPr="00857D8B" w:rsidRDefault="00857D8B" w:rsidP="00857D8B">
      <w:pPr>
        <w:pStyle w:val="ListParagraph"/>
        <w:spacing w:after="0"/>
        <w:ind w:left="0"/>
        <w:jc w:val="both"/>
        <w:rPr>
          <w:b/>
          <w:szCs w:val="24"/>
          <w:lang w:val="hy-AM"/>
        </w:rPr>
      </w:pPr>
      <w:r w:rsidRPr="00857D8B">
        <w:rPr>
          <w:b/>
          <w:szCs w:val="24"/>
          <w:lang w:val="hy-AM"/>
        </w:rPr>
        <w:t xml:space="preserve"> </w:t>
      </w:r>
      <w:r w:rsidRPr="00857D8B">
        <w:rPr>
          <w:b/>
          <w:szCs w:val="24"/>
          <w:lang w:val="hy-AM"/>
        </w:rPr>
        <w:tab/>
      </w:r>
    </w:p>
    <w:p w14:paraId="2CC7D4A7" w14:textId="77777777" w:rsidR="00857D8B" w:rsidRPr="00857D8B" w:rsidRDefault="00857D8B" w:rsidP="00857D8B">
      <w:pPr>
        <w:pStyle w:val="ListParagraph"/>
        <w:spacing w:after="0" w:line="360" w:lineRule="auto"/>
        <w:ind w:left="0" w:firstLine="720"/>
        <w:jc w:val="both"/>
        <w:rPr>
          <w:b/>
          <w:szCs w:val="24"/>
          <w:lang w:val="hy-AM"/>
        </w:rPr>
      </w:pPr>
      <w:r w:rsidRPr="00857D8B">
        <w:rPr>
          <w:b/>
          <w:szCs w:val="24"/>
          <w:lang w:val="hy-AM"/>
        </w:rPr>
        <w:t>1. Ընթացիկ իրավիճակը և իրավական ակտի ընդունման անհրաժեշտությունը</w:t>
      </w:r>
    </w:p>
    <w:p w14:paraId="6C72BD29" w14:textId="77777777" w:rsidR="00BA0213" w:rsidRDefault="00CA36AA" w:rsidP="00857D8B">
      <w:pPr>
        <w:spacing w:after="0" w:line="360" w:lineRule="auto"/>
        <w:ind w:firstLine="720"/>
        <w:jc w:val="both"/>
        <w:rPr>
          <w:rFonts w:cstheme="minorBidi"/>
          <w:bCs/>
          <w:lang w:val="hy-AM"/>
        </w:rPr>
      </w:pPr>
      <w:r w:rsidRPr="00857D8B">
        <w:rPr>
          <w:szCs w:val="24"/>
          <w:lang w:val="hy-AM"/>
        </w:rPr>
        <w:t>«</w:t>
      </w:r>
      <w:r w:rsidRPr="00857D8B">
        <w:rPr>
          <w:rFonts w:eastAsia="Times New Roman"/>
          <w:szCs w:val="24"/>
          <w:lang w:val="hy-AM"/>
        </w:rPr>
        <w:t>Հավատարմագրման մասին</w:t>
      </w:r>
      <w:r w:rsidRPr="00857D8B">
        <w:rPr>
          <w:szCs w:val="24"/>
          <w:lang w:val="hy-AM"/>
        </w:rPr>
        <w:t>» օրենք</w:t>
      </w:r>
      <w:r w:rsidRPr="00CA36AA">
        <w:rPr>
          <w:szCs w:val="24"/>
          <w:lang w:val="hy-AM"/>
        </w:rPr>
        <w:t xml:space="preserve">ի 10-րդ հոդվածի 1-ին մասի 3-րդ կետով Կառավարությանն է վերապահվել սահմանելու </w:t>
      </w:r>
      <w:r w:rsidRPr="00CA36AA">
        <w:rPr>
          <w:rFonts w:cstheme="minorBidi"/>
          <w:bCs/>
          <w:lang w:val="hy-AM"/>
        </w:rPr>
        <w:t>հ</w:t>
      </w:r>
      <w:r w:rsidRPr="00753285">
        <w:rPr>
          <w:rFonts w:cstheme="minorBidi"/>
          <w:bCs/>
          <w:lang w:val="hy-AM"/>
        </w:rPr>
        <w:t>ամապատասխանության գնահատման մարմինների հավատարմագրման կարգը</w:t>
      </w:r>
      <w:r w:rsidRPr="00CA36AA">
        <w:rPr>
          <w:rFonts w:cstheme="minorBidi"/>
          <w:bCs/>
          <w:lang w:val="hy-AM"/>
        </w:rPr>
        <w:t xml:space="preserve">, </w:t>
      </w:r>
      <w:r w:rsidR="00BA0213" w:rsidRPr="00BA0213">
        <w:rPr>
          <w:rFonts w:cstheme="minorBidi"/>
          <w:bCs/>
          <w:lang w:val="hy-AM"/>
        </w:rPr>
        <w:t>որ</w:t>
      </w:r>
      <w:r w:rsidRPr="00CA36AA">
        <w:rPr>
          <w:rFonts w:cstheme="minorBidi"/>
          <w:bCs/>
          <w:lang w:val="hy-AM"/>
        </w:rPr>
        <w:t>ը և սահմանվել է Կ</w:t>
      </w:r>
      <w:r w:rsidRPr="002C0D44">
        <w:rPr>
          <w:rFonts w:cstheme="minorBidi"/>
          <w:bCs/>
          <w:lang w:val="hy-AM"/>
        </w:rPr>
        <w:t xml:space="preserve">առավարության </w:t>
      </w:r>
      <w:r w:rsidRPr="00753285">
        <w:rPr>
          <w:rFonts w:cstheme="minorBidi"/>
          <w:bCs/>
          <w:lang w:val="hy-AM"/>
        </w:rPr>
        <w:t>2012 թվականի սեպտեմբերի 6-ի «Համապատասխանության գնահատման մարմինների հավատարմագրման կարգը հաստատելու և Հայաստանի Հանրապետության կառավարության 2006 թվականի փետրվարի 16-ի N 302-Ն որոշումն ուժը կորցրած ճանաչելու մասին» N 1201-Ն որոշմ</w:t>
      </w:r>
      <w:r w:rsidRPr="00CA36AA">
        <w:rPr>
          <w:rFonts w:cstheme="minorBidi"/>
          <w:bCs/>
          <w:lang w:val="hy-AM"/>
        </w:rPr>
        <w:t xml:space="preserve">ամբ:  </w:t>
      </w:r>
    </w:p>
    <w:p w14:paraId="73130E14" w14:textId="57714799" w:rsidR="0021681C" w:rsidRPr="0021681C" w:rsidRDefault="00CA36AA" w:rsidP="00857D8B">
      <w:pPr>
        <w:spacing w:after="0" w:line="360" w:lineRule="auto"/>
        <w:ind w:firstLine="720"/>
        <w:jc w:val="both"/>
        <w:rPr>
          <w:rFonts w:cstheme="minorBidi"/>
          <w:bCs/>
          <w:lang w:val="hy-AM"/>
        </w:rPr>
      </w:pPr>
      <w:r w:rsidRPr="00857D8B">
        <w:rPr>
          <w:szCs w:val="24"/>
          <w:lang w:val="hy-AM"/>
        </w:rPr>
        <w:t>«</w:t>
      </w:r>
      <w:r w:rsidRPr="00857D8B">
        <w:rPr>
          <w:rFonts w:eastAsia="Times New Roman"/>
          <w:szCs w:val="24"/>
          <w:lang w:val="hy-AM"/>
        </w:rPr>
        <w:t>«Հավատարմագրման մասին»</w:t>
      </w:r>
      <w:r w:rsidRPr="00857D8B">
        <w:rPr>
          <w:szCs w:val="24"/>
          <w:lang w:val="hy-AM"/>
        </w:rPr>
        <w:t xml:space="preserve">» օրենքում փոփոխություն և լրացում կատարելու մասին» </w:t>
      </w:r>
      <w:r w:rsidRPr="00857D8B">
        <w:rPr>
          <w:color w:val="191919"/>
          <w:shd w:val="clear" w:color="auto" w:fill="FFFFFF"/>
          <w:lang w:val="hy-AM"/>
        </w:rPr>
        <w:t>2023 թվականի մայիսի 24-ի ՀՕ 178-Ն</w:t>
      </w:r>
      <w:r w:rsidRPr="00857D8B">
        <w:rPr>
          <w:szCs w:val="24"/>
          <w:lang w:val="hy-AM"/>
        </w:rPr>
        <w:t xml:space="preserve"> օրենքի</w:t>
      </w:r>
      <w:r w:rsidRPr="00857D8B">
        <w:rPr>
          <w:szCs w:val="24"/>
          <w:shd w:val="clear" w:color="auto" w:fill="FFFFFF"/>
          <w:lang w:val="hy-AM"/>
        </w:rPr>
        <w:t xml:space="preserve"> </w:t>
      </w:r>
      <w:r w:rsidRPr="00857D8B">
        <w:rPr>
          <w:szCs w:val="24"/>
          <w:lang w:val="hy-AM"/>
        </w:rPr>
        <w:t>(այսուհետ` Օրենք) ընդունմամբ</w:t>
      </w:r>
      <w:r w:rsidRPr="00CA36AA">
        <w:rPr>
          <w:rFonts w:cstheme="minorBidi"/>
          <w:bCs/>
          <w:lang w:val="hy-AM"/>
        </w:rPr>
        <w:t xml:space="preserve"> ուժը կորցրած է ճանաչվել </w:t>
      </w:r>
      <w:r w:rsidRPr="00CA36AA">
        <w:rPr>
          <w:szCs w:val="24"/>
          <w:lang w:val="hy-AM"/>
        </w:rPr>
        <w:t>և</w:t>
      </w:r>
      <w:r w:rsidR="0021681C" w:rsidRPr="0021681C">
        <w:rPr>
          <w:szCs w:val="24"/>
          <w:lang w:val="hy-AM"/>
        </w:rPr>
        <w:t xml:space="preserve"> </w:t>
      </w:r>
      <w:r w:rsidR="00552497" w:rsidRPr="00857D8B">
        <w:rPr>
          <w:rFonts w:eastAsia="Times New Roman"/>
          <w:szCs w:val="24"/>
          <w:lang w:val="hy-AM"/>
        </w:rPr>
        <w:t>«</w:t>
      </w:r>
      <w:r w:rsidR="00552497" w:rsidRPr="00EC1592">
        <w:rPr>
          <w:szCs w:val="24"/>
          <w:lang w:val="hy-AM"/>
        </w:rPr>
        <w:t>Հավատարմագրման մասին օրենքի 7-րդ հոդվածի 1-ին մասի 5</w:t>
      </w:r>
      <w:r w:rsidR="00552497" w:rsidRPr="00EC1592">
        <w:rPr>
          <w:rFonts w:ascii="Cambria Math" w:hAnsi="Cambria Math" w:cs="Cambria Math"/>
          <w:szCs w:val="24"/>
          <w:lang w:val="hy-AM"/>
        </w:rPr>
        <w:t>․</w:t>
      </w:r>
      <w:r w:rsidR="00552497" w:rsidRPr="00EC1592">
        <w:rPr>
          <w:szCs w:val="24"/>
          <w:lang w:val="hy-AM"/>
        </w:rPr>
        <w:t>5-</w:t>
      </w:r>
      <w:r w:rsidR="00552497" w:rsidRPr="00EC1592">
        <w:rPr>
          <w:rFonts w:cs="GHEA Grapalat"/>
          <w:szCs w:val="24"/>
          <w:lang w:val="hy-AM"/>
        </w:rPr>
        <w:t>րդ</w:t>
      </w:r>
      <w:r w:rsidR="00552497" w:rsidRPr="00EC1592">
        <w:rPr>
          <w:szCs w:val="24"/>
          <w:lang w:val="hy-AM"/>
        </w:rPr>
        <w:t xml:space="preserve"> </w:t>
      </w:r>
      <w:r w:rsidR="00552497" w:rsidRPr="00EC1592">
        <w:rPr>
          <w:rFonts w:cs="GHEA Grapalat"/>
          <w:szCs w:val="24"/>
          <w:lang w:val="hy-AM"/>
        </w:rPr>
        <w:t>կետ</w:t>
      </w:r>
      <w:r w:rsidR="00552497" w:rsidRPr="006673D2">
        <w:rPr>
          <w:rFonts w:cs="GHEA Grapalat"/>
          <w:szCs w:val="24"/>
          <w:lang w:val="hy-AM"/>
        </w:rPr>
        <w:t>ի</w:t>
      </w:r>
      <w:r w:rsidR="00552497" w:rsidRPr="00857D8B">
        <w:rPr>
          <w:szCs w:val="24"/>
          <w:lang w:val="hy-AM"/>
        </w:rPr>
        <w:t xml:space="preserve"> պահանջների</w:t>
      </w:r>
      <w:r w:rsidR="00552497" w:rsidRPr="00552497">
        <w:rPr>
          <w:szCs w:val="24"/>
          <w:lang w:val="hy-AM"/>
        </w:rPr>
        <w:t>ն համապատասխան՝</w:t>
      </w:r>
      <w:r w:rsidR="00552497" w:rsidRPr="00857D8B">
        <w:rPr>
          <w:szCs w:val="24"/>
          <w:lang w:val="hy-AM"/>
        </w:rPr>
        <w:t xml:space="preserve"> </w:t>
      </w:r>
      <w:r w:rsidR="0021681C" w:rsidRPr="0021681C">
        <w:rPr>
          <w:lang w:val="hy-AM"/>
        </w:rPr>
        <w:t>հ</w:t>
      </w:r>
      <w:r w:rsidR="0021681C" w:rsidRPr="006673D2">
        <w:rPr>
          <w:lang w:val="hy-AM"/>
        </w:rPr>
        <w:t>ավատարմագրման չափանիշները, համապատասխանության գնահատման մարմինների հավատարմագրման, գնահատումների կարգը և ժամկետները</w:t>
      </w:r>
      <w:r w:rsidR="0021681C" w:rsidRPr="00CA36AA">
        <w:rPr>
          <w:rFonts w:cstheme="minorBidi"/>
          <w:bCs/>
          <w:lang w:val="hy-AM"/>
        </w:rPr>
        <w:t xml:space="preserve"> </w:t>
      </w:r>
      <w:r w:rsidRPr="00CA36AA">
        <w:rPr>
          <w:rFonts w:cstheme="minorBidi"/>
          <w:bCs/>
          <w:lang w:val="hy-AM"/>
        </w:rPr>
        <w:t>սահման</w:t>
      </w:r>
      <w:r w:rsidR="0021681C" w:rsidRPr="0021681C">
        <w:rPr>
          <w:rFonts w:cstheme="minorBidi"/>
          <w:bCs/>
          <w:lang w:val="hy-AM"/>
        </w:rPr>
        <w:t>ելու իրավասությունը վերապահվել է Հայաստանի Հանրապետության կառավարության կողմից լիազորված պետական կառավարման մարմնին՝ Էկոնոմիկայի նախա</w:t>
      </w:r>
      <w:r w:rsidR="00BA0213" w:rsidRPr="0021681C">
        <w:rPr>
          <w:rFonts w:cstheme="minorBidi"/>
          <w:bCs/>
          <w:lang w:val="hy-AM"/>
        </w:rPr>
        <w:t>րարությանը</w:t>
      </w:r>
      <w:r w:rsidR="00BA0213" w:rsidRPr="00BA0213">
        <w:rPr>
          <w:rFonts w:cstheme="minorBidi"/>
          <w:bCs/>
          <w:lang w:val="hy-AM"/>
        </w:rPr>
        <w:t xml:space="preserve"> </w:t>
      </w:r>
      <w:r w:rsidR="00BA0213" w:rsidRPr="00BA0213">
        <w:rPr>
          <w:szCs w:val="24"/>
          <w:lang w:val="hy-AM"/>
        </w:rPr>
        <w:t>(</w:t>
      </w:r>
      <w:r w:rsidR="00552497" w:rsidRPr="00857D8B">
        <w:rPr>
          <w:szCs w:val="24"/>
          <w:lang w:val="hy-AM"/>
        </w:rPr>
        <w:t>«</w:t>
      </w:r>
      <w:r w:rsidR="00552497" w:rsidRPr="00857D8B">
        <w:rPr>
          <w:rFonts w:eastAsia="Times New Roman"/>
          <w:szCs w:val="24"/>
          <w:lang w:val="hy-AM"/>
        </w:rPr>
        <w:t>Հավատարմագրման մասին</w:t>
      </w:r>
      <w:r w:rsidR="00552497" w:rsidRPr="00857D8B">
        <w:rPr>
          <w:szCs w:val="24"/>
          <w:lang w:val="hy-AM"/>
        </w:rPr>
        <w:t>» օրենք</w:t>
      </w:r>
      <w:r w:rsidR="00552497" w:rsidRPr="00CA36AA">
        <w:rPr>
          <w:szCs w:val="24"/>
          <w:lang w:val="hy-AM"/>
        </w:rPr>
        <w:t>ի 10-րդ հոդվածի 1-ին մասի 3-րդ կետ</w:t>
      </w:r>
      <w:r w:rsidR="00BA0213" w:rsidRPr="00BA0213">
        <w:rPr>
          <w:szCs w:val="24"/>
          <w:lang w:val="hy-AM"/>
        </w:rPr>
        <w:t>)</w:t>
      </w:r>
      <w:r w:rsidR="0021681C" w:rsidRPr="0021681C">
        <w:rPr>
          <w:rFonts w:cstheme="minorBidi"/>
          <w:bCs/>
          <w:lang w:val="hy-AM"/>
        </w:rPr>
        <w:t>:</w:t>
      </w:r>
    </w:p>
    <w:p w14:paraId="6E873AB4" w14:textId="224514DC" w:rsidR="00857D8B" w:rsidRPr="00857D8B" w:rsidRDefault="0021681C" w:rsidP="00552497">
      <w:pPr>
        <w:spacing w:after="0" w:line="360" w:lineRule="auto"/>
        <w:ind w:firstLine="720"/>
        <w:jc w:val="both"/>
        <w:rPr>
          <w:rFonts w:cs="Courier New"/>
          <w:b/>
          <w:szCs w:val="24"/>
          <w:lang w:val="hy-AM"/>
        </w:rPr>
      </w:pPr>
      <w:r w:rsidRPr="0021681C">
        <w:rPr>
          <w:rFonts w:cstheme="minorBidi"/>
          <w:bCs/>
          <w:lang w:val="hy-AM"/>
        </w:rPr>
        <w:t xml:space="preserve"> </w:t>
      </w:r>
      <w:r w:rsidR="00857D8B" w:rsidRPr="00857D8B">
        <w:rPr>
          <w:b/>
          <w:szCs w:val="24"/>
          <w:lang w:val="hy-AM"/>
        </w:rPr>
        <w:t xml:space="preserve">2. </w:t>
      </w:r>
      <w:r w:rsidR="00857D8B" w:rsidRPr="00857D8B">
        <w:rPr>
          <w:rFonts w:cs="Courier New"/>
          <w:b/>
          <w:szCs w:val="24"/>
          <w:lang w:val="hy-AM"/>
        </w:rPr>
        <w:t>Առաջարկվող կարգավորումների բնույթը</w:t>
      </w:r>
    </w:p>
    <w:p w14:paraId="54E40BD1" w14:textId="7B5C91A9" w:rsidR="00857D8B" w:rsidRPr="00857D8B" w:rsidRDefault="00857D8B" w:rsidP="00857D8B">
      <w:pPr>
        <w:spacing w:after="0" w:line="360" w:lineRule="auto"/>
        <w:ind w:firstLine="720"/>
        <w:jc w:val="both"/>
        <w:rPr>
          <w:szCs w:val="24"/>
          <w:lang w:val="hy-AM"/>
        </w:rPr>
      </w:pPr>
      <w:r w:rsidRPr="00857D8B">
        <w:rPr>
          <w:szCs w:val="24"/>
          <w:lang w:val="hy-AM"/>
        </w:rPr>
        <w:t xml:space="preserve">Ներկայացվող նախագծով </w:t>
      </w:r>
      <w:r w:rsidR="006673D2" w:rsidRPr="00A36E8C">
        <w:rPr>
          <w:lang w:val="hy-AM"/>
        </w:rPr>
        <w:t xml:space="preserve">կարգավորվում </w:t>
      </w:r>
      <w:r w:rsidR="00552497" w:rsidRPr="00552497">
        <w:rPr>
          <w:lang w:val="hy-AM"/>
        </w:rPr>
        <w:t xml:space="preserve">է  </w:t>
      </w:r>
      <w:r w:rsidR="00552497" w:rsidRPr="00857D8B">
        <w:rPr>
          <w:szCs w:val="24"/>
          <w:lang w:val="hy-AM"/>
        </w:rPr>
        <w:t>«</w:t>
      </w:r>
      <w:r w:rsidR="00552497" w:rsidRPr="00857D8B">
        <w:rPr>
          <w:rFonts w:eastAsia="Times New Roman"/>
          <w:szCs w:val="24"/>
          <w:lang w:val="hy-AM"/>
        </w:rPr>
        <w:t>Հավատարմագրման մասին</w:t>
      </w:r>
      <w:r w:rsidR="00552497" w:rsidRPr="00857D8B">
        <w:rPr>
          <w:szCs w:val="24"/>
          <w:lang w:val="hy-AM"/>
        </w:rPr>
        <w:t>» օրենք</w:t>
      </w:r>
      <w:r w:rsidR="00552497" w:rsidRPr="00CA36AA">
        <w:rPr>
          <w:szCs w:val="24"/>
          <w:lang w:val="hy-AM"/>
        </w:rPr>
        <w:t xml:space="preserve">ի 10-րդ հոդվածի 1-ին մասի 3-րդ </w:t>
      </w:r>
      <w:r w:rsidR="00595A32" w:rsidRPr="00595A32">
        <w:rPr>
          <w:szCs w:val="24"/>
          <w:lang w:val="hy-AM"/>
        </w:rPr>
        <w:t>և 7</w:t>
      </w:r>
      <w:r w:rsidR="00595A32" w:rsidRPr="00EC1592">
        <w:rPr>
          <w:szCs w:val="24"/>
          <w:lang w:val="hy-AM"/>
        </w:rPr>
        <w:t>-րդ հոդվածի 1-ին մասի 5</w:t>
      </w:r>
      <w:r w:rsidR="00595A32" w:rsidRPr="00EC1592">
        <w:rPr>
          <w:rFonts w:ascii="Cambria Math" w:hAnsi="Cambria Math" w:cs="Cambria Math"/>
          <w:szCs w:val="24"/>
          <w:lang w:val="hy-AM"/>
        </w:rPr>
        <w:t>․</w:t>
      </w:r>
      <w:r w:rsidR="00595A32" w:rsidRPr="00EC1592">
        <w:rPr>
          <w:szCs w:val="24"/>
          <w:lang w:val="hy-AM"/>
        </w:rPr>
        <w:t>5-</w:t>
      </w:r>
      <w:r w:rsidR="00595A32" w:rsidRPr="00EC1592">
        <w:rPr>
          <w:rFonts w:cs="GHEA Grapalat"/>
          <w:szCs w:val="24"/>
          <w:lang w:val="hy-AM"/>
        </w:rPr>
        <w:t>րդ</w:t>
      </w:r>
      <w:r w:rsidR="00595A32" w:rsidRPr="00EC1592">
        <w:rPr>
          <w:szCs w:val="24"/>
          <w:lang w:val="hy-AM"/>
        </w:rPr>
        <w:t xml:space="preserve"> </w:t>
      </w:r>
      <w:r w:rsidR="00595A32" w:rsidRPr="00EC1592">
        <w:rPr>
          <w:rFonts w:cs="GHEA Grapalat"/>
          <w:szCs w:val="24"/>
          <w:lang w:val="hy-AM"/>
        </w:rPr>
        <w:t>կետ</w:t>
      </w:r>
      <w:r w:rsidR="00595A32" w:rsidRPr="00595A32">
        <w:rPr>
          <w:rFonts w:cs="GHEA Grapalat"/>
          <w:szCs w:val="24"/>
          <w:lang w:val="hy-AM"/>
        </w:rPr>
        <w:t>ե</w:t>
      </w:r>
      <w:r w:rsidR="00595A32" w:rsidRPr="00C430FA">
        <w:rPr>
          <w:rFonts w:cs="GHEA Grapalat"/>
          <w:szCs w:val="24"/>
          <w:lang w:val="hy-AM"/>
        </w:rPr>
        <w:t>ր</w:t>
      </w:r>
      <w:r w:rsidR="00595A32" w:rsidRPr="006673D2">
        <w:rPr>
          <w:rFonts w:cs="GHEA Grapalat"/>
          <w:szCs w:val="24"/>
          <w:lang w:val="hy-AM"/>
        </w:rPr>
        <w:t>ի</w:t>
      </w:r>
      <w:r w:rsidR="00595A32" w:rsidRPr="00857D8B">
        <w:rPr>
          <w:szCs w:val="24"/>
          <w:lang w:val="hy-AM"/>
        </w:rPr>
        <w:t xml:space="preserve"> </w:t>
      </w:r>
      <w:r w:rsidR="00552497" w:rsidRPr="00552497">
        <w:rPr>
          <w:szCs w:val="24"/>
          <w:lang w:val="hy-AM"/>
        </w:rPr>
        <w:t>կատարումը:</w:t>
      </w:r>
      <w:r w:rsidR="00552497" w:rsidRPr="00A36E8C">
        <w:rPr>
          <w:lang w:val="hy-AM"/>
        </w:rPr>
        <w:t xml:space="preserve"> </w:t>
      </w:r>
    </w:p>
    <w:p w14:paraId="4BA637A7" w14:textId="77777777" w:rsidR="00857D8B" w:rsidRPr="00857D8B" w:rsidRDefault="00857D8B" w:rsidP="00857D8B">
      <w:pPr>
        <w:tabs>
          <w:tab w:val="left" w:pos="567"/>
        </w:tabs>
        <w:spacing w:after="0" w:line="360" w:lineRule="auto"/>
        <w:jc w:val="both"/>
        <w:rPr>
          <w:b/>
          <w:szCs w:val="24"/>
          <w:lang w:val="hy-AM"/>
        </w:rPr>
      </w:pPr>
      <w:r w:rsidRPr="00857D8B">
        <w:rPr>
          <w:szCs w:val="24"/>
          <w:shd w:val="clear" w:color="auto" w:fill="FFFFFF"/>
          <w:lang w:val="hy-AM"/>
        </w:rPr>
        <w:tab/>
      </w:r>
      <w:r w:rsidRPr="00857D8B">
        <w:rPr>
          <w:b/>
          <w:szCs w:val="24"/>
          <w:lang w:val="hy-AM"/>
        </w:rPr>
        <w:t xml:space="preserve">3. </w:t>
      </w:r>
      <w:r w:rsidRPr="00857D8B">
        <w:rPr>
          <w:rFonts w:cs="Courier New"/>
          <w:b/>
          <w:szCs w:val="24"/>
          <w:lang w:val="hy-AM"/>
        </w:rPr>
        <w:t>Նախագծի մշակման գործընթացում ներգրավված ինստիտուտները և անձինք</w:t>
      </w:r>
    </w:p>
    <w:p w14:paraId="42B1DCA2" w14:textId="44BABC40" w:rsidR="00857D8B" w:rsidRPr="00857D8B" w:rsidRDefault="00857D8B" w:rsidP="00857D8B">
      <w:pPr>
        <w:spacing w:after="0" w:line="360" w:lineRule="auto"/>
        <w:ind w:firstLine="720"/>
        <w:jc w:val="both"/>
        <w:rPr>
          <w:szCs w:val="24"/>
          <w:lang w:val="hy-AM"/>
        </w:rPr>
      </w:pPr>
      <w:r w:rsidRPr="00857D8B">
        <w:rPr>
          <w:szCs w:val="24"/>
          <w:lang w:val="hy-AM"/>
        </w:rPr>
        <w:t>Նախագիծը մշակվել է Էկոնոմիկայի նախարարության</w:t>
      </w:r>
      <w:r w:rsidR="00293D68" w:rsidRPr="00293D68">
        <w:rPr>
          <w:szCs w:val="24"/>
          <w:lang w:val="hy-AM"/>
        </w:rPr>
        <w:t xml:space="preserve"> </w:t>
      </w:r>
      <w:r w:rsidRPr="00857D8B">
        <w:rPr>
          <w:szCs w:val="24"/>
          <w:lang w:val="hy-AM"/>
        </w:rPr>
        <w:t>աշխատակիցների կողմից:</w:t>
      </w:r>
    </w:p>
    <w:p w14:paraId="3C69F9F6" w14:textId="77777777" w:rsidR="00857D8B" w:rsidRPr="00857D8B" w:rsidRDefault="00857D8B" w:rsidP="00857D8B">
      <w:pPr>
        <w:spacing w:after="0" w:line="360" w:lineRule="auto"/>
        <w:ind w:firstLine="720"/>
        <w:jc w:val="both"/>
        <w:rPr>
          <w:b/>
          <w:szCs w:val="24"/>
          <w:lang w:val="hy-AM"/>
        </w:rPr>
      </w:pPr>
      <w:r w:rsidRPr="00857D8B">
        <w:rPr>
          <w:b/>
          <w:szCs w:val="24"/>
          <w:lang w:val="hy-AM"/>
        </w:rPr>
        <w:t>4. Ակնկալվող արդյունքը</w:t>
      </w:r>
    </w:p>
    <w:p w14:paraId="48A7144E" w14:textId="2FDE05CC" w:rsidR="00857D8B" w:rsidRPr="008F4291" w:rsidRDefault="00857D8B" w:rsidP="00552497">
      <w:pPr>
        <w:spacing w:after="0" w:line="360" w:lineRule="auto"/>
        <w:ind w:firstLine="720"/>
        <w:jc w:val="both"/>
        <w:rPr>
          <w:szCs w:val="24"/>
          <w:lang w:val="hy-AM"/>
        </w:rPr>
      </w:pPr>
      <w:r w:rsidRPr="00857D8B">
        <w:rPr>
          <w:szCs w:val="24"/>
          <w:lang w:val="hy-AM"/>
        </w:rPr>
        <w:t xml:space="preserve">Նախագծի ընդունմամբ </w:t>
      </w:r>
      <w:r w:rsidR="00552497" w:rsidRPr="00552497">
        <w:rPr>
          <w:szCs w:val="24"/>
          <w:lang w:val="hy-AM"/>
        </w:rPr>
        <w:t xml:space="preserve">կապահովվի </w:t>
      </w:r>
      <w:r w:rsidR="00552497" w:rsidRPr="00857D8B">
        <w:rPr>
          <w:szCs w:val="24"/>
          <w:lang w:val="hy-AM"/>
        </w:rPr>
        <w:t>«</w:t>
      </w:r>
      <w:r w:rsidR="00552497" w:rsidRPr="00857D8B">
        <w:rPr>
          <w:rFonts w:eastAsia="Times New Roman"/>
          <w:szCs w:val="24"/>
          <w:lang w:val="hy-AM"/>
        </w:rPr>
        <w:t>Հավատարմագրման մասին</w:t>
      </w:r>
      <w:r w:rsidR="00552497" w:rsidRPr="00857D8B">
        <w:rPr>
          <w:szCs w:val="24"/>
          <w:lang w:val="hy-AM"/>
        </w:rPr>
        <w:t>» օրենք</w:t>
      </w:r>
      <w:r w:rsidR="00552497" w:rsidRPr="00CA36AA">
        <w:rPr>
          <w:szCs w:val="24"/>
          <w:lang w:val="hy-AM"/>
        </w:rPr>
        <w:t>ի 10-րդ հոդվածի 1-ին մասի 3-րդ կետ</w:t>
      </w:r>
      <w:r w:rsidR="00552497" w:rsidRPr="00552497">
        <w:rPr>
          <w:szCs w:val="24"/>
          <w:lang w:val="hy-AM"/>
        </w:rPr>
        <w:t>ի պահանջը:</w:t>
      </w:r>
      <w:r w:rsidR="00552497" w:rsidRPr="00857D8B">
        <w:rPr>
          <w:szCs w:val="24"/>
          <w:lang w:val="hy-AM"/>
        </w:rPr>
        <w:t xml:space="preserve"> </w:t>
      </w:r>
    </w:p>
    <w:p w14:paraId="4CC2C82E" w14:textId="77777777" w:rsidR="00857D8B" w:rsidRPr="00857D8B" w:rsidRDefault="00857D8B" w:rsidP="00857D8B">
      <w:pPr>
        <w:pStyle w:val="ListParagraph"/>
        <w:tabs>
          <w:tab w:val="left" w:pos="1080"/>
        </w:tabs>
        <w:spacing w:after="0" w:line="360" w:lineRule="auto"/>
        <w:ind w:left="0" w:firstLine="720"/>
        <w:jc w:val="both"/>
        <w:rPr>
          <w:b/>
          <w:szCs w:val="24"/>
          <w:lang w:val="hy-AM"/>
        </w:rPr>
      </w:pPr>
      <w:r w:rsidRPr="00857D8B">
        <w:rPr>
          <w:szCs w:val="24"/>
          <w:lang w:val="hy-AM"/>
        </w:rPr>
        <w:t xml:space="preserve"> </w:t>
      </w:r>
      <w:r w:rsidRPr="00857D8B">
        <w:rPr>
          <w:b/>
          <w:szCs w:val="24"/>
          <w:lang w:val="hy-AM"/>
        </w:rPr>
        <w:t>5</w:t>
      </w:r>
      <w:r w:rsidRPr="00857D8B">
        <w:rPr>
          <w:rFonts w:ascii="Cambria Math" w:hAnsi="Cambria Math" w:cs="Cambria Math"/>
          <w:b/>
          <w:szCs w:val="24"/>
          <w:lang w:val="hy-AM"/>
        </w:rPr>
        <w:t>․</w:t>
      </w:r>
      <w:r w:rsidRPr="00857D8B">
        <w:rPr>
          <w:b/>
          <w:szCs w:val="24"/>
          <w:lang w:val="hy-AM"/>
        </w:rPr>
        <w:t xml:space="preserve"> Այլ տեղեկություններ</w:t>
      </w:r>
      <w:r w:rsidRPr="00857D8B">
        <w:rPr>
          <w:rFonts w:ascii="Cambria Math" w:hAnsi="Cambria Math" w:cs="Cambria Math"/>
          <w:b/>
          <w:szCs w:val="24"/>
          <w:lang w:val="hy-AM"/>
        </w:rPr>
        <w:t>․</w:t>
      </w:r>
    </w:p>
    <w:p w14:paraId="6786705D" w14:textId="77777777" w:rsidR="00857D8B" w:rsidRPr="00857D8B" w:rsidRDefault="00857D8B" w:rsidP="00857D8B">
      <w:pPr>
        <w:tabs>
          <w:tab w:val="left" w:pos="1080"/>
        </w:tabs>
        <w:spacing w:after="0" w:line="360" w:lineRule="auto"/>
        <w:ind w:firstLine="720"/>
        <w:jc w:val="both"/>
        <w:rPr>
          <w:szCs w:val="24"/>
          <w:lang w:val="hy-AM"/>
        </w:rPr>
      </w:pPr>
      <w:r w:rsidRPr="00857D8B">
        <w:rPr>
          <w:szCs w:val="24"/>
          <w:lang w:val="hy-AM"/>
        </w:rPr>
        <w:t>Նախագծի ընդունման կապակցությամբ Հայաստանի Հանրապետության պետական բյուջեի եկամուտների էական նվազեցում կամ ծախսերի ավելացում չի առաջանում։</w:t>
      </w:r>
    </w:p>
    <w:p w14:paraId="2B918FF4" w14:textId="43B47AFC" w:rsidR="00857D8B" w:rsidRPr="00857D8B" w:rsidRDefault="00857D8B" w:rsidP="00857D8B">
      <w:pPr>
        <w:tabs>
          <w:tab w:val="left" w:pos="1080"/>
        </w:tabs>
        <w:spacing w:after="0" w:line="360" w:lineRule="auto"/>
        <w:ind w:firstLine="720"/>
        <w:jc w:val="both"/>
        <w:rPr>
          <w:szCs w:val="24"/>
          <w:lang w:val="hy-AM"/>
        </w:rPr>
      </w:pPr>
      <w:r w:rsidRPr="00857D8B">
        <w:rPr>
          <w:szCs w:val="24"/>
          <w:lang w:val="hy-AM"/>
        </w:rPr>
        <w:lastRenderedPageBreak/>
        <w:t xml:space="preserve">Նախագիծը դրվել </w:t>
      </w:r>
      <w:r w:rsidR="00EF45E0" w:rsidRPr="00CA36AA">
        <w:rPr>
          <w:szCs w:val="24"/>
          <w:lang w:val="hy-AM"/>
        </w:rPr>
        <w:t xml:space="preserve">է </w:t>
      </w:r>
      <w:r w:rsidRPr="00857D8B">
        <w:rPr>
          <w:szCs w:val="24"/>
          <w:lang w:val="hy-AM"/>
        </w:rPr>
        <w:t>հանրային քննարկման։</w:t>
      </w:r>
    </w:p>
    <w:p w14:paraId="0A4C5A43" w14:textId="77777777" w:rsidR="00857D8B" w:rsidRPr="00857D8B" w:rsidRDefault="00857D8B" w:rsidP="00857D8B">
      <w:pPr>
        <w:pStyle w:val="NormalWeb"/>
        <w:widowControl w:val="0"/>
        <w:spacing w:before="0" w:beforeAutospacing="0" w:after="0" w:afterAutospacing="0" w:line="360" w:lineRule="auto"/>
        <w:ind w:right="113" w:firstLine="720"/>
        <w:jc w:val="both"/>
        <w:rPr>
          <w:rFonts w:ascii="GHEA Grapalat" w:eastAsiaTheme="minorHAnsi" w:hAnsi="GHEA Grapalat" w:cstheme="minorBidi"/>
          <w:b/>
          <w:noProof/>
          <w:lang w:val="hy-AM"/>
        </w:rPr>
      </w:pPr>
      <w:r w:rsidRPr="00857D8B">
        <w:rPr>
          <w:rFonts w:ascii="GHEA Grapalat" w:eastAsiaTheme="minorHAnsi" w:hAnsi="GHEA Grapalat" w:cstheme="minorBidi"/>
          <w:b/>
          <w:noProof/>
          <w:lang w:val="hy-AM"/>
        </w:rPr>
        <w:t>6</w:t>
      </w:r>
      <w:r w:rsidRPr="00857D8B">
        <w:rPr>
          <w:rFonts w:ascii="Cambria Math" w:eastAsiaTheme="minorHAnsi" w:hAnsi="Cambria Math" w:cs="Cambria Math"/>
          <w:b/>
          <w:noProof/>
          <w:lang w:val="hy-AM"/>
        </w:rPr>
        <w:t>․</w:t>
      </w:r>
      <w:r w:rsidRPr="00857D8B">
        <w:rPr>
          <w:rFonts w:ascii="GHEA Grapalat" w:eastAsiaTheme="minorHAnsi" w:hAnsi="GHEA Grapalat" w:cstheme="minorBidi"/>
          <w:b/>
          <w:noProof/>
          <w:lang w:val="hy-AM"/>
        </w:rPr>
        <w:t xml:space="preserve"> Կապը ռազմավարական փաստաթղթերի հետ. Հայաստանի վերափոխման ռազմավարություն 2050, Կառավարության 2021-2026թթ. ծրագիր, ոլորտային և/կամ այլ ռազմավարություններ</w:t>
      </w:r>
      <w:r w:rsidRPr="00857D8B">
        <w:rPr>
          <w:rFonts w:ascii="Cambria Math" w:eastAsiaTheme="minorHAnsi" w:hAnsi="Cambria Math" w:cs="Cambria Math"/>
          <w:b/>
          <w:noProof/>
          <w:lang w:val="hy-AM"/>
        </w:rPr>
        <w:t>․</w:t>
      </w:r>
    </w:p>
    <w:p w14:paraId="2E2F6EEB" w14:textId="77777777" w:rsidR="00857D8B" w:rsidRPr="00857D8B" w:rsidRDefault="00857D8B" w:rsidP="00857D8B">
      <w:pPr>
        <w:tabs>
          <w:tab w:val="left" w:pos="1080"/>
        </w:tabs>
        <w:spacing w:after="0" w:line="360" w:lineRule="auto"/>
        <w:ind w:firstLine="720"/>
        <w:jc w:val="both"/>
        <w:rPr>
          <w:szCs w:val="24"/>
          <w:lang w:val="hy-AM"/>
        </w:rPr>
      </w:pPr>
      <w:r w:rsidRPr="00857D8B">
        <w:rPr>
          <w:rFonts w:cstheme="minorBidi"/>
          <w:noProof/>
          <w:lang w:val="hy-AM"/>
        </w:rPr>
        <w:t xml:space="preserve">Նախագիծը չի բխում Հայաստանի վերափոխման ռազմավարություն 2050, Կառավարության 2021-2026թթ. ծրագրից, </w:t>
      </w:r>
      <w:r w:rsidR="001B41A2">
        <w:rPr>
          <w:rFonts w:cstheme="minorBidi"/>
          <w:noProof/>
          <w:lang w:val="hy-AM"/>
        </w:rPr>
        <w:t xml:space="preserve">ինչպես նաև </w:t>
      </w:r>
      <w:r w:rsidRPr="00857D8B">
        <w:rPr>
          <w:rFonts w:cstheme="minorBidi"/>
          <w:noProof/>
          <w:lang w:val="hy-AM"/>
        </w:rPr>
        <w:t>ոլորտային և/կամ այլ ռազմավարություններից</w:t>
      </w:r>
    </w:p>
    <w:p w14:paraId="6CBEF826" w14:textId="77777777" w:rsidR="00857D8B" w:rsidRPr="00857D8B" w:rsidRDefault="00857D8B" w:rsidP="00857D8B">
      <w:pPr>
        <w:tabs>
          <w:tab w:val="left" w:pos="1080"/>
        </w:tabs>
        <w:spacing w:after="0"/>
        <w:ind w:firstLine="720"/>
        <w:jc w:val="both"/>
        <w:rPr>
          <w:szCs w:val="24"/>
          <w:lang w:val="hy-AM"/>
        </w:rPr>
      </w:pPr>
    </w:p>
    <w:p w14:paraId="7542AE48" w14:textId="77777777" w:rsidR="00857D8B" w:rsidRPr="006673D2" w:rsidRDefault="00857D8B" w:rsidP="00857D8B">
      <w:pPr>
        <w:spacing w:after="0"/>
        <w:rPr>
          <w:lang w:val="hy-AM"/>
        </w:rPr>
      </w:pPr>
    </w:p>
    <w:p w14:paraId="1A24F054" w14:textId="77777777" w:rsidR="006C52F5" w:rsidRPr="006673D2" w:rsidRDefault="006C52F5">
      <w:pPr>
        <w:rPr>
          <w:lang w:val="hy-AM"/>
        </w:rPr>
      </w:pPr>
    </w:p>
    <w:sectPr w:rsidR="006C52F5" w:rsidRPr="006673D2" w:rsidSect="00C430FA">
      <w:pgSz w:w="11906" w:h="16838"/>
      <w:pgMar w:top="576" w:right="562" w:bottom="562" w:left="1138" w:header="0" w:footer="58"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BE"/>
    <w:rsid w:val="00050633"/>
    <w:rsid w:val="000C0761"/>
    <w:rsid w:val="001164BE"/>
    <w:rsid w:val="001B41A2"/>
    <w:rsid w:val="0021681C"/>
    <w:rsid w:val="00293D68"/>
    <w:rsid w:val="003057AC"/>
    <w:rsid w:val="00316919"/>
    <w:rsid w:val="004E2798"/>
    <w:rsid w:val="00552497"/>
    <w:rsid w:val="00595A32"/>
    <w:rsid w:val="006673D2"/>
    <w:rsid w:val="006C52F5"/>
    <w:rsid w:val="00857D8B"/>
    <w:rsid w:val="008F4291"/>
    <w:rsid w:val="009B1E50"/>
    <w:rsid w:val="00B1797B"/>
    <w:rsid w:val="00B77997"/>
    <w:rsid w:val="00BA0213"/>
    <w:rsid w:val="00C430FA"/>
    <w:rsid w:val="00CA36AA"/>
    <w:rsid w:val="00D77EB0"/>
    <w:rsid w:val="00E46E13"/>
    <w:rsid w:val="00EF45E0"/>
    <w:rsid w:val="00F279A6"/>
    <w:rsid w:val="00F63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7BE6"/>
  <w15:chartTrackingRefBased/>
  <w15:docId w15:val="{6F3CB17B-C210-4D50-B770-9F3C301A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Sylfaen"/>
        <w:color w:val="000000"/>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57D8B"/>
    <w:rPr>
      <w:b/>
      <w:b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Char Char Char,Char Char Char Char,Знак,webb,Знак Знак, webb"/>
    <w:basedOn w:val="Normal"/>
    <w:link w:val="NormalWebChar"/>
    <w:uiPriority w:val="99"/>
    <w:unhideWhenUsed/>
    <w:qFormat/>
    <w:rsid w:val="00857D8B"/>
    <w:pPr>
      <w:spacing w:before="100" w:beforeAutospacing="1" w:after="100" w:afterAutospacing="1" w:line="240" w:lineRule="auto"/>
    </w:pPr>
    <w:rPr>
      <w:rFonts w:ascii="Times New Roman" w:eastAsia="Times New Roman" w:hAnsi="Times New Roman" w:cs="Times New Roman"/>
      <w:color w:val="auto"/>
      <w:szCs w:val="24"/>
    </w:rPr>
  </w:style>
  <w:style w:type="paragraph" w:styleId="ListParagraph">
    <w:name w:val="List Paragraph"/>
    <w:aliases w:val="Akapit z listą BS,List Paragraph 1,List_Paragraph,Multilevel para_II,List Paragraph (numbered (a)),OBC Bullet,List Paragraph11,Normal numbered,Абзац списка1,List Paragraph1,Bullet1,Bullets,References,IBL List Paragraph,List Paragraph nowy"/>
    <w:basedOn w:val="Normal"/>
    <w:link w:val="ListParagraphChar"/>
    <w:uiPriority w:val="34"/>
    <w:qFormat/>
    <w:rsid w:val="00857D8B"/>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List Paragraph1 Char"/>
    <w:link w:val="ListParagraph"/>
    <w:uiPriority w:val="34"/>
    <w:rsid w:val="00857D8B"/>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Char Char Char Char1,Char Char Char Char Char,Знак Char,webb Char"/>
    <w:link w:val="NormalWeb"/>
    <w:uiPriority w:val="99"/>
    <w:locked/>
    <w:rsid w:val="00857D8B"/>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1976</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 K. Margaryan</dc:creator>
  <cp:keywords>https:/mul2-mineconomy.gov.am/tasks/571292/oneclick/himnavorum -1201.docx?token=534f53762f66b3b54e2dd6feeba37341</cp:keywords>
  <dc:description/>
  <cp:lastModifiedBy>Gayane K. Margaryan</cp:lastModifiedBy>
  <cp:revision>2</cp:revision>
  <dcterms:created xsi:type="dcterms:W3CDTF">2024-01-11T08:52:00Z</dcterms:created>
  <dcterms:modified xsi:type="dcterms:W3CDTF">2024-01-11T08:52:00Z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6982614cc7a5670a3e8fa7847e991d36ccb45fc8baebc7ddfc3a487f2bacdd40</vt:lpwstr>
  </property>
</Properties>
</file>