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F156" w14:textId="77777777" w:rsidR="00E95B5D" w:rsidRPr="00E95B5D" w:rsidRDefault="00E95B5D" w:rsidP="00E95B5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ՏԵՂԵԿԱՆՔ</w:t>
      </w:r>
    </w:p>
    <w:p w14:paraId="28565E17" w14:textId="77777777" w:rsidR="00E95B5D" w:rsidRPr="00E95B5D" w:rsidRDefault="00E95B5D" w:rsidP="00E95B5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14:paraId="146456C6" w14:textId="77777777" w:rsidR="00E95B5D" w:rsidRDefault="00E95B5D" w:rsidP="00E95B5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95B5D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ՀԱՅԱՍՏԱՆԻ ՀԱՆՐԱՊԵՏՈՒԹՅԱՆ ՀԱՐԿԱՅԻՆ ՕՐԵՆՍԳՐՔԻ</w:t>
      </w:r>
      <w:r w:rsidRPr="00E95B5D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233-ՐԴ</w:t>
      </w:r>
      <w:r w:rsidRPr="00E95B5D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ՀՈԴՎԱԾՈՒՄ </w:t>
      </w:r>
      <w:r w:rsidRPr="00E95B5D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ԿԱՏԱՐՎՈՂ </w:t>
      </w:r>
      <w:r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ԼՐԱՑՄԱՆ</w:t>
      </w:r>
    </w:p>
    <w:p w14:paraId="6861A92B" w14:textId="77777777" w:rsidR="00E95B5D" w:rsidRPr="00E95B5D" w:rsidRDefault="00E95B5D" w:rsidP="00E95B5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E95B5D" w:rsidRPr="00E95B5D" w14:paraId="4593BE77" w14:textId="77777777" w:rsidTr="00E95B5D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05A3BC27" w14:textId="77777777" w:rsidR="00E95B5D" w:rsidRPr="00E95B5D" w:rsidRDefault="00E95B5D" w:rsidP="00E95B5D">
            <w:pPr>
              <w:spacing w:after="0" w:line="276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233.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75DC5C" w14:textId="77777777" w:rsidR="00E95B5D" w:rsidRPr="00E95B5D" w:rsidRDefault="00E95B5D" w:rsidP="00E95B5D">
            <w:pPr>
              <w:spacing w:after="0" w:line="276" w:lineRule="auto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Տեղական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բյուջե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վճարման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ենթակա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անշարժ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գույքի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հարկի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գումարի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հաշվարկման</w:t>
            </w:r>
            <w:proofErr w:type="spellEnd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5D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կարգը</w:t>
            </w:r>
            <w:proofErr w:type="spellEnd"/>
          </w:p>
        </w:tc>
      </w:tr>
    </w:tbl>
    <w:p w14:paraId="4FFEBD9C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ABCF677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հողամասերի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բացառությամբ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գյուղատնտեսական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) և (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բարելավումների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շուկայական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արժեքին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մոտարկված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կադաստրային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արժեքի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արժեքների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229-րդ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դրույքաչափերով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առնելով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230-րդ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արտոնությունները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234-րդ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դրույթները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Գյուղատնտեսական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զուտ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եկամտի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229-րդ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կետով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դրույքաչափի</w:t>
      </w:r>
      <w:bookmarkStart w:id="0" w:name="_GoBack"/>
      <w:bookmarkEnd w:id="0"/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արտադրյալի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առնելով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230-րդ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արտոնությունները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234-րդ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դրույթները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3E48298B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231-րդ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առաջացման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դադարման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դեպքերում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իսկ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կիսամյակային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գումարները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ճշգրտվում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տվյալ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իսկ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կիսամյակի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առաջացման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դադարման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ամիսներին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համամասնորեն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716E8C24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3.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Հաշվառող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հիմք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ընդունելով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կադաստր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վարող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մարմնից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235-րդ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ստացված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բաժնով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վճարողների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գումարները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գումարների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մինչև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ընթացիկ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նոյեմբերի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1-ը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փակցնում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համայնքի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շենքի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տեսանելի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(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տեղադրում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իրենց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էլեկտրոնային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կայքերում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Հաշվառող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մասում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ժամկետում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վճարողներին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ծանուցագրեր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ուղարկել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փոստով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հանձնել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առձեռն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):</w:t>
      </w:r>
    </w:p>
    <w:p w14:paraId="39032854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4.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3-րդ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մասով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ժամկետում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չփակցնելը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ծանուցագիր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չներկայացնելը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վճարողին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ազատում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ամբողջությամբ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կատարելու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պարտականությունից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492F040B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5.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վճարողներն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գծով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իրենց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տեղեկանք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ստանալու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դիմել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հաշվառող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Հաշվառող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տեղեկանքները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դիմումները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ստանալուց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երեք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2BBAF88F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6.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չհամաձայնելու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վճարողները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օբյեկտ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համարվող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մասով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ճշգրտման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դիմել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հաշվառող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իսկ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բազայի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ճշգրտման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անհրաժեշտ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տվյալներ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ստանալու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դիմել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կադաստր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վարող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Հաշվառող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լիազոր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տեղեկությունները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դիմումները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ստանալուց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երեք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3EDE4244" w14:textId="77777777" w:rsid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7. 2021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հարկը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բացառությամբ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գյուղատնտեսական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հաշվարկվում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շուկայական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արժեքին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մոտարկված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կադաստրային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արժեքների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229-րդ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2-7-րդ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դրույքաչափերի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արտադրյալի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25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տոկոսի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2022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30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տոկոսի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2023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35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տոկոսի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2024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50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տոկոսի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2025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75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տոկոսի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2026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հետագա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տարիների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100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տոկոսի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չափով</w:t>
      </w:r>
      <w:proofErr w:type="spellEnd"/>
      <w:r w:rsidRPr="00E95B5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6FA10D02" w14:textId="77777777" w:rsidR="00E95B5D" w:rsidRPr="00E95B5D" w:rsidRDefault="00E95B5D" w:rsidP="00E95B5D">
      <w:pPr>
        <w:shd w:val="clear" w:color="auto" w:fill="FFFFFF"/>
        <w:spacing w:after="0" w:line="276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commentRangeStart w:id="1"/>
      <w:r w:rsidRPr="005D4C84">
        <w:rPr>
          <w:rFonts w:ascii="GHEA Mariam" w:hAnsi="GHEA Mariam"/>
          <w:sz w:val="24"/>
          <w:szCs w:val="24"/>
          <w:lang w:val="hy-AM"/>
        </w:rPr>
        <w:t>8</w:t>
      </w:r>
      <w:r w:rsidRPr="005D4C84">
        <w:rPr>
          <w:rFonts w:ascii="GHEA Mariam" w:hAnsi="GHEA Mariam"/>
          <w:sz w:val="24"/>
          <w:szCs w:val="24"/>
        </w:rPr>
        <w:t xml:space="preserve">. </w:t>
      </w:r>
      <w:r w:rsidRPr="005D4C84">
        <w:rPr>
          <w:rFonts w:ascii="GHEA Mariam" w:hAnsi="GHEA Mariam"/>
          <w:sz w:val="24"/>
          <w:szCs w:val="24"/>
          <w:lang w:val="hy-AM"/>
        </w:rPr>
        <w:t>Տվյալ հարկային տարվա ընթացքում հարկատուի կողմից Օրենսգրքի 233-րդ հոդվածի 1-ին մասով սահմանված հա</w:t>
      </w:r>
      <w:r>
        <w:rPr>
          <w:rFonts w:ascii="GHEA Mariam" w:hAnsi="GHEA Mariam"/>
          <w:sz w:val="24"/>
          <w:szCs w:val="24"/>
          <w:lang w:val="hy-AM"/>
        </w:rPr>
        <w:t>ր</w:t>
      </w:r>
      <w:r w:rsidRPr="005D4C84">
        <w:rPr>
          <w:rFonts w:ascii="GHEA Mariam" w:hAnsi="GHEA Mariam"/>
          <w:sz w:val="24"/>
          <w:szCs w:val="24"/>
          <w:lang w:val="hy-AM"/>
        </w:rPr>
        <w:t>կային պարտավորությունները ամբող</w:t>
      </w:r>
      <w:r>
        <w:rPr>
          <w:rFonts w:ascii="GHEA Mariam" w:hAnsi="GHEA Mariam"/>
          <w:sz w:val="24"/>
          <w:szCs w:val="24"/>
          <w:lang w:val="hy-AM"/>
        </w:rPr>
        <w:t>ջությամբ</w:t>
      </w:r>
      <w:r w:rsidRPr="005D4C84">
        <w:rPr>
          <w:rFonts w:ascii="GHEA Mariam" w:hAnsi="GHEA Mariam"/>
          <w:sz w:val="24"/>
          <w:szCs w:val="24"/>
          <w:lang w:val="hy-AM"/>
        </w:rPr>
        <w:t xml:space="preserve"> կատարված լինելու դեպքում՝ </w:t>
      </w:r>
      <w:r>
        <w:rPr>
          <w:rFonts w:ascii="GHEA Mariam" w:hAnsi="GHEA Mariam"/>
          <w:sz w:val="24"/>
          <w:szCs w:val="24"/>
          <w:lang w:val="hy-AM"/>
        </w:rPr>
        <w:t>ա</w:t>
      </w:r>
      <w:r w:rsidRPr="005D4C84">
        <w:rPr>
          <w:rFonts w:ascii="GHEA Mariam" w:hAnsi="GHEA Mariam"/>
          <w:sz w:val="24"/>
          <w:szCs w:val="24"/>
          <w:lang w:val="hy-AM"/>
        </w:rPr>
        <w:t xml:space="preserve">նշարժ գույքի կադաստր վարող մարմնի կողմից </w:t>
      </w:r>
      <w:r>
        <w:rPr>
          <w:rFonts w:ascii="GHEA Mariam" w:hAnsi="GHEA Mariam"/>
          <w:sz w:val="24"/>
          <w:szCs w:val="24"/>
          <w:lang w:val="hy-AM"/>
        </w:rPr>
        <w:t xml:space="preserve">անշարժ գույքի որակական կամ քանակական </w:t>
      </w:r>
      <w:r w:rsidRPr="005D4C84">
        <w:rPr>
          <w:rFonts w:ascii="GHEA Mariam" w:hAnsi="GHEA Mariam"/>
          <w:sz w:val="24"/>
          <w:szCs w:val="24"/>
          <w:lang w:val="hy-AM"/>
        </w:rPr>
        <w:t>տվյալների ճշգրտման ժամանակ անշարժ գույքի հարկման բազայի փոփոխման արդյունքում առաջացած հարկի նկատմամբ տույժեր չեն հաշվարկվում</w:t>
      </w:r>
      <w:r>
        <w:rPr>
          <w:rFonts w:ascii="GHEA Mariam" w:hAnsi="GHEA Mariam"/>
          <w:sz w:val="24"/>
          <w:szCs w:val="24"/>
          <w:lang w:val="hy-AM"/>
        </w:rPr>
        <w:t>։</w:t>
      </w:r>
      <w:commentRangeEnd w:id="1"/>
      <w:r>
        <w:rPr>
          <w:rStyle w:val="CommentReference"/>
        </w:rPr>
        <w:commentReference w:id="1"/>
      </w:r>
    </w:p>
    <w:p w14:paraId="107CEB8F" w14:textId="77777777" w:rsidR="003A4E8C" w:rsidRPr="00E95B5D" w:rsidRDefault="003A4E8C" w:rsidP="00E95B5D">
      <w:pPr>
        <w:spacing w:line="276" w:lineRule="auto"/>
        <w:jc w:val="both"/>
        <w:rPr>
          <w:rFonts w:ascii="GHEA Mariam" w:hAnsi="GHEA Mariam"/>
          <w:sz w:val="24"/>
          <w:szCs w:val="24"/>
        </w:rPr>
      </w:pPr>
    </w:p>
    <w:sectPr w:rsidR="003A4E8C" w:rsidRPr="00E95B5D" w:rsidSect="00E95B5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nahatum" w:date="2023-12-11T12:48:00Z" w:initials="G">
    <w:p w14:paraId="2D6CD856" w14:textId="77777777" w:rsidR="00E95B5D" w:rsidRDefault="00E95B5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CD8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nahatum">
    <w15:presenceInfo w15:providerId="None" w15:userId="Gnahat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94"/>
    <w:rsid w:val="002A7494"/>
    <w:rsid w:val="003A4E8C"/>
    <w:rsid w:val="00D46BC1"/>
    <w:rsid w:val="00E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0F3A"/>
  <w15:chartTrackingRefBased/>
  <w15:docId w15:val="{3B970375-461E-44E8-95F6-14B96921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B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Liana Kocharyan</cp:lastModifiedBy>
  <cp:revision>3</cp:revision>
  <dcterms:created xsi:type="dcterms:W3CDTF">2023-12-11T08:43:00Z</dcterms:created>
  <dcterms:modified xsi:type="dcterms:W3CDTF">2023-12-13T12:26:00Z</dcterms:modified>
</cp:coreProperties>
</file>