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3AC0" w14:textId="77777777" w:rsidR="00BF73DE" w:rsidRDefault="00BF73DE" w:rsidP="00C06AF5">
      <w:pPr>
        <w:spacing w:line="360" w:lineRule="auto"/>
        <w:jc w:val="center"/>
        <w:rPr>
          <w:rFonts w:ascii="GHEA Grapalat" w:hAnsi="GHEA Grapalat"/>
          <w:sz w:val="24"/>
          <w:szCs w:val="24"/>
        </w:rPr>
      </w:pPr>
    </w:p>
    <w:p w14:paraId="77ECE186" w14:textId="1F71C5DC" w:rsidR="00C06AF5" w:rsidRPr="003B1DDA" w:rsidRDefault="00C06AF5" w:rsidP="00C06AF5">
      <w:pPr>
        <w:spacing w:line="360" w:lineRule="auto"/>
        <w:jc w:val="center"/>
        <w:rPr>
          <w:rFonts w:ascii="GHEA Grapalat" w:hAnsi="GHEA Grapalat"/>
          <w:sz w:val="24"/>
          <w:szCs w:val="24"/>
        </w:rPr>
      </w:pPr>
      <w:r w:rsidRPr="003B1DDA">
        <w:rPr>
          <w:rFonts w:ascii="GHEA Grapalat" w:hAnsi="GHEA Grapalat"/>
          <w:sz w:val="24"/>
          <w:szCs w:val="24"/>
        </w:rPr>
        <w:t>ԱՄՓՈՓԱԹԵՐԹ</w:t>
      </w:r>
    </w:p>
    <w:p w14:paraId="1D39CA8C" w14:textId="32DA6DA9" w:rsidR="00A90F8F" w:rsidRDefault="00977467" w:rsidP="00BF73DE">
      <w:pPr>
        <w:spacing w:line="360" w:lineRule="auto"/>
        <w:jc w:val="center"/>
        <w:rPr>
          <w:rFonts w:ascii="GHEA Grapalat" w:eastAsia="NSimSun" w:hAnsi="GHEA Grapalat" w:cs="Sylfaen"/>
          <w:kern w:val="2"/>
          <w:sz w:val="24"/>
          <w:szCs w:val="24"/>
          <w:lang w:val="hy-AM" w:eastAsia="zh-CN" w:bidi="hi-IN"/>
        </w:rPr>
      </w:pPr>
      <w:r w:rsidRPr="00977467">
        <w:rPr>
          <w:rFonts w:ascii="GHEA Grapalat" w:eastAsia="NSimSun" w:hAnsi="GHEA Grapalat" w:cs="Sylfaen"/>
          <w:kern w:val="2"/>
          <w:sz w:val="24"/>
          <w:szCs w:val="24"/>
          <w:lang w:val="hy-AM" w:eastAsia="zh-CN" w:bidi="hi-IN"/>
        </w:rPr>
        <w:t>«</w:t>
      </w:r>
      <w:r w:rsidR="00092CDD" w:rsidRPr="00092CDD">
        <w:rPr>
          <w:rFonts w:ascii="GHEA Grapalat" w:eastAsia="NSimSun" w:hAnsi="GHEA Grapalat" w:cs="Sylfaen"/>
          <w:kern w:val="2"/>
          <w:sz w:val="24"/>
          <w:szCs w:val="24"/>
          <w:lang w:val="hy-AM" w:eastAsia="zh-CN" w:bidi="hi-IN"/>
        </w:rPr>
        <w:t>«ՎԵՐԱՄՇԱԿՈՒՄ՝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w:t>
      </w:r>
      <w:r w:rsidRPr="00977467">
        <w:rPr>
          <w:rFonts w:ascii="GHEA Grapalat" w:eastAsia="NSimSun" w:hAnsi="GHEA Grapalat" w:cs="Sylfaen"/>
          <w:kern w:val="2"/>
          <w:sz w:val="24"/>
          <w:szCs w:val="24"/>
          <w:lang w:val="hy-AM" w:eastAsia="zh-CN" w:bidi="hi-IN"/>
        </w:rPr>
        <w:t xml:space="preserve">» ՀԱՅԱՍՏԱՆԻ ՀԱՆՐԱՊԵՏՈՒԹՅԱՆ ԿԱՌԱՎԱՐՈՒԹՅԱՆ ՈՐՈՇՄԱՆ </w:t>
      </w:r>
      <w:r w:rsidR="00444115" w:rsidRPr="00F900BA">
        <w:rPr>
          <w:rFonts w:ascii="GHEA Grapalat" w:eastAsia="NSimSun" w:hAnsi="GHEA Grapalat" w:cs="Sylfaen"/>
          <w:kern w:val="2"/>
          <w:sz w:val="24"/>
          <w:szCs w:val="24"/>
          <w:lang w:val="hy-AM" w:eastAsia="zh-CN" w:bidi="hi-IN"/>
        </w:rPr>
        <w:t>ՆԱԽԱԳԾ</w:t>
      </w:r>
      <w:r w:rsidR="00444115">
        <w:rPr>
          <w:rFonts w:ascii="GHEA Grapalat" w:eastAsia="NSimSun" w:hAnsi="GHEA Grapalat" w:cs="Sylfaen"/>
          <w:kern w:val="2"/>
          <w:sz w:val="24"/>
          <w:szCs w:val="24"/>
          <w:lang w:val="hy-AM" w:eastAsia="zh-CN" w:bidi="hi-IN"/>
        </w:rPr>
        <w:t>Ի</w:t>
      </w:r>
    </w:p>
    <w:p w14:paraId="5EEDCA14" w14:textId="77777777" w:rsidR="00BF73DE" w:rsidRDefault="00BF73DE" w:rsidP="00B4485D">
      <w:pPr>
        <w:spacing w:line="360" w:lineRule="auto"/>
        <w:rPr>
          <w:rFonts w:ascii="GHEA Grapalat" w:eastAsia="NSimSun" w:hAnsi="GHEA Grapalat" w:cs="Sylfaen"/>
          <w:kern w:val="2"/>
          <w:sz w:val="24"/>
          <w:szCs w:val="24"/>
          <w:lang w:val="hy-AM" w:eastAsia="zh-CN" w:bidi="hi-IN"/>
        </w:rPr>
      </w:pPr>
    </w:p>
    <w:tbl>
      <w:tblPr>
        <w:tblW w:w="1399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98"/>
        <w:gridCol w:w="4404"/>
        <w:gridCol w:w="2397"/>
      </w:tblGrid>
      <w:tr w:rsidR="00C06AF5" w:rsidRPr="003B1DDA" w14:paraId="6BE56CB3" w14:textId="77777777" w:rsidTr="0055041C">
        <w:trPr>
          <w:tblCellSpacing w:w="0" w:type="dxa"/>
          <w:jc w:val="center"/>
        </w:trPr>
        <w:tc>
          <w:tcPr>
            <w:tcW w:w="11602" w:type="dxa"/>
            <w:gridSpan w:val="2"/>
            <w:vMerge w:val="restart"/>
            <w:tcBorders>
              <w:top w:val="outset" w:sz="6" w:space="0" w:color="auto"/>
              <w:left w:val="outset" w:sz="6" w:space="0" w:color="auto"/>
              <w:bottom w:val="outset" w:sz="6" w:space="0" w:color="auto"/>
              <w:right w:val="outset" w:sz="6" w:space="0" w:color="auto"/>
            </w:tcBorders>
            <w:shd w:val="clear" w:color="auto" w:fill="D0D0D0"/>
            <w:vAlign w:val="center"/>
            <w:hideMark/>
          </w:tcPr>
          <w:p w14:paraId="14D9B662" w14:textId="291F0A34" w:rsidR="00C06AF5" w:rsidRPr="003B1DDA" w:rsidRDefault="0086253F" w:rsidP="0055041C">
            <w:pPr>
              <w:spacing w:line="360" w:lineRule="auto"/>
              <w:jc w:val="center"/>
              <w:rPr>
                <w:rFonts w:ascii="GHEA Grapalat" w:hAnsi="GHEA Grapalat"/>
                <w:sz w:val="24"/>
                <w:szCs w:val="24"/>
                <w:lang w:val="hy-AM"/>
              </w:rPr>
            </w:pPr>
            <w:bookmarkStart w:id="0" w:name="_Hlk88664691"/>
            <w:r>
              <w:rPr>
                <w:rFonts w:ascii="GHEA Grapalat" w:hAnsi="GHEA Grapalat"/>
                <w:sz w:val="24"/>
                <w:szCs w:val="24"/>
                <w:lang w:val="hy-AM"/>
              </w:rPr>
              <w:t>1</w:t>
            </w:r>
            <w:r>
              <w:rPr>
                <w:rFonts w:ascii="Cambria Math" w:hAnsi="Cambria Math"/>
                <w:sz w:val="24"/>
                <w:szCs w:val="24"/>
                <w:lang w:val="hy-AM"/>
              </w:rPr>
              <w:t xml:space="preserve">․ </w:t>
            </w:r>
            <w:r w:rsidR="00D74BBA" w:rsidRPr="00D74BBA">
              <w:rPr>
                <w:rFonts w:ascii="GHEA Grapalat" w:hAnsi="GHEA Grapalat"/>
                <w:sz w:val="24"/>
                <w:szCs w:val="24"/>
                <w:lang w:val="hy-AM"/>
              </w:rPr>
              <w:t xml:space="preserve">ՀՀ </w:t>
            </w:r>
            <w:r w:rsidR="00DC02B4">
              <w:rPr>
                <w:rFonts w:ascii="GHEA Grapalat" w:hAnsi="GHEA Grapalat"/>
                <w:sz w:val="24"/>
                <w:szCs w:val="24"/>
                <w:lang w:val="hy-AM"/>
              </w:rPr>
              <w:t>ֆինանսների նախարարություն</w:t>
            </w:r>
          </w:p>
        </w:tc>
        <w:tc>
          <w:tcPr>
            <w:tcW w:w="2397" w:type="dxa"/>
            <w:tcBorders>
              <w:top w:val="outset" w:sz="6" w:space="0" w:color="auto"/>
              <w:left w:val="outset" w:sz="6" w:space="0" w:color="auto"/>
              <w:bottom w:val="outset" w:sz="6" w:space="0" w:color="auto"/>
              <w:right w:val="outset" w:sz="6" w:space="0" w:color="auto"/>
            </w:tcBorders>
            <w:shd w:val="clear" w:color="auto" w:fill="D0D0D0"/>
            <w:vAlign w:val="center"/>
          </w:tcPr>
          <w:p w14:paraId="7F369455" w14:textId="78FB35E1" w:rsidR="00C06AF5" w:rsidRPr="00736C5B" w:rsidRDefault="00092CDD" w:rsidP="0055041C">
            <w:pPr>
              <w:spacing w:line="360" w:lineRule="auto"/>
              <w:jc w:val="center"/>
              <w:rPr>
                <w:rFonts w:ascii="GHEA Grapalat" w:hAnsi="GHEA Grapalat"/>
                <w:sz w:val="24"/>
                <w:szCs w:val="24"/>
                <w:lang w:val="hy-AM"/>
              </w:rPr>
            </w:pPr>
            <w:r>
              <w:rPr>
                <w:rFonts w:ascii="GHEA Grapalat" w:hAnsi="GHEA Grapalat" w:cs="Cambria Math"/>
                <w:sz w:val="24"/>
                <w:szCs w:val="24"/>
                <w:lang w:val="ru-RU"/>
              </w:rPr>
              <w:t>11</w:t>
            </w:r>
            <w:r w:rsidR="008900C7" w:rsidRPr="00092CDD">
              <w:rPr>
                <w:rFonts w:ascii="Cambria Math" w:hAnsi="Cambria Math" w:cs="Cambria Math"/>
                <w:sz w:val="24"/>
                <w:szCs w:val="24"/>
                <w:lang w:val="hy-AM"/>
              </w:rPr>
              <w:t>․</w:t>
            </w:r>
            <w:r w:rsidRPr="00092CDD">
              <w:rPr>
                <w:rFonts w:ascii="GHEA Grapalat" w:hAnsi="GHEA Grapalat" w:cs="Cambria Math"/>
                <w:sz w:val="24"/>
                <w:szCs w:val="24"/>
                <w:lang w:val="ru-RU"/>
              </w:rPr>
              <w:t>12</w:t>
            </w:r>
            <w:r w:rsidR="008900C7" w:rsidRPr="00092CDD">
              <w:rPr>
                <w:rFonts w:ascii="Cambria Math" w:hAnsi="Cambria Math" w:cs="Cambria Math"/>
                <w:sz w:val="24"/>
                <w:szCs w:val="24"/>
                <w:lang w:val="hy-AM"/>
              </w:rPr>
              <w:t>․</w:t>
            </w:r>
            <w:r w:rsidR="008900C7" w:rsidRPr="00736C5B">
              <w:rPr>
                <w:rFonts w:ascii="GHEA Grapalat" w:hAnsi="GHEA Grapalat"/>
                <w:sz w:val="24"/>
                <w:szCs w:val="24"/>
                <w:lang w:val="hy-AM"/>
              </w:rPr>
              <w:t>202</w:t>
            </w:r>
            <w:r w:rsidR="00736C5B">
              <w:rPr>
                <w:rFonts w:ascii="GHEA Grapalat" w:hAnsi="GHEA Grapalat"/>
                <w:sz w:val="24"/>
                <w:szCs w:val="24"/>
                <w:lang w:val="hy-AM"/>
              </w:rPr>
              <w:t>3</w:t>
            </w:r>
            <w:r w:rsidR="008900C7" w:rsidRPr="00736C5B">
              <w:rPr>
                <w:rFonts w:ascii="GHEA Grapalat" w:hAnsi="GHEA Grapalat"/>
                <w:sz w:val="24"/>
                <w:szCs w:val="24"/>
                <w:lang w:val="hy-AM"/>
              </w:rPr>
              <w:t>թ</w:t>
            </w:r>
            <w:r w:rsidR="008900C7" w:rsidRPr="00736C5B">
              <w:rPr>
                <w:rFonts w:ascii="Cambria Math" w:hAnsi="Cambria Math" w:cs="Cambria Math"/>
                <w:sz w:val="24"/>
                <w:szCs w:val="24"/>
                <w:lang w:val="hy-AM"/>
              </w:rPr>
              <w:t>․</w:t>
            </w:r>
          </w:p>
        </w:tc>
      </w:tr>
      <w:tr w:rsidR="00C06AF5" w:rsidRPr="003B1DDA" w14:paraId="0C043B9F" w14:textId="77777777" w:rsidTr="0055041C">
        <w:trPr>
          <w:trHeight w:val="376"/>
          <w:tblCellSpacing w:w="0" w:type="dxa"/>
          <w:jc w:val="center"/>
        </w:trPr>
        <w:tc>
          <w:tcPr>
            <w:tcW w:w="1160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87F78D" w14:textId="77777777" w:rsidR="00C06AF5" w:rsidRPr="003B1DDA" w:rsidRDefault="00C06AF5" w:rsidP="000E0FD5">
            <w:pPr>
              <w:spacing w:line="360" w:lineRule="auto"/>
              <w:rPr>
                <w:rFonts w:ascii="GHEA Grapalat" w:hAnsi="GHEA Grapalat"/>
                <w:sz w:val="24"/>
                <w:szCs w:val="24"/>
              </w:rPr>
            </w:pPr>
          </w:p>
        </w:tc>
        <w:tc>
          <w:tcPr>
            <w:tcW w:w="2397" w:type="dxa"/>
            <w:tcBorders>
              <w:top w:val="outset" w:sz="6" w:space="0" w:color="auto"/>
              <w:left w:val="outset" w:sz="6" w:space="0" w:color="auto"/>
              <w:bottom w:val="outset" w:sz="6" w:space="0" w:color="auto"/>
              <w:right w:val="outset" w:sz="6" w:space="0" w:color="auto"/>
            </w:tcBorders>
            <w:shd w:val="clear" w:color="auto" w:fill="D0D0D0"/>
          </w:tcPr>
          <w:p w14:paraId="0A30C50D" w14:textId="7270AEB5" w:rsidR="00C06AF5" w:rsidRPr="008900C7" w:rsidRDefault="008900C7" w:rsidP="00BF73DE">
            <w:pPr>
              <w:spacing w:after="0" w:line="360" w:lineRule="auto"/>
              <w:jc w:val="center"/>
              <w:rPr>
                <w:rFonts w:ascii="GHEA Grapalat" w:hAnsi="GHEA Grapalat"/>
                <w:sz w:val="24"/>
                <w:szCs w:val="24"/>
              </w:rPr>
            </w:pPr>
            <w:r w:rsidRPr="008900C7">
              <w:rPr>
                <w:rFonts w:ascii="GHEA Grapalat" w:hAnsi="GHEA Grapalat"/>
                <w:sz w:val="24"/>
                <w:szCs w:val="24"/>
              </w:rPr>
              <w:t>№</w:t>
            </w:r>
            <w:r w:rsidR="00C359A7">
              <w:t xml:space="preserve"> </w:t>
            </w:r>
            <w:r w:rsidR="00092CDD" w:rsidRPr="00092CDD">
              <w:rPr>
                <w:rFonts w:ascii="GHEA Grapalat" w:hAnsi="GHEA Grapalat"/>
                <w:sz w:val="24"/>
                <w:szCs w:val="24"/>
              </w:rPr>
              <w:t>01/4/23824-2023</w:t>
            </w:r>
          </w:p>
        </w:tc>
      </w:tr>
      <w:bookmarkEnd w:id="0"/>
      <w:tr w:rsidR="00661268" w:rsidRPr="003B1DDA" w14:paraId="0BF4081C" w14:textId="3AB5ACEA" w:rsidTr="0055041C">
        <w:trPr>
          <w:trHeight w:val="376"/>
          <w:tblCellSpacing w:w="0" w:type="dxa"/>
          <w:jc w:val="center"/>
        </w:trPr>
        <w:tc>
          <w:tcPr>
            <w:tcW w:w="7198" w:type="dxa"/>
            <w:tcBorders>
              <w:top w:val="outset" w:sz="6" w:space="0" w:color="auto"/>
              <w:left w:val="outset" w:sz="6" w:space="0" w:color="auto"/>
              <w:bottom w:val="outset" w:sz="6" w:space="0" w:color="auto"/>
              <w:right w:val="outset" w:sz="6" w:space="0" w:color="auto"/>
            </w:tcBorders>
            <w:shd w:val="clear" w:color="auto" w:fill="FFFFFF"/>
            <w:vAlign w:val="center"/>
          </w:tcPr>
          <w:p w14:paraId="49639265" w14:textId="7E486269" w:rsidR="00B4485D" w:rsidRPr="00DC02B4" w:rsidRDefault="00092CDD" w:rsidP="00B4485D">
            <w:pPr>
              <w:spacing w:before="120" w:after="0" w:line="360" w:lineRule="auto"/>
              <w:ind w:left="150" w:right="165"/>
              <w:jc w:val="both"/>
              <w:rPr>
                <w:rFonts w:ascii="GHEA Grapalat" w:hAnsi="GHEA Grapalat"/>
                <w:sz w:val="24"/>
                <w:szCs w:val="24"/>
                <w:lang w:val="hy-AM"/>
              </w:rPr>
            </w:pPr>
            <w:r w:rsidRPr="00092CDD">
              <w:rPr>
                <w:rFonts w:ascii="GHEA Grapalat" w:hAnsi="GHEA Grapalat"/>
                <w:sz w:val="24"/>
                <w:szCs w:val="24"/>
              </w:rPr>
              <w:t xml:space="preserve">   </w:t>
            </w:r>
            <w:r w:rsidRPr="00092CDD">
              <w:rPr>
                <w:rFonts w:ascii="GHEA Grapalat" w:hAnsi="GHEA Grapalat"/>
                <w:sz w:val="24"/>
                <w:szCs w:val="24"/>
                <w:lang w:val="hy-AM"/>
              </w:rPr>
              <w:t xml:space="preserve">Ուսումնասիրելով «Վերամշակում՝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ՀՀ կառավարության որոշման նախագիծը, հայտնում ենք, որ ՀՀ ֆինանսների նախարարությունը նախագծի վերաբերյալ դիտողություններ և առաջարկություններ չունի: </w:t>
            </w:r>
          </w:p>
        </w:tc>
        <w:tc>
          <w:tcPr>
            <w:tcW w:w="6801" w:type="dxa"/>
            <w:gridSpan w:val="2"/>
            <w:tcBorders>
              <w:top w:val="outset" w:sz="6" w:space="0" w:color="auto"/>
              <w:left w:val="outset" w:sz="6" w:space="0" w:color="auto"/>
              <w:bottom w:val="outset" w:sz="6" w:space="0" w:color="auto"/>
              <w:right w:val="outset" w:sz="6" w:space="0" w:color="auto"/>
            </w:tcBorders>
            <w:shd w:val="clear" w:color="auto" w:fill="FFFFFF"/>
          </w:tcPr>
          <w:p w14:paraId="66B7613A" w14:textId="3E019A17" w:rsidR="00661268" w:rsidRDefault="00206888" w:rsidP="0055041C">
            <w:pPr>
              <w:spacing w:before="240" w:line="360" w:lineRule="auto"/>
              <w:jc w:val="center"/>
              <w:rPr>
                <w:rFonts w:ascii="GHEA Grapalat" w:hAnsi="GHEA Grapalat"/>
                <w:sz w:val="24"/>
                <w:szCs w:val="24"/>
              </w:rPr>
            </w:pPr>
            <w:r w:rsidRPr="00206888">
              <w:rPr>
                <w:rFonts w:ascii="GHEA Grapalat" w:hAnsi="GHEA Grapalat"/>
                <w:sz w:val="24"/>
                <w:szCs w:val="24"/>
              </w:rPr>
              <w:t>Ընդունվել է</w:t>
            </w:r>
          </w:p>
        </w:tc>
      </w:tr>
      <w:tr w:rsidR="0086253F" w:rsidRPr="003B1DDA" w14:paraId="159FFE93" w14:textId="77777777" w:rsidTr="0055041C">
        <w:trPr>
          <w:tblCellSpacing w:w="0" w:type="dxa"/>
          <w:jc w:val="center"/>
        </w:trPr>
        <w:tc>
          <w:tcPr>
            <w:tcW w:w="11602" w:type="dxa"/>
            <w:gridSpan w:val="2"/>
            <w:vMerge w:val="restart"/>
            <w:tcBorders>
              <w:top w:val="outset" w:sz="6" w:space="0" w:color="auto"/>
              <w:left w:val="outset" w:sz="6" w:space="0" w:color="auto"/>
              <w:bottom w:val="outset" w:sz="6" w:space="0" w:color="auto"/>
              <w:right w:val="outset" w:sz="6" w:space="0" w:color="auto"/>
            </w:tcBorders>
            <w:shd w:val="clear" w:color="auto" w:fill="D0D0D0"/>
            <w:vAlign w:val="center"/>
            <w:hideMark/>
          </w:tcPr>
          <w:p w14:paraId="1519D709" w14:textId="7E50B5C6" w:rsidR="0086253F" w:rsidRPr="003B1DDA" w:rsidRDefault="0086253F" w:rsidP="0055041C">
            <w:pPr>
              <w:spacing w:line="360" w:lineRule="auto"/>
              <w:jc w:val="center"/>
              <w:rPr>
                <w:rFonts w:ascii="GHEA Grapalat" w:hAnsi="GHEA Grapalat"/>
                <w:sz w:val="24"/>
                <w:szCs w:val="24"/>
                <w:lang w:val="hy-AM"/>
              </w:rPr>
            </w:pPr>
            <w:bookmarkStart w:id="1" w:name="_Hlk88664852"/>
            <w:r>
              <w:rPr>
                <w:rFonts w:ascii="GHEA Grapalat" w:hAnsi="GHEA Grapalat"/>
                <w:sz w:val="24"/>
                <w:szCs w:val="24"/>
                <w:lang w:val="hy-AM"/>
              </w:rPr>
              <w:t>2</w:t>
            </w:r>
            <w:r w:rsidRPr="003B1DDA">
              <w:rPr>
                <w:rFonts w:ascii="GHEA Grapalat" w:hAnsi="GHEA Grapalat"/>
                <w:sz w:val="24"/>
                <w:szCs w:val="24"/>
              </w:rPr>
              <w:t xml:space="preserve">. </w:t>
            </w:r>
            <w:r w:rsidRPr="003B1DDA">
              <w:rPr>
                <w:rFonts w:ascii="GHEA Grapalat" w:hAnsi="GHEA Grapalat"/>
                <w:sz w:val="24"/>
                <w:szCs w:val="24"/>
                <w:lang w:val="hy-AM"/>
              </w:rPr>
              <w:t>ՀՀ պետական եկամուտների</w:t>
            </w:r>
            <w:r w:rsidR="00092CDD" w:rsidRPr="003B1DDA">
              <w:rPr>
                <w:rFonts w:ascii="GHEA Grapalat" w:hAnsi="GHEA Grapalat"/>
                <w:sz w:val="24"/>
                <w:szCs w:val="24"/>
                <w:lang w:val="hy-AM"/>
              </w:rPr>
              <w:t xml:space="preserve"> կոմիտե</w:t>
            </w:r>
          </w:p>
        </w:tc>
        <w:tc>
          <w:tcPr>
            <w:tcW w:w="2397" w:type="dxa"/>
            <w:tcBorders>
              <w:top w:val="outset" w:sz="6" w:space="0" w:color="auto"/>
              <w:left w:val="outset" w:sz="6" w:space="0" w:color="auto"/>
              <w:bottom w:val="outset" w:sz="6" w:space="0" w:color="auto"/>
              <w:right w:val="outset" w:sz="6" w:space="0" w:color="auto"/>
            </w:tcBorders>
            <w:shd w:val="clear" w:color="auto" w:fill="D0D0D0"/>
            <w:vAlign w:val="center"/>
            <w:hideMark/>
          </w:tcPr>
          <w:p w14:paraId="1B5B38D5" w14:textId="2C1D0380" w:rsidR="0086253F" w:rsidRPr="003038AC" w:rsidRDefault="0055041C" w:rsidP="0055041C">
            <w:pPr>
              <w:spacing w:line="360" w:lineRule="auto"/>
              <w:jc w:val="center"/>
              <w:rPr>
                <w:rFonts w:ascii="Cambria Math" w:hAnsi="Cambria Math"/>
                <w:sz w:val="24"/>
                <w:szCs w:val="24"/>
                <w:lang w:val="hy-AM"/>
              </w:rPr>
            </w:pPr>
            <w:r>
              <w:rPr>
                <w:rFonts w:ascii="GHEA Grapalat" w:hAnsi="GHEA Grapalat"/>
                <w:sz w:val="24"/>
                <w:szCs w:val="24"/>
                <w:lang w:val="hy-AM"/>
              </w:rPr>
              <w:t>07</w:t>
            </w:r>
            <w:r w:rsidR="0086253F">
              <w:rPr>
                <w:rFonts w:ascii="GHEA Grapalat" w:hAnsi="GHEA Grapalat"/>
                <w:sz w:val="24"/>
                <w:szCs w:val="24"/>
              </w:rPr>
              <w:t>.</w:t>
            </w:r>
            <w:r>
              <w:rPr>
                <w:rFonts w:ascii="GHEA Grapalat" w:hAnsi="GHEA Grapalat"/>
                <w:sz w:val="24"/>
                <w:szCs w:val="24"/>
                <w:lang w:val="hy-AM"/>
              </w:rPr>
              <w:t>12</w:t>
            </w:r>
            <w:r w:rsidR="0086253F">
              <w:rPr>
                <w:rFonts w:ascii="GHEA Grapalat" w:hAnsi="GHEA Grapalat"/>
                <w:sz w:val="24"/>
                <w:szCs w:val="24"/>
              </w:rPr>
              <w:t>.202</w:t>
            </w:r>
            <w:r w:rsidR="00736C5B">
              <w:rPr>
                <w:rFonts w:ascii="GHEA Grapalat" w:hAnsi="GHEA Grapalat"/>
                <w:sz w:val="24"/>
                <w:szCs w:val="24"/>
                <w:lang w:val="hy-AM"/>
              </w:rPr>
              <w:t>3</w:t>
            </w:r>
            <w:r w:rsidR="0086253F">
              <w:rPr>
                <w:rFonts w:ascii="GHEA Grapalat" w:hAnsi="GHEA Grapalat"/>
                <w:sz w:val="24"/>
                <w:szCs w:val="24"/>
                <w:lang w:val="hy-AM"/>
              </w:rPr>
              <w:t>թ</w:t>
            </w:r>
            <w:r w:rsidR="0086253F">
              <w:rPr>
                <w:rFonts w:ascii="Cambria Math" w:hAnsi="Cambria Math"/>
                <w:sz w:val="24"/>
                <w:szCs w:val="24"/>
                <w:lang w:val="hy-AM"/>
              </w:rPr>
              <w:t>․</w:t>
            </w:r>
          </w:p>
        </w:tc>
      </w:tr>
      <w:tr w:rsidR="0086253F" w:rsidRPr="003B1DDA" w14:paraId="495D6AC3" w14:textId="77777777" w:rsidTr="0055041C">
        <w:trPr>
          <w:tblCellSpacing w:w="0" w:type="dxa"/>
          <w:jc w:val="center"/>
        </w:trPr>
        <w:tc>
          <w:tcPr>
            <w:tcW w:w="1160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F613E9" w14:textId="77777777" w:rsidR="0086253F" w:rsidRPr="003B1DDA" w:rsidRDefault="0086253F" w:rsidP="0086253F">
            <w:pPr>
              <w:spacing w:line="360" w:lineRule="auto"/>
              <w:rPr>
                <w:rFonts w:ascii="GHEA Grapalat" w:hAnsi="GHEA Grapalat"/>
                <w:sz w:val="24"/>
                <w:szCs w:val="24"/>
              </w:rPr>
            </w:pPr>
          </w:p>
        </w:tc>
        <w:tc>
          <w:tcPr>
            <w:tcW w:w="2397" w:type="dxa"/>
            <w:tcBorders>
              <w:top w:val="outset" w:sz="6" w:space="0" w:color="auto"/>
              <w:left w:val="outset" w:sz="6" w:space="0" w:color="auto"/>
              <w:bottom w:val="outset" w:sz="6" w:space="0" w:color="auto"/>
              <w:right w:val="outset" w:sz="6" w:space="0" w:color="auto"/>
            </w:tcBorders>
            <w:shd w:val="clear" w:color="auto" w:fill="D0D0D0"/>
            <w:hideMark/>
          </w:tcPr>
          <w:p w14:paraId="3C66A890" w14:textId="5F1ADB4D" w:rsidR="0086253F" w:rsidRPr="003B1DDA" w:rsidRDefault="0086253F" w:rsidP="00BF73DE">
            <w:pPr>
              <w:spacing w:after="0" w:line="360" w:lineRule="auto"/>
              <w:rPr>
                <w:rFonts w:ascii="GHEA Grapalat" w:hAnsi="GHEA Grapalat"/>
                <w:sz w:val="24"/>
                <w:szCs w:val="24"/>
                <w:lang w:val="hy-AM"/>
              </w:rPr>
            </w:pPr>
            <w:r>
              <w:rPr>
                <w:rFonts w:ascii="GHEA Grapalat" w:hAnsi="GHEA Grapalat"/>
                <w:sz w:val="24"/>
                <w:szCs w:val="24"/>
              </w:rPr>
              <w:t xml:space="preserve">№ </w:t>
            </w:r>
            <w:r w:rsidR="0055041C" w:rsidRPr="0055041C">
              <w:rPr>
                <w:rFonts w:ascii="GHEA Grapalat" w:hAnsi="GHEA Grapalat"/>
                <w:sz w:val="24"/>
                <w:szCs w:val="24"/>
              </w:rPr>
              <w:t>01/3-2/73333-2023</w:t>
            </w:r>
          </w:p>
        </w:tc>
      </w:tr>
      <w:bookmarkEnd w:id="1"/>
      <w:tr w:rsidR="0086253F" w:rsidRPr="0086499E" w14:paraId="24714155" w14:textId="77777777" w:rsidTr="0086499E">
        <w:trPr>
          <w:trHeight w:val="5820"/>
          <w:tblCellSpacing w:w="0" w:type="dxa"/>
          <w:jc w:val="center"/>
        </w:trPr>
        <w:tc>
          <w:tcPr>
            <w:tcW w:w="7198" w:type="dxa"/>
            <w:tcBorders>
              <w:top w:val="outset" w:sz="6" w:space="0" w:color="auto"/>
              <w:left w:val="outset" w:sz="6" w:space="0" w:color="auto"/>
              <w:bottom w:val="outset" w:sz="6" w:space="0" w:color="auto"/>
              <w:right w:val="outset" w:sz="6" w:space="0" w:color="auto"/>
            </w:tcBorders>
            <w:shd w:val="clear" w:color="auto" w:fill="FFFFFF"/>
          </w:tcPr>
          <w:p w14:paraId="5929F1F4" w14:textId="77777777" w:rsidR="00092CDD" w:rsidRPr="0055041C" w:rsidRDefault="00092CDD" w:rsidP="0055041C">
            <w:pPr>
              <w:keepNext/>
              <w:suppressAutoHyphens/>
              <w:spacing w:before="240" w:after="0" w:line="360" w:lineRule="auto"/>
              <w:ind w:left="150" w:right="165" w:firstLine="417"/>
              <w:jc w:val="both"/>
              <w:rPr>
                <w:rFonts w:ascii="Cambria Math" w:eastAsia="NSimSun" w:hAnsi="Cambria Math" w:cs="Sylfaen"/>
                <w:kern w:val="2"/>
                <w:sz w:val="24"/>
                <w:szCs w:val="24"/>
                <w:lang w:val="hy-AM" w:eastAsia="zh-CN" w:bidi="hi-IN"/>
              </w:rPr>
            </w:pPr>
            <w:r w:rsidRPr="0055041C">
              <w:rPr>
                <w:rFonts w:ascii="GHEA Grapalat" w:eastAsia="NSimSun" w:hAnsi="GHEA Grapalat" w:cs="Sylfaen"/>
                <w:kern w:val="2"/>
                <w:sz w:val="24"/>
                <w:szCs w:val="24"/>
                <w:lang w:val="hy-AM" w:eastAsia="zh-CN" w:bidi="hi-IN"/>
              </w:rPr>
              <w:lastRenderedPageBreak/>
              <w:t>«Վերամշակում՝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ՀՀ կառավարության որոշման նախագծի (այսուհետ՝ Նախագիծ) վերաբերյալ առաջարկում ենք հետևյալը</w:t>
            </w:r>
            <w:r w:rsidRPr="0055041C">
              <w:rPr>
                <w:rFonts w:ascii="Cambria Math" w:eastAsia="NSimSun" w:hAnsi="Cambria Math" w:cs="Sylfaen"/>
                <w:kern w:val="2"/>
                <w:sz w:val="24"/>
                <w:szCs w:val="24"/>
                <w:lang w:val="hy-AM" w:eastAsia="zh-CN" w:bidi="hi-IN"/>
              </w:rPr>
              <w:t>․</w:t>
            </w:r>
          </w:p>
          <w:p w14:paraId="60BB3D1D" w14:textId="18F70295" w:rsidR="0086253F" w:rsidRPr="00092CDD" w:rsidRDefault="00092CDD" w:rsidP="00092CDD">
            <w:pPr>
              <w:keepNext/>
              <w:suppressAutoHyphens/>
              <w:spacing w:after="0" w:line="360" w:lineRule="auto"/>
              <w:ind w:left="150" w:right="165" w:firstLine="417"/>
              <w:jc w:val="both"/>
              <w:rPr>
                <w:rFonts w:ascii="GHEA Grapalat" w:eastAsia="NSimSun" w:hAnsi="GHEA Grapalat" w:cs="Sylfaen"/>
                <w:kern w:val="2"/>
                <w:lang w:val="hy-AM" w:eastAsia="zh-CN" w:bidi="hi-IN"/>
              </w:rPr>
            </w:pPr>
            <w:r w:rsidRPr="0055041C">
              <w:rPr>
                <w:rFonts w:ascii="GHEA Grapalat" w:eastAsia="NSimSun" w:hAnsi="GHEA Grapalat" w:cs="Sylfaen"/>
                <w:kern w:val="2"/>
                <w:sz w:val="24"/>
                <w:szCs w:val="24"/>
                <w:lang w:val="hy-AM" w:eastAsia="zh-CN" w:bidi="hi-IN"/>
              </w:rPr>
              <w:t xml:space="preserve">Նախագծի առաջին պարբերությունից հանել ««Մաքսային կարգավորման մասին» օրենքի 22-րդ գլխով, Հայաստանի Հանրապետության կառավարության 2014 թվականի դեկտեմբերի 25-ի N 1524-Ն որոշման  3-րդ կետով հաստատված N 3 հավելվածի 2.10 կետով» բառերը հաշվի առնելով որ դրանք Նախագծի կարգավորման առարկա չեն հանդիսանում։ </w:t>
            </w:r>
          </w:p>
        </w:tc>
        <w:tc>
          <w:tcPr>
            <w:tcW w:w="680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F0EF9E" w14:textId="77777777" w:rsidR="00B4485D" w:rsidRDefault="00B4485D" w:rsidP="0086499E">
            <w:pPr>
              <w:spacing w:before="240" w:line="360" w:lineRule="auto"/>
              <w:jc w:val="center"/>
              <w:rPr>
                <w:rFonts w:ascii="GHEA Grapalat" w:hAnsi="GHEA Grapalat"/>
                <w:bCs/>
                <w:sz w:val="24"/>
                <w:szCs w:val="24"/>
                <w:lang w:val="hy-AM"/>
              </w:rPr>
            </w:pPr>
          </w:p>
          <w:p w14:paraId="37D68374" w14:textId="77777777" w:rsidR="00B4485D" w:rsidRDefault="00B4485D" w:rsidP="0086499E">
            <w:pPr>
              <w:spacing w:before="240" w:line="360" w:lineRule="auto"/>
              <w:jc w:val="center"/>
              <w:rPr>
                <w:rFonts w:ascii="GHEA Grapalat" w:hAnsi="GHEA Grapalat"/>
                <w:bCs/>
                <w:sz w:val="24"/>
                <w:szCs w:val="24"/>
                <w:lang w:val="hy-AM"/>
              </w:rPr>
            </w:pPr>
          </w:p>
          <w:p w14:paraId="62423951" w14:textId="77777777" w:rsidR="00B4485D" w:rsidRDefault="00B4485D" w:rsidP="0086499E">
            <w:pPr>
              <w:spacing w:before="240" w:line="360" w:lineRule="auto"/>
              <w:jc w:val="center"/>
              <w:rPr>
                <w:rFonts w:ascii="GHEA Grapalat" w:hAnsi="GHEA Grapalat"/>
                <w:bCs/>
                <w:sz w:val="24"/>
                <w:szCs w:val="24"/>
                <w:lang w:val="hy-AM"/>
              </w:rPr>
            </w:pPr>
          </w:p>
          <w:p w14:paraId="3984CF9C" w14:textId="77777777" w:rsidR="00B4485D" w:rsidRDefault="00B4485D" w:rsidP="0086499E">
            <w:pPr>
              <w:spacing w:before="240" w:line="360" w:lineRule="auto"/>
              <w:jc w:val="center"/>
              <w:rPr>
                <w:rFonts w:ascii="GHEA Grapalat" w:hAnsi="GHEA Grapalat"/>
                <w:bCs/>
                <w:sz w:val="24"/>
                <w:szCs w:val="24"/>
                <w:lang w:val="hy-AM"/>
              </w:rPr>
            </w:pPr>
          </w:p>
          <w:p w14:paraId="0A24638C" w14:textId="371D6100" w:rsidR="0086253F" w:rsidRDefault="0086499E" w:rsidP="00B4485D">
            <w:pPr>
              <w:spacing w:before="240" w:line="360" w:lineRule="auto"/>
              <w:jc w:val="center"/>
              <w:rPr>
                <w:rFonts w:ascii="GHEA Grapalat" w:hAnsi="GHEA Grapalat"/>
                <w:bCs/>
                <w:sz w:val="24"/>
                <w:szCs w:val="24"/>
                <w:lang w:val="hy-AM"/>
              </w:rPr>
            </w:pPr>
            <w:r>
              <w:rPr>
                <w:rFonts w:ascii="GHEA Grapalat" w:hAnsi="GHEA Grapalat"/>
                <w:bCs/>
                <w:sz w:val="24"/>
                <w:szCs w:val="24"/>
                <w:lang w:val="hy-AM"/>
              </w:rPr>
              <w:t>Չի ը</w:t>
            </w:r>
            <w:r w:rsidR="0086253F" w:rsidRPr="00C359A7">
              <w:rPr>
                <w:rFonts w:ascii="GHEA Grapalat" w:hAnsi="GHEA Grapalat"/>
                <w:bCs/>
                <w:sz w:val="24"/>
                <w:szCs w:val="24"/>
                <w:lang w:val="hy-AM"/>
              </w:rPr>
              <w:t>նդունվել</w:t>
            </w:r>
          </w:p>
          <w:p w14:paraId="310B9574" w14:textId="0A12289F" w:rsidR="00DC02B4" w:rsidRPr="00B4485D" w:rsidRDefault="0086499E" w:rsidP="00B4485D">
            <w:pPr>
              <w:spacing w:before="240" w:line="360" w:lineRule="auto"/>
              <w:ind w:left="165" w:right="135" w:hanging="165"/>
              <w:jc w:val="both"/>
              <w:rPr>
                <w:rFonts w:ascii="GHEA Grapalat" w:hAnsi="GHEA Grapalat"/>
                <w:bCs/>
                <w:sz w:val="24"/>
                <w:szCs w:val="24"/>
                <w:lang w:val="hy-AM"/>
              </w:rPr>
            </w:pPr>
            <w:r>
              <w:rPr>
                <w:rFonts w:ascii="GHEA Grapalat" w:hAnsi="GHEA Grapalat"/>
                <w:bCs/>
                <w:sz w:val="24"/>
                <w:szCs w:val="24"/>
                <w:lang w:val="hy-AM"/>
              </w:rPr>
              <w:t xml:space="preserve">      Վերոնշյալ իրավական ակտերով սահմանվում են «Վերամշակում՝ մաքսային տարածքից դուրս» մաքսային ընթացակարգի կիրառման առանձնահատկությունները, ինչպես նաև ՀՀ կողմից երրորդ երկրների հետ առևտրի դեպքում սահմանափակումների ենթակա ապրանքախմբերը, որոնք էլ հանդիսանում են որոշման նախագծի կար</w:t>
            </w:r>
            <w:r w:rsidR="00EF4319">
              <w:rPr>
                <w:rFonts w:ascii="GHEA Grapalat" w:hAnsi="GHEA Grapalat"/>
                <w:bCs/>
                <w:sz w:val="24"/>
                <w:szCs w:val="24"/>
                <w:lang w:val="hy-AM"/>
              </w:rPr>
              <w:t>գ</w:t>
            </w:r>
            <w:r>
              <w:rPr>
                <w:rFonts w:ascii="GHEA Grapalat" w:hAnsi="GHEA Grapalat"/>
                <w:bCs/>
                <w:sz w:val="24"/>
                <w:szCs w:val="24"/>
                <w:lang w:val="hy-AM"/>
              </w:rPr>
              <w:t>ավորման առարկան։</w:t>
            </w:r>
          </w:p>
        </w:tc>
      </w:tr>
      <w:tr w:rsidR="00092CDD" w:rsidRPr="0086499E" w14:paraId="4967D5AA" w14:textId="77777777" w:rsidTr="00092CDD">
        <w:trPr>
          <w:trHeight w:val="1020"/>
          <w:tblCellSpacing w:w="0" w:type="dxa"/>
          <w:jc w:val="center"/>
        </w:trPr>
        <w:tc>
          <w:tcPr>
            <w:tcW w:w="7198" w:type="dxa"/>
            <w:tcBorders>
              <w:top w:val="outset" w:sz="6" w:space="0" w:color="auto"/>
              <w:left w:val="outset" w:sz="6" w:space="0" w:color="auto"/>
              <w:bottom w:val="outset" w:sz="6" w:space="0" w:color="auto"/>
              <w:right w:val="outset" w:sz="6" w:space="0" w:color="auto"/>
            </w:tcBorders>
            <w:shd w:val="clear" w:color="auto" w:fill="FFFFFF"/>
          </w:tcPr>
          <w:p w14:paraId="1AF28D57" w14:textId="77777777" w:rsidR="004E3D87" w:rsidRPr="0055041C" w:rsidRDefault="004E3D87" w:rsidP="0055041C">
            <w:pPr>
              <w:spacing w:before="240" w:after="0" w:line="360" w:lineRule="auto"/>
              <w:ind w:left="150" w:right="165" w:hanging="150"/>
              <w:jc w:val="both"/>
              <w:rPr>
                <w:rFonts w:ascii="GHEA Grapalat" w:eastAsia="NSimSun" w:hAnsi="GHEA Grapalat" w:cs="Sylfaen"/>
                <w:kern w:val="2"/>
                <w:sz w:val="24"/>
                <w:szCs w:val="24"/>
                <w:lang w:val="hy-AM" w:eastAsia="zh-CN" w:bidi="hi-IN"/>
              </w:rPr>
            </w:pPr>
            <w:r w:rsidRPr="0086499E">
              <w:rPr>
                <w:rFonts w:ascii="GHEA Grapalat" w:eastAsia="NSimSun" w:hAnsi="GHEA Grapalat" w:cs="Sylfaen"/>
                <w:kern w:val="2"/>
                <w:sz w:val="24"/>
                <w:szCs w:val="24"/>
                <w:lang w:val="hy-AM" w:eastAsia="zh-CN" w:bidi="hi-IN"/>
              </w:rPr>
              <w:t xml:space="preserve">      </w:t>
            </w:r>
            <w:r w:rsidRPr="0055041C">
              <w:rPr>
                <w:rFonts w:ascii="GHEA Grapalat" w:eastAsia="NSimSun" w:hAnsi="GHEA Grapalat" w:cs="Sylfaen"/>
                <w:kern w:val="2"/>
                <w:sz w:val="24"/>
                <w:szCs w:val="24"/>
                <w:lang w:val="hy-AM" w:eastAsia="zh-CN" w:bidi="hi-IN"/>
              </w:rPr>
              <w:t>Միևնույն ժամանակ հայտնում ենք, որ 2014 թվականի մայիսի 29-ի «Եվրասիական տնտեսական միության մասին» պայմանագրի 10-րդ բաժնով սահմանված է՝ «Եթե Միության մաքսային տարածքում ժամանակավոր միջոց սահմանելու մասին որոշում չի ընդունվում, ապա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6 ամսվա ընթացքում»։</w:t>
            </w:r>
          </w:p>
          <w:p w14:paraId="162D10AB" w14:textId="1E7789EB" w:rsidR="00092CDD" w:rsidRPr="0026435B" w:rsidRDefault="004E3D87" w:rsidP="004E3D87">
            <w:pPr>
              <w:spacing w:line="360" w:lineRule="auto"/>
              <w:ind w:left="150" w:right="165" w:hanging="150"/>
              <w:jc w:val="both"/>
              <w:rPr>
                <w:rFonts w:ascii="GHEA Grapalat" w:eastAsia="NSimSun" w:hAnsi="GHEA Grapalat" w:cs="Sylfaen"/>
                <w:kern w:val="2"/>
                <w:lang w:val="hy-AM" w:eastAsia="zh-CN" w:bidi="hi-IN"/>
              </w:rPr>
            </w:pPr>
            <w:r w:rsidRPr="0055041C">
              <w:rPr>
                <w:rFonts w:ascii="GHEA Grapalat" w:eastAsia="NSimSun" w:hAnsi="GHEA Grapalat" w:cs="Sylfaen"/>
                <w:kern w:val="2"/>
                <w:sz w:val="24"/>
                <w:szCs w:val="24"/>
                <w:lang w:val="hy-AM" w:eastAsia="zh-CN" w:bidi="hi-IN"/>
              </w:rPr>
              <w:t xml:space="preserve">     Հաշվի առնելով վերոգրյալը առաջարկում ենք նախագծի 4-րդ կետում սահմանել գործողության 6 ամիս ժամկետ։</w:t>
            </w:r>
          </w:p>
        </w:tc>
        <w:tc>
          <w:tcPr>
            <w:tcW w:w="6801" w:type="dxa"/>
            <w:gridSpan w:val="2"/>
            <w:tcBorders>
              <w:top w:val="outset" w:sz="6" w:space="0" w:color="auto"/>
              <w:left w:val="outset" w:sz="6" w:space="0" w:color="auto"/>
              <w:bottom w:val="outset" w:sz="6" w:space="0" w:color="auto"/>
              <w:right w:val="outset" w:sz="6" w:space="0" w:color="auto"/>
            </w:tcBorders>
            <w:shd w:val="clear" w:color="auto" w:fill="FFFFFF"/>
          </w:tcPr>
          <w:p w14:paraId="77FD3694" w14:textId="77777777" w:rsidR="0086499E" w:rsidRDefault="004E3D87" w:rsidP="0086499E">
            <w:pPr>
              <w:spacing w:before="240" w:line="360" w:lineRule="auto"/>
              <w:jc w:val="center"/>
              <w:rPr>
                <w:rFonts w:ascii="GHEA Grapalat" w:hAnsi="GHEA Grapalat"/>
                <w:bCs/>
                <w:sz w:val="24"/>
                <w:szCs w:val="24"/>
                <w:lang w:val="hy-AM"/>
              </w:rPr>
            </w:pPr>
            <w:r>
              <w:rPr>
                <w:rFonts w:ascii="GHEA Grapalat" w:hAnsi="GHEA Grapalat"/>
                <w:bCs/>
                <w:sz w:val="24"/>
                <w:szCs w:val="24"/>
                <w:lang w:val="hy-AM"/>
              </w:rPr>
              <w:t>Չի ը</w:t>
            </w:r>
            <w:r w:rsidRPr="00C359A7">
              <w:rPr>
                <w:rFonts w:ascii="GHEA Grapalat" w:hAnsi="GHEA Grapalat"/>
                <w:bCs/>
                <w:sz w:val="24"/>
                <w:szCs w:val="24"/>
                <w:lang w:val="hy-AM"/>
              </w:rPr>
              <w:t>նդունվել</w:t>
            </w:r>
          </w:p>
          <w:p w14:paraId="669D3402" w14:textId="75AD0438" w:rsidR="00BF73DE" w:rsidRDefault="00BF73DE" w:rsidP="00BF73DE">
            <w:pPr>
              <w:spacing w:before="240" w:after="0" w:line="360" w:lineRule="auto"/>
              <w:ind w:left="165" w:right="135" w:hanging="165"/>
              <w:jc w:val="both"/>
              <w:rPr>
                <w:rFonts w:ascii="GHEA Grapalat" w:hAnsi="GHEA Grapalat"/>
                <w:bCs/>
                <w:sz w:val="24"/>
                <w:szCs w:val="24"/>
                <w:lang w:val="hy-AM"/>
              </w:rPr>
            </w:pPr>
            <w:r>
              <w:rPr>
                <w:rFonts w:ascii="GHEA Grapalat" w:hAnsi="GHEA Grapalat"/>
                <w:bCs/>
                <w:sz w:val="24"/>
                <w:szCs w:val="24"/>
                <w:lang w:val="hy-AM"/>
              </w:rPr>
              <w:t xml:space="preserve">    </w:t>
            </w:r>
            <w:r w:rsidR="0086499E">
              <w:rPr>
                <w:rFonts w:ascii="GHEA Grapalat" w:hAnsi="GHEA Grapalat"/>
                <w:bCs/>
                <w:sz w:val="24"/>
                <w:szCs w:val="24"/>
                <w:lang w:val="hy-AM"/>
              </w:rPr>
              <w:t>Որոշման նախագծով սահմանված միջոցը ենթադրում է ոչ թե քվոտայի կիրառում որպես սահմանափակող միջոց, այլ</w:t>
            </w:r>
            <w:r>
              <w:rPr>
                <w:rFonts w:ascii="GHEA Grapalat" w:hAnsi="GHEA Grapalat"/>
                <w:bCs/>
                <w:sz w:val="24"/>
                <w:szCs w:val="24"/>
                <w:lang w:val="hy-AM"/>
              </w:rPr>
              <w:t xml:space="preserve"> հ</w:t>
            </w:r>
            <w:r w:rsidR="0086499E">
              <w:rPr>
                <w:rFonts w:ascii="GHEA Grapalat" w:hAnsi="GHEA Grapalat"/>
                <w:bCs/>
                <w:sz w:val="24"/>
                <w:szCs w:val="24"/>
                <w:lang w:val="hy-AM"/>
              </w:rPr>
              <w:t>նարավորություն է ընձեռում</w:t>
            </w:r>
            <w:r w:rsidR="00157BCC">
              <w:rPr>
                <w:rFonts w:ascii="GHEA Grapalat" w:hAnsi="GHEA Grapalat"/>
                <w:bCs/>
                <w:sz w:val="24"/>
                <w:szCs w:val="24"/>
                <w:lang w:val="hy-AM"/>
              </w:rPr>
              <w:t xml:space="preserve"> տնտեսվարող սուբյեկտին թանկարժեք մետաղների առաջարկվող քանակների կիրառմամբ իրականացնել վերամշակման գործընթաց երրորդ երկրի տարածքում։ Ուստի նշված գործըթացի համար 6 ամիս ժամկետի սահմանումը գտնում ենք ոչ նպատակահարմար։</w:t>
            </w:r>
            <w:r>
              <w:rPr>
                <w:rFonts w:ascii="GHEA Grapalat" w:hAnsi="GHEA Grapalat"/>
                <w:bCs/>
                <w:sz w:val="24"/>
                <w:szCs w:val="24"/>
                <w:lang w:val="hy-AM"/>
              </w:rPr>
              <w:t xml:space="preserve"> </w:t>
            </w:r>
          </w:p>
          <w:p w14:paraId="59E5367A" w14:textId="3C09BEEB" w:rsidR="00B4485D" w:rsidRPr="00BF73DE" w:rsidRDefault="00BF73DE" w:rsidP="00B4485D">
            <w:pPr>
              <w:spacing w:line="360" w:lineRule="auto"/>
              <w:ind w:left="165" w:right="135"/>
              <w:jc w:val="both"/>
              <w:rPr>
                <w:rFonts w:ascii="GHEA Grapalat" w:hAnsi="GHEA Grapalat"/>
                <w:bCs/>
                <w:sz w:val="24"/>
                <w:szCs w:val="24"/>
                <w:lang w:val="hy-AM"/>
              </w:rPr>
            </w:pPr>
            <w:r>
              <w:rPr>
                <w:rFonts w:ascii="GHEA Grapalat" w:hAnsi="GHEA Grapalat"/>
                <w:bCs/>
                <w:sz w:val="24"/>
                <w:szCs w:val="24"/>
                <w:lang w:val="hy-AM"/>
              </w:rPr>
              <w:t xml:space="preserve">   </w:t>
            </w:r>
            <w:r w:rsidR="00157BCC">
              <w:rPr>
                <w:rFonts w:ascii="GHEA Grapalat" w:hAnsi="GHEA Grapalat"/>
                <w:bCs/>
                <w:sz w:val="24"/>
                <w:szCs w:val="24"/>
                <w:lang w:val="hy-AM"/>
              </w:rPr>
              <w:t>Միաժամանակ, համաձայն կարգի՝ նշված գործըթացի իրականացման համար</w:t>
            </w:r>
            <w:r>
              <w:rPr>
                <w:rFonts w:ascii="GHEA Grapalat" w:hAnsi="GHEA Grapalat"/>
                <w:bCs/>
                <w:sz w:val="24"/>
                <w:szCs w:val="24"/>
                <w:lang w:val="hy-AM"/>
              </w:rPr>
              <w:t xml:space="preserve"> անհրաժեշտ թույլատվական փաստաթղթերը տրամադրվում են 1 տարի ժամկետով, իսկ թանկարժեք մետաղների սահմանված քանակների բաշխումը իրականացվում է 2 փուլով </w:t>
            </w:r>
            <w:r w:rsidRPr="00BF73DE">
              <w:rPr>
                <w:rFonts w:ascii="GHEA Grapalat" w:hAnsi="GHEA Grapalat"/>
                <w:bCs/>
                <w:sz w:val="24"/>
                <w:szCs w:val="24"/>
                <w:lang w:val="hy-AM"/>
              </w:rPr>
              <w:t>(2-</w:t>
            </w:r>
            <w:r>
              <w:rPr>
                <w:rFonts w:ascii="GHEA Grapalat" w:hAnsi="GHEA Grapalat"/>
                <w:bCs/>
                <w:sz w:val="24"/>
                <w:szCs w:val="24"/>
                <w:lang w:val="hy-AM"/>
              </w:rPr>
              <w:t>րդ փուլը սեպտեմբերի 1-15-ը</w:t>
            </w:r>
            <w:r w:rsidRPr="00BF73DE">
              <w:rPr>
                <w:rFonts w:ascii="GHEA Grapalat" w:hAnsi="GHEA Grapalat"/>
                <w:bCs/>
                <w:sz w:val="24"/>
                <w:szCs w:val="24"/>
                <w:lang w:val="hy-AM"/>
              </w:rPr>
              <w:t>)</w:t>
            </w:r>
            <w:r>
              <w:rPr>
                <w:rFonts w:ascii="GHEA Grapalat" w:hAnsi="GHEA Grapalat"/>
                <w:bCs/>
                <w:sz w:val="24"/>
                <w:szCs w:val="24"/>
                <w:lang w:val="hy-AM"/>
              </w:rPr>
              <w:t xml:space="preserve"> ինչը ևս միջոցի 6 ամիս ժամկետով </w:t>
            </w:r>
            <w:r>
              <w:rPr>
                <w:rFonts w:ascii="GHEA Grapalat" w:hAnsi="GHEA Grapalat"/>
                <w:bCs/>
                <w:sz w:val="24"/>
                <w:szCs w:val="24"/>
                <w:lang w:val="hy-AM"/>
              </w:rPr>
              <w:t>կիրառումը</w:t>
            </w:r>
            <w:r>
              <w:rPr>
                <w:rFonts w:ascii="GHEA Grapalat" w:hAnsi="GHEA Grapalat"/>
                <w:bCs/>
                <w:sz w:val="24"/>
                <w:szCs w:val="24"/>
                <w:lang w:val="hy-AM"/>
              </w:rPr>
              <w:t xml:space="preserve"> դարձնում է ոչ իրատեսական։</w:t>
            </w:r>
          </w:p>
        </w:tc>
      </w:tr>
      <w:tr w:rsidR="0086253F" w:rsidRPr="003038AC" w14:paraId="6E52D8FF" w14:textId="77777777" w:rsidTr="0055041C">
        <w:trPr>
          <w:tblCellSpacing w:w="0" w:type="dxa"/>
          <w:jc w:val="center"/>
        </w:trPr>
        <w:tc>
          <w:tcPr>
            <w:tcW w:w="11602" w:type="dxa"/>
            <w:gridSpan w:val="2"/>
            <w:vMerge w:val="restart"/>
            <w:tcBorders>
              <w:top w:val="outset" w:sz="6" w:space="0" w:color="auto"/>
              <w:left w:val="outset" w:sz="6" w:space="0" w:color="auto"/>
              <w:bottom w:val="outset" w:sz="6" w:space="0" w:color="auto"/>
              <w:right w:val="outset" w:sz="6" w:space="0" w:color="auto"/>
            </w:tcBorders>
            <w:shd w:val="clear" w:color="auto" w:fill="D0D0D0"/>
            <w:hideMark/>
          </w:tcPr>
          <w:p w14:paraId="21D8E239" w14:textId="4F6E6B17" w:rsidR="0086253F" w:rsidRPr="003B1DDA" w:rsidRDefault="007C06A8" w:rsidP="00102E14">
            <w:pPr>
              <w:spacing w:line="360" w:lineRule="auto"/>
              <w:jc w:val="center"/>
              <w:rPr>
                <w:rFonts w:ascii="GHEA Grapalat" w:hAnsi="GHEA Grapalat"/>
                <w:sz w:val="24"/>
                <w:szCs w:val="24"/>
                <w:lang w:val="hy-AM"/>
              </w:rPr>
            </w:pPr>
            <w:r>
              <w:rPr>
                <w:rFonts w:ascii="GHEA Grapalat" w:hAnsi="GHEA Grapalat"/>
                <w:sz w:val="24"/>
                <w:szCs w:val="24"/>
                <w:lang w:val="hy-AM"/>
              </w:rPr>
              <w:t>3</w:t>
            </w:r>
            <w:r w:rsidR="0086253F" w:rsidRPr="0086499E">
              <w:rPr>
                <w:rFonts w:ascii="GHEA Grapalat" w:hAnsi="GHEA Grapalat"/>
                <w:sz w:val="24"/>
                <w:szCs w:val="24"/>
                <w:lang w:val="hy-AM"/>
              </w:rPr>
              <w:t xml:space="preserve">. </w:t>
            </w:r>
            <w:r w:rsidR="00A90F8F" w:rsidRPr="0086499E">
              <w:rPr>
                <w:rFonts w:ascii="GHEA Grapalat" w:hAnsi="GHEA Grapalat"/>
                <w:sz w:val="24"/>
                <w:szCs w:val="24"/>
                <w:lang w:val="hy-AM"/>
              </w:rPr>
              <w:t>ՀՀ տնտեսական մրցակցության պաշտպանության պետական հանձնաժողով</w:t>
            </w:r>
          </w:p>
        </w:tc>
        <w:tc>
          <w:tcPr>
            <w:tcW w:w="2397" w:type="dxa"/>
            <w:tcBorders>
              <w:top w:val="outset" w:sz="6" w:space="0" w:color="auto"/>
              <w:left w:val="outset" w:sz="6" w:space="0" w:color="auto"/>
              <w:bottom w:val="outset" w:sz="6" w:space="0" w:color="auto"/>
              <w:right w:val="outset" w:sz="6" w:space="0" w:color="auto"/>
            </w:tcBorders>
            <w:shd w:val="clear" w:color="auto" w:fill="D0D0D0"/>
            <w:hideMark/>
          </w:tcPr>
          <w:p w14:paraId="186B7ACD" w14:textId="44AB1A4D" w:rsidR="0086253F" w:rsidRPr="003038AC" w:rsidRDefault="0055041C" w:rsidP="0055041C">
            <w:pPr>
              <w:spacing w:line="360" w:lineRule="auto"/>
              <w:jc w:val="center"/>
              <w:rPr>
                <w:rFonts w:ascii="Cambria Math" w:hAnsi="Cambria Math"/>
                <w:sz w:val="24"/>
                <w:szCs w:val="24"/>
                <w:lang w:val="hy-AM"/>
              </w:rPr>
            </w:pPr>
            <w:r>
              <w:rPr>
                <w:rFonts w:ascii="GHEA Grapalat" w:hAnsi="GHEA Grapalat"/>
                <w:sz w:val="24"/>
                <w:szCs w:val="24"/>
                <w:lang w:val="hy-AM"/>
              </w:rPr>
              <w:t>0</w:t>
            </w:r>
            <w:r w:rsidR="000F77FB">
              <w:rPr>
                <w:rFonts w:ascii="GHEA Grapalat" w:hAnsi="GHEA Grapalat"/>
                <w:sz w:val="24"/>
                <w:szCs w:val="24"/>
                <w:lang w:val="hy-AM"/>
              </w:rPr>
              <w:t>1</w:t>
            </w:r>
            <w:r w:rsidR="0086253F">
              <w:rPr>
                <w:rFonts w:ascii="GHEA Grapalat" w:hAnsi="GHEA Grapalat"/>
                <w:sz w:val="24"/>
                <w:szCs w:val="24"/>
              </w:rPr>
              <w:t>.</w:t>
            </w:r>
            <w:r>
              <w:rPr>
                <w:rFonts w:ascii="GHEA Grapalat" w:hAnsi="GHEA Grapalat"/>
                <w:sz w:val="24"/>
                <w:szCs w:val="24"/>
                <w:lang w:val="hy-AM"/>
              </w:rPr>
              <w:t>12</w:t>
            </w:r>
            <w:r w:rsidR="0086253F">
              <w:rPr>
                <w:rFonts w:ascii="GHEA Grapalat" w:hAnsi="GHEA Grapalat"/>
                <w:sz w:val="24"/>
                <w:szCs w:val="24"/>
              </w:rPr>
              <w:t>.202</w:t>
            </w:r>
            <w:r w:rsidR="000F77FB">
              <w:rPr>
                <w:rFonts w:ascii="GHEA Grapalat" w:hAnsi="GHEA Grapalat"/>
                <w:sz w:val="24"/>
                <w:szCs w:val="24"/>
                <w:lang w:val="hy-AM"/>
              </w:rPr>
              <w:t>3</w:t>
            </w:r>
            <w:r w:rsidR="0086253F">
              <w:rPr>
                <w:rFonts w:ascii="GHEA Grapalat" w:hAnsi="GHEA Grapalat"/>
                <w:sz w:val="24"/>
                <w:szCs w:val="24"/>
                <w:lang w:val="hy-AM"/>
              </w:rPr>
              <w:t>թ</w:t>
            </w:r>
            <w:r w:rsidR="0086253F">
              <w:rPr>
                <w:rFonts w:ascii="Cambria Math" w:hAnsi="Cambria Math"/>
                <w:sz w:val="24"/>
                <w:szCs w:val="24"/>
                <w:lang w:val="hy-AM"/>
              </w:rPr>
              <w:t>․</w:t>
            </w:r>
          </w:p>
        </w:tc>
      </w:tr>
      <w:tr w:rsidR="0086253F" w:rsidRPr="003B1DDA" w14:paraId="3C19C27E" w14:textId="77777777" w:rsidTr="00A5088A">
        <w:trPr>
          <w:trHeight w:val="434"/>
          <w:tblCellSpacing w:w="0" w:type="dxa"/>
          <w:jc w:val="center"/>
        </w:trPr>
        <w:tc>
          <w:tcPr>
            <w:tcW w:w="1160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5B9642" w14:textId="77777777" w:rsidR="0086253F" w:rsidRPr="003B1DDA" w:rsidRDefault="0086253F" w:rsidP="00102E14">
            <w:pPr>
              <w:spacing w:line="360" w:lineRule="auto"/>
              <w:rPr>
                <w:rFonts w:ascii="GHEA Grapalat" w:hAnsi="GHEA Grapalat"/>
                <w:sz w:val="24"/>
                <w:szCs w:val="24"/>
              </w:rPr>
            </w:pPr>
          </w:p>
        </w:tc>
        <w:tc>
          <w:tcPr>
            <w:tcW w:w="2397" w:type="dxa"/>
            <w:tcBorders>
              <w:top w:val="outset" w:sz="6" w:space="0" w:color="auto"/>
              <w:left w:val="outset" w:sz="6" w:space="0" w:color="auto"/>
              <w:bottom w:val="outset" w:sz="6" w:space="0" w:color="auto"/>
              <w:right w:val="outset" w:sz="6" w:space="0" w:color="auto"/>
            </w:tcBorders>
            <w:shd w:val="clear" w:color="auto" w:fill="D0D0D0"/>
            <w:hideMark/>
          </w:tcPr>
          <w:p w14:paraId="03A06A46" w14:textId="6AD2D49C" w:rsidR="0086253F" w:rsidRPr="003B1DDA" w:rsidRDefault="0086253F" w:rsidP="00BF73DE">
            <w:pPr>
              <w:spacing w:after="0" w:line="360" w:lineRule="auto"/>
              <w:jc w:val="center"/>
              <w:rPr>
                <w:rFonts w:ascii="GHEA Grapalat" w:hAnsi="GHEA Grapalat"/>
                <w:sz w:val="24"/>
                <w:szCs w:val="24"/>
                <w:lang w:val="hy-AM"/>
              </w:rPr>
            </w:pPr>
            <w:r>
              <w:rPr>
                <w:rFonts w:ascii="GHEA Grapalat" w:hAnsi="GHEA Grapalat"/>
                <w:sz w:val="24"/>
                <w:szCs w:val="24"/>
              </w:rPr>
              <w:t xml:space="preserve">№ </w:t>
            </w:r>
            <w:r w:rsidR="0055041C" w:rsidRPr="0055041C">
              <w:rPr>
                <w:rFonts w:ascii="GHEA Grapalat" w:hAnsi="GHEA Grapalat"/>
                <w:sz w:val="24"/>
                <w:szCs w:val="24"/>
              </w:rPr>
              <w:t>ԳԳ/1001-2023</w:t>
            </w:r>
          </w:p>
        </w:tc>
      </w:tr>
      <w:tr w:rsidR="0086253F" w:rsidRPr="00206888" w14:paraId="31CD2687" w14:textId="77777777" w:rsidTr="00A5088A">
        <w:trPr>
          <w:trHeight w:val="4052"/>
          <w:tblCellSpacing w:w="0" w:type="dxa"/>
          <w:jc w:val="center"/>
        </w:trPr>
        <w:tc>
          <w:tcPr>
            <w:tcW w:w="7198" w:type="dxa"/>
            <w:tcBorders>
              <w:top w:val="outset" w:sz="6" w:space="0" w:color="auto"/>
              <w:left w:val="outset" w:sz="6" w:space="0" w:color="auto"/>
              <w:bottom w:val="outset" w:sz="6" w:space="0" w:color="auto"/>
              <w:right w:val="outset" w:sz="6" w:space="0" w:color="auto"/>
            </w:tcBorders>
            <w:shd w:val="clear" w:color="auto" w:fill="FFFFFF"/>
          </w:tcPr>
          <w:p w14:paraId="07B2634F" w14:textId="545186E8" w:rsidR="0086253F" w:rsidRDefault="0055041C" w:rsidP="00B4485D">
            <w:pPr>
              <w:spacing w:before="240" w:after="0" w:line="360" w:lineRule="auto"/>
              <w:ind w:left="112" w:right="127" w:firstLine="455"/>
              <w:jc w:val="both"/>
              <w:rPr>
                <w:rFonts w:ascii="GHEA Grapalat" w:eastAsia="Times New Roman" w:hAnsi="GHEA Grapalat" w:cs="Times New Roman"/>
                <w:sz w:val="24"/>
                <w:szCs w:val="24"/>
                <w:lang w:val="hy-AM"/>
              </w:rPr>
            </w:pPr>
            <w:r w:rsidRPr="0055041C">
              <w:rPr>
                <w:rFonts w:ascii="GHEA Grapalat" w:eastAsia="Times New Roman" w:hAnsi="GHEA Grapalat" w:cs="Sylfaen"/>
                <w:sz w:val="24"/>
                <w:szCs w:val="24"/>
                <w:lang w:val="hy-AM"/>
              </w:rPr>
              <w:t>Մրցակցության պաշտպանության հանձնաժողովը «Վերամշակում՝ մաքսային տարածքից դուրս» մաքսային ընթացակարգի կիրառմամբ Հայաստանի Հանրապետության տարածքից երրորդ երկրներ արտահանվող թանկարժեք մետաղների կամ թանկարժեք մետաղներով պատված մետաղների նկատմամբ քվոտա սահմանելու մասին» ՀՀ կառավարության որոշման նախագծի վերաբերյալ դիտողություններ և առաջարկություններ չունի:</w:t>
            </w:r>
          </w:p>
        </w:tc>
        <w:tc>
          <w:tcPr>
            <w:tcW w:w="6801" w:type="dxa"/>
            <w:gridSpan w:val="2"/>
            <w:tcBorders>
              <w:top w:val="outset" w:sz="6" w:space="0" w:color="auto"/>
              <w:left w:val="outset" w:sz="6" w:space="0" w:color="auto"/>
              <w:bottom w:val="outset" w:sz="6" w:space="0" w:color="auto"/>
              <w:right w:val="outset" w:sz="6" w:space="0" w:color="auto"/>
            </w:tcBorders>
            <w:shd w:val="clear" w:color="auto" w:fill="FFFFFF"/>
          </w:tcPr>
          <w:p w14:paraId="5021E4B9" w14:textId="56B148C0" w:rsidR="00206888" w:rsidRPr="00C359A7" w:rsidRDefault="00206888" w:rsidP="00A5088A">
            <w:pPr>
              <w:spacing w:before="240" w:line="360" w:lineRule="auto"/>
              <w:jc w:val="center"/>
              <w:rPr>
                <w:rFonts w:ascii="GHEA Grapalat" w:hAnsi="GHEA Grapalat"/>
                <w:bCs/>
                <w:sz w:val="24"/>
                <w:szCs w:val="24"/>
                <w:lang w:val="hy-AM"/>
              </w:rPr>
            </w:pPr>
            <w:r w:rsidRPr="00C359A7">
              <w:rPr>
                <w:rFonts w:ascii="GHEA Grapalat" w:hAnsi="GHEA Grapalat"/>
                <w:bCs/>
                <w:sz w:val="24"/>
                <w:szCs w:val="24"/>
                <w:lang w:val="hy-AM"/>
              </w:rPr>
              <w:t>Ընդունվել է</w:t>
            </w:r>
          </w:p>
          <w:p w14:paraId="61987BAA" w14:textId="6307102B" w:rsidR="00206888" w:rsidRPr="003B1DDA" w:rsidRDefault="00206888" w:rsidP="0086253F">
            <w:pPr>
              <w:spacing w:line="360" w:lineRule="auto"/>
              <w:jc w:val="center"/>
              <w:rPr>
                <w:rFonts w:ascii="GHEA Grapalat" w:hAnsi="GHEA Grapalat"/>
                <w:b/>
                <w:sz w:val="24"/>
                <w:szCs w:val="24"/>
                <w:lang w:val="hy-AM"/>
              </w:rPr>
            </w:pPr>
          </w:p>
        </w:tc>
      </w:tr>
    </w:tbl>
    <w:p w14:paraId="5EF4BDE1" w14:textId="77777777" w:rsidR="00241D15" w:rsidRPr="00E35072" w:rsidRDefault="00241D15" w:rsidP="00A5088A">
      <w:pPr>
        <w:rPr>
          <w:lang w:val="hy-AM"/>
        </w:rPr>
      </w:pPr>
    </w:p>
    <w:sectPr w:rsidR="00241D15" w:rsidRPr="00E35072" w:rsidSect="00B4485D">
      <w:pgSz w:w="15840" w:h="12240" w:orient="landscape"/>
      <w:pgMar w:top="36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894B" w14:textId="77777777" w:rsidR="00E22330" w:rsidRDefault="00E22330" w:rsidP="00A5088A">
      <w:pPr>
        <w:spacing w:after="0" w:line="240" w:lineRule="auto"/>
      </w:pPr>
      <w:r>
        <w:separator/>
      </w:r>
    </w:p>
  </w:endnote>
  <w:endnote w:type="continuationSeparator" w:id="0">
    <w:p w14:paraId="78EEB075" w14:textId="77777777" w:rsidR="00E22330" w:rsidRDefault="00E22330" w:rsidP="00A5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82E5" w14:textId="77777777" w:rsidR="00E22330" w:rsidRDefault="00E22330" w:rsidP="00A5088A">
      <w:pPr>
        <w:spacing w:after="0" w:line="240" w:lineRule="auto"/>
      </w:pPr>
      <w:r>
        <w:separator/>
      </w:r>
    </w:p>
  </w:footnote>
  <w:footnote w:type="continuationSeparator" w:id="0">
    <w:p w14:paraId="3ED9D29B" w14:textId="77777777" w:rsidR="00E22330" w:rsidRDefault="00E22330" w:rsidP="00A50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0E29"/>
    <w:multiLevelType w:val="hybridMultilevel"/>
    <w:tmpl w:val="2CE48F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02532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E0"/>
    <w:rsid w:val="0003770B"/>
    <w:rsid w:val="000445CA"/>
    <w:rsid w:val="00092CDD"/>
    <w:rsid w:val="000F77FB"/>
    <w:rsid w:val="0010539F"/>
    <w:rsid w:val="001079C0"/>
    <w:rsid w:val="0013573A"/>
    <w:rsid w:val="00157BCC"/>
    <w:rsid w:val="00160F9A"/>
    <w:rsid w:val="001818C8"/>
    <w:rsid w:val="001952A4"/>
    <w:rsid w:val="00206888"/>
    <w:rsid w:val="00241D15"/>
    <w:rsid w:val="00245774"/>
    <w:rsid w:val="00256392"/>
    <w:rsid w:val="00281BB7"/>
    <w:rsid w:val="002A6DA8"/>
    <w:rsid w:val="002D6D35"/>
    <w:rsid w:val="002E48DF"/>
    <w:rsid w:val="002E4FD3"/>
    <w:rsid w:val="002E53BB"/>
    <w:rsid w:val="003038AC"/>
    <w:rsid w:val="00342C8F"/>
    <w:rsid w:val="00372C57"/>
    <w:rsid w:val="00375854"/>
    <w:rsid w:val="003E4FC9"/>
    <w:rsid w:val="003E6D75"/>
    <w:rsid w:val="00444115"/>
    <w:rsid w:val="00451FE2"/>
    <w:rsid w:val="004676DC"/>
    <w:rsid w:val="004C26B1"/>
    <w:rsid w:val="004E0FE1"/>
    <w:rsid w:val="004E38CE"/>
    <w:rsid w:val="004E3D87"/>
    <w:rsid w:val="004F22AA"/>
    <w:rsid w:val="00500117"/>
    <w:rsid w:val="00502327"/>
    <w:rsid w:val="00520D90"/>
    <w:rsid w:val="00522E0F"/>
    <w:rsid w:val="00530A1F"/>
    <w:rsid w:val="0055041C"/>
    <w:rsid w:val="00563D36"/>
    <w:rsid w:val="005811A1"/>
    <w:rsid w:val="0059408C"/>
    <w:rsid w:val="005A3EF3"/>
    <w:rsid w:val="00613BDE"/>
    <w:rsid w:val="00613E10"/>
    <w:rsid w:val="00661268"/>
    <w:rsid w:val="00666955"/>
    <w:rsid w:val="0067206D"/>
    <w:rsid w:val="00684631"/>
    <w:rsid w:val="006B77FB"/>
    <w:rsid w:val="006C2D23"/>
    <w:rsid w:val="006E7033"/>
    <w:rsid w:val="006F6671"/>
    <w:rsid w:val="007277AB"/>
    <w:rsid w:val="00736C5B"/>
    <w:rsid w:val="00742257"/>
    <w:rsid w:val="0075262E"/>
    <w:rsid w:val="00760156"/>
    <w:rsid w:val="007C06A8"/>
    <w:rsid w:val="007E35AE"/>
    <w:rsid w:val="008214A5"/>
    <w:rsid w:val="0086253F"/>
    <w:rsid w:val="0086499E"/>
    <w:rsid w:val="008900C7"/>
    <w:rsid w:val="008B1CAF"/>
    <w:rsid w:val="00915306"/>
    <w:rsid w:val="00935DE0"/>
    <w:rsid w:val="00977467"/>
    <w:rsid w:val="009841A5"/>
    <w:rsid w:val="009C3BB3"/>
    <w:rsid w:val="009D14FE"/>
    <w:rsid w:val="00A5088A"/>
    <w:rsid w:val="00A66057"/>
    <w:rsid w:val="00A90F8F"/>
    <w:rsid w:val="00A9682E"/>
    <w:rsid w:val="00AA071D"/>
    <w:rsid w:val="00AA452B"/>
    <w:rsid w:val="00AA4C16"/>
    <w:rsid w:val="00B1024D"/>
    <w:rsid w:val="00B4485D"/>
    <w:rsid w:val="00B7645B"/>
    <w:rsid w:val="00BF73DE"/>
    <w:rsid w:val="00C05574"/>
    <w:rsid w:val="00C06AF5"/>
    <w:rsid w:val="00C24624"/>
    <w:rsid w:val="00C359A7"/>
    <w:rsid w:val="00C37DB6"/>
    <w:rsid w:val="00C4633E"/>
    <w:rsid w:val="00CC06E5"/>
    <w:rsid w:val="00CD12CE"/>
    <w:rsid w:val="00CF3712"/>
    <w:rsid w:val="00D177D3"/>
    <w:rsid w:val="00D74BBA"/>
    <w:rsid w:val="00DA5B8C"/>
    <w:rsid w:val="00DA7F51"/>
    <w:rsid w:val="00DB3011"/>
    <w:rsid w:val="00DC02B4"/>
    <w:rsid w:val="00E042C7"/>
    <w:rsid w:val="00E044D8"/>
    <w:rsid w:val="00E05F50"/>
    <w:rsid w:val="00E11EC7"/>
    <w:rsid w:val="00E22330"/>
    <w:rsid w:val="00E35072"/>
    <w:rsid w:val="00E7264A"/>
    <w:rsid w:val="00E7488E"/>
    <w:rsid w:val="00E8545C"/>
    <w:rsid w:val="00EA5677"/>
    <w:rsid w:val="00EA65ED"/>
    <w:rsid w:val="00EF1B1F"/>
    <w:rsid w:val="00EF4319"/>
    <w:rsid w:val="00F00EEF"/>
    <w:rsid w:val="00F103F9"/>
    <w:rsid w:val="00F161BA"/>
    <w:rsid w:val="00F27DF0"/>
    <w:rsid w:val="00F32B7B"/>
    <w:rsid w:val="00F373CD"/>
    <w:rsid w:val="00F8260C"/>
    <w:rsid w:val="00F900BA"/>
    <w:rsid w:val="00F92E3C"/>
    <w:rsid w:val="00FB7309"/>
    <w:rsid w:val="00FF7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C0A1"/>
  <w15:docId w15:val="{EAABCF30-9B73-42BB-9E75-3F03D1B8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88A"/>
  </w:style>
  <w:style w:type="paragraph" w:styleId="Footer">
    <w:name w:val="footer"/>
    <w:basedOn w:val="Normal"/>
    <w:link w:val="FooterChar"/>
    <w:uiPriority w:val="99"/>
    <w:unhideWhenUsed/>
    <w:rsid w:val="00A5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81964">
      <w:bodyDiv w:val="1"/>
      <w:marLeft w:val="0"/>
      <w:marRight w:val="0"/>
      <w:marTop w:val="0"/>
      <w:marBottom w:val="0"/>
      <w:divBdr>
        <w:top w:val="none" w:sz="0" w:space="0" w:color="auto"/>
        <w:left w:val="none" w:sz="0" w:space="0" w:color="auto"/>
        <w:bottom w:val="none" w:sz="0" w:space="0" w:color="auto"/>
        <w:right w:val="none" w:sz="0" w:space="0" w:color="auto"/>
      </w:divBdr>
    </w:div>
    <w:div w:id="567109463">
      <w:bodyDiv w:val="1"/>
      <w:marLeft w:val="0"/>
      <w:marRight w:val="0"/>
      <w:marTop w:val="0"/>
      <w:marBottom w:val="0"/>
      <w:divBdr>
        <w:top w:val="none" w:sz="0" w:space="0" w:color="auto"/>
        <w:left w:val="none" w:sz="0" w:space="0" w:color="auto"/>
        <w:bottom w:val="none" w:sz="0" w:space="0" w:color="auto"/>
        <w:right w:val="none" w:sz="0" w:space="0" w:color="auto"/>
      </w:divBdr>
    </w:div>
    <w:div w:id="908806589">
      <w:bodyDiv w:val="1"/>
      <w:marLeft w:val="0"/>
      <w:marRight w:val="0"/>
      <w:marTop w:val="0"/>
      <w:marBottom w:val="0"/>
      <w:divBdr>
        <w:top w:val="none" w:sz="0" w:space="0" w:color="auto"/>
        <w:left w:val="none" w:sz="0" w:space="0" w:color="auto"/>
        <w:bottom w:val="none" w:sz="0" w:space="0" w:color="auto"/>
        <w:right w:val="none" w:sz="0" w:space="0" w:color="auto"/>
      </w:divBdr>
    </w:div>
    <w:div w:id="1041322137">
      <w:bodyDiv w:val="1"/>
      <w:marLeft w:val="0"/>
      <w:marRight w:val="0"/>
      <w:marTop w:val="0"/>
      <w:marBottom w:val="0"/>
      <w:divBdr>
        <w:top w:val="none" w:sz="0" w:space="0" w:color="auto"/>
        <w:left w:val="none" w:sz="0" w:space="0" w:color="auto"/>
        <w:bottom w:val="none" w:sz="0" w:space="0" w:color="auto"/>
        <w:right w:val="none" w:sz="0" w:space="0" w:color="auto"/>
      </w:divBdr>
    </w:div>
    <w:div w:id="1243486876">
      <w:bodyDiv w:val="1"/>
      <w:marLeft w:val="0"/>
      <w:marRight w:val="0"/>
      <w:marTop w:val="0"/>
      <w:marBottom w:val="0"/>
      <w:divBdr>
        <w:top w:val="none" w:sz="0" w:space="0" w:color="auto"/>
        <w:left w:val="none" w:sz="0" w:space="0" w:color="auto"/>
        <w:bottom w:val="none" w:sz="0" w:space="0" w:color="auto"/>
        <w:right w:val="none" w:sz="0" w:space="0" w:color="auto"/>
      </w:divBdr>
    </w:div>
    <w:div w:id="1257055114">
      <w:bodyDiv w:val="1"/>
      <w:marLeft w:val="0"/>
      <w:marRight w:val="0"/>
      <w:marTop w:val="0"/>
      <w:marBottom w:val="0"/>
      <w:divBdr>
        <w:top w:val="none" w:sz="0" w:space="0" w:color="auto"/>
        <w:left w:val="none" w:sz="0" w:space="0" w:color="auto"/>
        <w:bottom w:val="none" w:sz="0" w:space="0" w:color="auto"/>
        <w:right w:val="none" w:sz="0" w:space="0" w:color="auto"/>
      </w:divBdr>
    </w:div>
    <w:div w:id="1425110807">
      <w:bodyDiv w:val="1"/>
      <w:marLeft w:val="0"/>
      <w:marRight w:val="0"/>
      <w:marTop w:val="0"/>
      <w:marBottom w:val="0"/>
      <w:divBdr>
        <w:top w:val="none" w:sz="0" w:space="0" w:color="auto"/>
        <w:left w:val="none" w:sz="0" w:space="0" w:color="auto"/>
        <w:bottom w:val="none" w:sz="0" w:space="0" w:color="auto"/>
        <w:right w:val="none" w:sz="0" w:space="0" w:color="auto"/>
      </w:divBdr>
    </w:div>
    <w:div w:id="1773739129">
      <w:bodyDiv w:val="1"/>
      <w:marLeft w:val="0"/>
      <w:marRight w:val="0"/>
      <w:marTop w:val="0"/>
      <w:marBottom w:val="0"/>
      <w:divBdr>
        <w:top w:val="none" w:sz="0" w:space="0" w:color="auto"/>
        <w:left w:val="none" w:sz="0" w:space="0" w:color="auto"/>
        <w:bottom w:val="none" w:sz="0" w:space="0" w:color="auto"/>
        <w:right w:val="none" w:sz="0" w:space="0" w:color="auto"/>
      </w:divBdr>
    </w:div>
    <w:div w:id="2005863870">
      <w:bodyDiv w:val="1"/>
      <w:marLeft w:val="0"/>
      <w:marRight w:val="0"/>
      <w:marTop w:val="0"/>
      <w:marBottom w:val="0"/>
      <w:divBdr>
        <w:top w:val="none" w:sz="0" w:space="0" w:color="auto"/>
        <w:left w:val="none" w:sz="0" w:space="0" w:color="auto"/>
        <w:bottom w:val="none" w:sz="0" w:space="0" w:color="auto"/>
        <w:right w:val="none" w:sz="0" w:space="0" w:color="auto"/>
      </w:divBdr>
    </w:div>
    <w:div w:id="207921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3D59C-36ED-4EB5-8983-D82D02E2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A. Ghazaryan</dc:creator>
  <cp:lastModifiedBy>Gayane A. Khlghatyan</cp:lastModifiedBy>
  <cp:revision>36</cp:revision>
  <cp:lastPrinted>2023-12-13T06:19:00Z</cp:lastPrinted>
  <dcterms:created xsi:type="dcterms:W3CDTF">2021-10-28T11:51:00Z</dcterms:created>
  <dcterms:modified xsi:type="dcterms:W3CDTF">2023-12-13T08:55:00Z</dcterms:modified>
</cp:coreProperties>
</file>