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6BE" w:rsidRPr="006467E1" w:rsidRDefault="007556BE" w:rsidP="007556BE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6467E1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7556BE" w:rsidRDefault="007556BE" w:rsidP="007556BE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«</w:t>
      </w:r>
      <w:r w:rsidRPr="0026277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ՀԱՅԱՍՏԱՆԻ ՀԱՆՐԱՊԵՏՈՒԹՅԱՆ ԿԱՌԱՎԱՐՈՒԹՅԱՆ 20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21</w:t>
      </w:r>
      <w:r w:rsidRPr="0026277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7556BE" w:rsidRDefault="007556BE" w:rsidP="007556BE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6277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ԹՎԱԿԱՆԻ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ՀՈՒՆՎԱՐԻ 14-Ի ԹԻՎ 35-Ն</w:t>
      </w:r>
      <w:r w:rsidRPr="0026277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 ՈՐՈՇՄԱՆ ՄԵՋ</w:t>
      </w:r>
    </w:p>
    <w:p w:rsidR="003123A0" w:rsidRPr="0026277F" w:rsidRDefault="007556BE" w:rsidP="003123A0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6277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 ՓՈՓՈԽՈՒԹՅՈՒՆ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ԵՎ ԼՐԱՑՈՒՄ</w:t>
      </w:r>
      <w:r w:rsidRPr="0026277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 ԿԱՏԱՐԵԼՈՒ ՄԱՍԻՆ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»</w:t>
      </w:r>
      <w:r w:rsidRPr="00037D6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833F2F" w:rsidRDefault="007556BE" w:rsidP="007556BE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6277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ՀԱՅԱՍՏԱՆԻ ՀԱՆՐԱՊԵՏՈՒԹՅԱՆ </w:t>
      </w:r>
    </w:p>
    <w:p w:rsidR="007556BE" w:rsidRPr="00FE0C37" w:rsidRDefault="007556BE" w:rsidP="007556BE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6277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ԿԱՌԱՎԱՐՈՒԹՅԱՆ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ՈՐՈՇՄԱՆ</w:t>
      </w:r>
      <w:r w:rsidR="00833F2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ՆԱԽԱԳԾ</w:t>
      </w:r>
      <w:r w:rsidR="003123A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Ի</w:t>
      </w:r>
    </w:p>
    <w:p w:rsidR="007556BE" w:rsidRDefault="007556BE" w:rsidP="007556BE">
      <w:pPr>
        <w:tabs>
          <w:tab w:val="left" w:pos="720"/>
          <w:tab w:val="left" w:pos="810"/>
          <w:tab w:val="left" w:pos="900"/>
          <w:tab w:val="left" w:pos="990"/>
        </w:tabs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7556BE" w:rsidRPr="00F21BB2" w:rsidRDefault="007556BE" w:rsidP="007556BE">
      <w:pPr>
        <w:tabs>
          <w:tab w:val="left" w:pos="720"/>
          <w:tab w:val="left" w:pos="810"/>
          <w:tab w:val="left" w:pos="900"/>
          <w:tab w:val="left" w:pos="990"/>
        </w:tabs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ab/>
      </w:r>
      <w:r w:rsidRPr="00522523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>1</w:t>
      </w:r>
      <w:r w:rsidRPr="00522523">
        <w:rPr>
          <w:rFonts w:ascii="Cambria Math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Pr="00522523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 xml:space="preserve"> </w:t>
      </w:r>
      <w:r w:rsidRPr="00522523">
        <w:rPr>
          <w:rFonts w:ascii="GHEA Grapalat" w:hAnsi="GHEA Grapalat" w:cs="Arial Unicode"/>
          <w:b/>
          <w:bCs/>
          <w:color w:val="000000"/>
          <w:sz w:val="24"/>
          <w:szCs w:val="24"/>
          <w:lang w:val="af-ZA"/>
        </w:rPr>
        <w:t>Կարգավորման ենթակա խնդիրը.</w:t>
      </w:r>
    </w:p>
    <w:p w:rsidR="007556BE" w:rsidRDefault="007556BE" w:rsidP="007556BE">
      <w:pPr>
        <w:tabs>
          <w:tab w:val="left" w:pos="720"/>
          <w:tab w:val="left" w:pos="810"/>
          <w:tab w:val="left" w:pos="900"/>
          <w:tab w:val="left" w:pos="990"/>
        </w:tabs>
        <w:spacing w:after="0" w:line="360" w:lineRule="auto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52252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«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Հ</w:t>
      </w:r>
      <w:r w:rsidRPr="0052252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այաստանի</w:t>
      </w:r>
      <w:proofErr w:type="spellEnd"/>
      <w:r w:rsidRPr="0052252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Հ</w:t>
      </w:r>
      <w:proofErr w:type="spellStart"/>
      <w:r w:rsidRPr="0052252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անրապետության</w:t>
      </w:r>
      <w:proofErr w:type="spellEnd"/>
      <w:r w:rsidRPr="0052252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2252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52252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20</w:t>
      </w:r>
      <w:r w:rsidRPr="0052252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21</w:t>
      </w:r>
      <w:r w:rsidRPr="0052252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2252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52252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հունվարի 14-ի թիվ 35-Ն</w:t>
      </w:r>
      <w:r w:rsidRPr="0052252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2252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52252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2252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մեջ</w:t>
      </w:r>
      <w:proofErr w:type="spellEnd"/>
      <w:r w:rsidRPr="0052252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52252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փոփոխություն</w:t>
      </w:r>
      <w:proofErr w:type="spellEnd"/>
      <w:r w:rsidRPr="0052252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և</w:t>
      </w:r>
      <w:r w:rsidRPr="0052252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լրացում</w:t>
      </w:r>
      <w:r w:rsidRPr="0052252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2252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կատարելու</w:t>
      </w:r>
      <w:proofErr w:type="spellEnd"/>
      <w:r w:rsidRPr="0052252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2252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52252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»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Հ</w:t>
      </w:r>
      <w:proofErr w:type="spellStart"/>
      <w:r w:rsidRPr="0052252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այաստանի</w:t>
      </w:r>
      <w:proofErr w:type="spellEnd"/>
      <w:r w:rsidRPr="0052252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Հա</w:t>
      </w:r>
      <w:proofErr w:type="spellStart"/>
      <w:r w:rsidRPr="0052252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նրապետության</w:t>
      </w:r>
      <w:proofErr w:type="spellEnd"/>
      <w:r w:rsidRPr="0052252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2252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52252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52252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որոշման </w:t>
      </w:r>
      <w:r w:rsidR="003123A0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նախագծի /այսուհետ՝ Նախագիծ/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22523">
        <w:rPr>
          <w:rFonts w:ascii="GHEA Grapalat" w:eastAsia="Calibri" w:hAnsi="GHEA Grapalat" w:cs="Sylfaen"/>
          <w:sz w:val="24"/>
          <w:szCs w:val="24"/>
          <w:lang w:val="hy-AM"/>
        </w:rPr>
        <w:t>ընդունումը պայմանավորված է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 ՀՀ գլխավոր դատախազության կողմից վեր հանված օրենսդրական, ինչպես նաև պրակտիկայում առաջացող խնդիրների կարգավորման անհրաժեշտությամբ։ </w:t>
      </w:r>
    </w:p>
    <w:p w:rsidR="007556BE" w:rsidRPr="00877131" w:rsidRDefault="007556BE" w:rsidP="007556BE">
      <w:pPr>
        <w:tabs>
          <w:tab w:val="left" w:pos="720"/>
          <w:tab w:val="left" w:pos="810"/>
          <w:tab w:val="left" w:pos="900"/>
          <w:tab w:val="left" w:pos="990"/>
        </w:tabs>
        <w:spacing w:after="0" w:line="360" w:lineRule="auto"/>
        <w:jc w:val="both"/>
        <w:rPr>
          <w:rFonts w:ascii="GHEA Grapalat" w:eastAsia="Calibri" w:hAnsi="GHEA Grapalat" w:cs="Sylfaen"/>
          <w:i/>
          <w:sz w:val="24"/>
          <w:szCs w:val="24"/>
          <w:lang w:val="hy-AM"/>
        </w:rPr>
      </w:pPr>
      <w:r>
        <w:rPr>
          <w:rFonts w:ascii="GHEA Grapalat" w:eastAsia="Calibri" w:hAnsi="GHEA Grapalat" w:cs="Sylfaen"/>
          <w:sz w:val="24"/>
          <w:szCs w:val="24"/>
          <w:lang w:val="hy-AM"/>
        </w:rPr>
        <w:tab/>
        <w:t>Մասնավորապես, անհրաժեշտություն է առաջացել</w:t>
      </w:r>
      <w:r w:rsidR="0073376B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73376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Հայաստանի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Հ</w:t>
      </w:r>
      <w:r w:rsidRPr="0073376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անրապետության կառավարության 20</w:t>
      </w:r>
      <w:r w:rsidRPr="0052252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21</w:t>
      </w:r>
      <w:r w:rsidRPr="0073376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թվականի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հունվարի 14-ի թիվ </w:t>
      </w:r>
      <w:r w:rsidRPr="00877131"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shd w:val="clear" w:color="auto" w:fill="FFFFFF"/>
          <w:lang w:val="hy-AM"/>
        </w:rPr>
        <w:t>35-Ն</w:t>
      </w:r>
      <w:r w:rsidRPr="0073376B"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shd w:val="clear" w:color="auto" w:fill="FFFFFF"/>
          <w:lang w:val="hy-AM"/>
        </w:rPr>
        <w:t xml:space="preserve"> որոշ</w:t>
      </w:r>
      <w:r w:rsidRPr="00877131"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shd w:val="clear" w:color="auto" w:fill="FFFFFF"/>
          <w:lang w:val="hy-AM"/>
        </w:rPr>
        <w:t>ման դրույթները</w:t>
      </w:r>
      <w:r w:rsidRPr="00877131">
        <w:rPr>
          <w:rFonts w:ascii="GHEA Grapalat" w:eastAsia="Calibri" w:hAnsi="GHEA Grapalat" w:cs="Sylfaen"/>
          <w:i/>
          <w:sz w:val="24"/>
          <w:szCs w:val="24"/>
          <w:lang w:val="hy-AM"/>
        </w:rPr>
        <w:t xml:space="preserve"> համապատասխանեցնել գործող իրավական </w:t>
      </w:r>
      <w:proofErr w:type="spellStart"/>
      <w:r w:rsidRPr="00877131">
        <w:rPr>
          <w:rFonts w:ascii="GHEA Grapalat" w:eastAsia="Calibri" w:hAnsi="GHEA Grapalat" w:cs="Sylfaen"/>
          <w:i/>
          <w:sz w:val="24"/>
          <w:szCs w:val="24"/>
          <w:lang w:val="hy-AM"/>
        </w:rPr>
        <w:t>կարգավորումներին</w:t>
      </w:r>
      <w:proofErr w:type="spellEnd"/>
      <w:r w:rsidRPr="00877131">
        <w:rPr>
          <w:rFonts w:ascii="GHEA Grapalat" w:eastAsia="Calibri" w:hAnsi="GHEA Grapalat" w:cs="Sylfaen"/>
          <w:i/>
          <w:sz w:val="24"/>
          <w:szCs w:val="24"/>
          <w:lang w:val="hy-AM"/>
        </w:rPr>
        <w:t>, ինչպես նաև նույն որոշման շրջանակներում ոսկյա իրերը և զարդերը /ԱՏԳ ԱԱ 7113-7115 ծածկագրերին դասվող</w:t>
      </w:r>
      <w:r w:rsidR="008E6890">
        <w:rPr>
          <w:rFonts w:ascii="GHEA Grapalat" w:eastAsia="Calibri" w:hAnsi="GHEA Grapalat" w:cs="Sylfaen"/>
          <w:i/>
          <w:sz w:val="24"/>
          <w:szCs w:val="24"/>
          <w:lang w:val="hy-AM"/>
        </w:rPr>
        <w:t xml:space="preserve">, </w:t>
      </w:r>
      <w:r w:rsidR="00336C9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որոնք</w:t>
      </w:r>
      <w:r w:rsidR="00336C91" w:rsidRPr="00A86A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գերազանցում </w:t>
      </w:r>
      <w:r w:rsidR="00336C9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են</w:t>
      </w:r>
      <w:r w:rsidR="00336C91" w:rsidRPr="00A86A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936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875</w:t>
      </w:r>
      <w:r w:rsidR="00336C9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հարգը</w:t>
      </w:r>
      <w:r w:rsidRPr="00877131">
        <w:rPr>
          <w:rFonts w:ascii="GHEA Grapalat" w:eastAsia="Calibri" w:hAnsi="GHEA Grapalat" w:cs="Sylfaen"/>
          <w:i/>
          <w:sz w:val="24"/>
          <w:szCs w:val="24"/>
          <w:lang w:val="hy-AM"/>
        </w:rPr>
        <w:t xml:space="preserve">/ ներառել ռազմավարական տեսակետից </w:t>
      </w:r>
      <w:proofErr w:type="spellStart"/>
      <w:r w:rsidRPr="00877131">
        <w:rPr>
          <w:rFonts w:ascii="GHEA Grapalat" w:eastAsia="Calibri" w:hAnsi="GHEA Grapalat" w:cs="Sylfaen"/>
          <w:i/>
          <w:sz w:val="24"/>
          <w:szCs w:val="24"/>
          <w:lang w:val="hy-AM"/>
        </w:rPr>
        <w:t>կարևոր</w:t>
      </w:r>
      <w:proofErr w:type="spellEnd"/>
      <w:r w:rsidRPr="00877131">
        <w:rPr>
          <w:rFonts w:ascii="GHEA Grapalat" w:eastAsia="Calibri" w:hAnsi="GHEA Grapalat" w:cs="Sylfaen"/>
          <w:i/>
          <w:sz w:val="24"/>
          <w:szCs w:val="24"/>
          <w:lang w:val="hy-AM"/>
        </w:rPr>
        <w:t xml:space="preserve"> հումքային ապրանքների ցանկում։</w:t>
      </w:r>
    </w:p>
    <w:p w:rsidR="007556BE" w:rsidRPr="005C6E97" w:rsidRDefault="007556BE" w:rsidP="007556BE">
      <w:pPr>
        <w:spacing w:after="0" w:line="360" w:lineRule="auto"/>
        <w:jc w:val="both"/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</w:pPr>
      <w:r w:rsidRPr="005C6E97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 xml:space="preserve">          2</w:t>
      </w:r>
      <w:r w:rsidRPr="005C6E97">
        <w:rPr>
          <w:rFonts w:ascii="Cambria Math" w:eastAsia="MS Gothic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Pr="005C6E97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 xml:space="preserve"> Ընթացիկ</w:t>
      </w:r>
      <w:r w:rsidRPr="005C6E97">
        <w:rPr>
          <w:rFonts w:ascii="GHEA Grapalat" w:hAnsi="GHEA Grapalat" w:cs="Arial Unicode"/>
          <w:b/>
          <w:bCs/>
          <w:color w:val="000000"/>
          <w:sz w:val="24"/>
          <w:szCs w:val="24"/>
          <w:lang w:val="fr-FR"/>
        </w:rPr>
        <w:t xml:space="preserve"> </w:t>
      </w:r>
      <w:r w:rsidRPr="005C6E97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>իրավիճակը</w:t>
      </w:r>
      <w:r w:rsidRPr="005C6E97">
        <w:rPr>
          <w:rFonts w:ascii="GHEA Grapalat" w:hAnsi="GHEA Grapalat" w:cs="Arial Unicode"/>
          <w:b/>
          <w:bCs/>
          <w:color w:val="000000"/>
          <w:sz w:val="24"/>
          <w:szCs w:val="24"/>
          <w:lang w:val="fr-FR"/>
        </w:rPr>
        <w:t xml:space="preserve"> </w:t>
      </w:r>
      <w:r w:rsidRPr="005C6E97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>և</w:t>
      </w:r>
      <w:r w:rsidRPr="005C6E97">
        <w:rPr>
          <w:rFonts w:ascii="GHEA Grapalat" w:hAnsi="GHEA Grapalat" w:cs="Arial Unicode"/>
          <w:b/>
          <w:bCs/>
          <w:color w:val="000000"/>
          <w:sz w:val="24"/>
          <w:szCs w:val="24"/>
          <w:lang w:val="fr-FR"/>
        </w:rPr>
        <w:t xml:space="preserve"> </w:t>
      </w:r>
      <w:r w:rsidRPr="005C6E97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>իրավական</w:t>
      </w:r>
      <w:r w:rsidRPr="005C6E97">
        <w:rPr>
          <w:rFonts w:ascii="GHEA Grapalat" w:hAnsi="GHEA Grapalat" w:cs="Arial Unicode"/>
          <w:b/>
          <w:bCs/>
          <w:color w:val="000000"/>
          <w:sz w:val="24"/>
          <w:szCs w:val="24"/>
          <w:lang w:val="fr-FR"/>
        </w:rPr>
        <w:t xml:space="preserve"> </w:t>
      </w:r>
      <w:r w:rsidRPr="005C6E97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>ակտի</w:t>
      </w:r>
      <w:r w:rsidRPr="005C6E97">
        <w:rPr>
          <w:rFonts w:ascii="GHEA Grapalat" w:hAnsi="GHEA Grapalat" w:cs="Arial Unicode"/>
          <w:b/>
          <w:bCs/>
          <w:color w:val="000000"/>
          <w:sz w:val="24"/>
          <w:szCs w:val="24"/>
          <w:lang w:val="fr-FR"/>
        </w:rPr>
        <w:t xml:space="preserve"> </w:t>
      </w:r>
      <w:r w:rsidRPr="005C6E97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>ընդունման</w:t>
      </w:r>
      <w:r w:rsidRPr="005C6E97">
        <w:rPr>
          <w:rFonts w:ascii="GHEA Grapalat" w:hAnsi="GHEA Grapalat" w:cs="Arial Unicode"/>
          <w:b/>
          <w:bCs/>
          <w:color w:val="000000"/>
          <w:sz w:val="24"/>
          <w:szCs w:val="24"/>
          <w:lang w:val="fr-FR"/>
        </w:rPr>
        <w:t xml:space="preserve"> </w:t>
      </w:r>
      <w:r w:rsidRPr="005C6E97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>անհրաժեշտությունը</w:t>
      </w:r>
    </w:p>
    <w:p w:rsidR="007556BE" w:rsidRPr="0073376B" w:rsidRDefault="007556BE" w:rsidP="007556BE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1) </w:t>
      </w:r>
      <w:r w:rsidRPr="005C6E9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քրեական օրենսգրքի 292-րդ հոդվածը </w:t>
      </w:r>
      <w:r w:rsidRPr="007337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քրեական պատասխանատվություն է նախատեսում </w:t>
      </w:r>
      <w:r w:rsidRPr="0073376B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t>Կառավարության հաստատած</w:t>
      </w:r>
      <w:r w:rsidRPr="0073376B">
        <w:rPr>
          <w:rFonts w:ascii="Calibri" w:hAnsi="Calibri" w:cs="Calibri"/>
          <w:b/>
          <w:i/>
          <w:color w:val="000000"/>
          <w:sz w:val="24"/>
          <w:szCs w:val="24"/>
          <w:shd w:val="clear" w:color="auto" w:fill="FFFFFF"/>
          <w:lang w:val="hy-AM"/>
        </w:rPr>
        <w:t> </w:t>
      </w:r>
      <w:r w:rsidR="00395664" w:rsidRPr="00536CF2">
        <w:rPr>
          <w:rFonts w:ascii="Calibri" w:hAnsi="Calibri" w:cs="Calibri"/>
          <w:b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hyperlink r:id="rId4" w:history="1">
        <w:r w:rsidRPr="0073376B">
          <w:rPr>
            <w:rFonts w:ascii="GHEA Grapalat" w:hAnsi="GHEA Grapalat"/>
            <w:b/>
            <w:i/>
            <w:color w:val="000000"/>
            <w:sz w:val="24"/>
            <w:szCs w:val="24"/>
            <w:lang w:val="hy-AM"/>
          </w:rPr>
          <w:t>ցանկում</w:t>
        </w:r>
      </w:hyperlink>
      <w:r w:rsidRPr="0073376B">
        <w:rPr>
          <w:rFonts w:ascii="Calibri" w:hAnsi="Calibri" w:cs="Calibri"/>
          <w:b/>
          <w:i/>
          <w:color w:val="000000"/>
          <w:sz w:val="24"/>
          <w:szCs w:val="24"/>
          <w:shd w:val="clear" w:color="auto" w:fill="FFFFFF"/>
          <w:lang w:val="hy-AM"/>
        </w:rPr>
        <w:t> </w:t>
      </w:r>
      <w:r w:rsidRPr="0073376B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t>ընդգրկված</w:t>
      </w:r>
      <w:r w:rsidRPr="007337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մշակութային արժեքների կամ խոշոր չափերով ռազմավարական տեսակետից </w:t>
      </w:r>
      <w:proofErr w:type="spellStart"/>
      <w:r w:rsidRPr="007337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կարևոր</w:t>
      </w:r>
      <w:proofErr w:type="spellEnd"/>
      <w:r w:rsidRPr="007337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հումքային ապրանքների մաքսանենգության` </w:t>
      </w:r>
      <w:proofErr w:type="spellStart"/>
      <w:r w:rsidRPr="007337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Եվրասիական</w:t>
      </w:r>
      <w:proofErr w:type="spellEnd"/>
      <w:r w:rsidRPr="007337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տնտեսական միության մաքսային սահմանով կամ Հայաստանի Հանրապետության պետական սահմանով այդ արժեքը կամ ապրանքն </w:t>
      </w:r>
      <w:r w:rsidRPr="0073376B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>ապօրինի տեղափոխել</w:t>
      </w:r>
      <w:r w:rsidRPr="00536CF2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>ու համար</w:t>
      </w:r>
      <w:r w:rsidRPr="007337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որը կատարվել է առանց մաքսային </w:t>
      </w:r>
      <w:r w:rsidRPr="007337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հսկողության կամ դրանից թաքցնելով, կամ դրանց մասին հավաստի տեղեկությունը սահմանված կարգով </w:t>
      </w:r>
      <w:proofErr w:type="spellStart"/>
      <w:r w:rsidRPr="007337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չհայտարարագրելու</w:t>
      </w:r>
      <w:proofErr w:type="spellEnd"/>
      <w:r w:rsidRPr="007337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կամ ոչ իր անվամբ </w:t>
      </w:r>
      <w:proofErr w:type="spellStart"/>
      <w:r w:rsidRPr="007337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հայտարարագրելու</w:t>
      </w:r>
      <w:proofErr w:type="spellEnd"/>
      <w:r w:rsidRPr="007337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կամ դրանց տեղափոխման համար սահմանված կանոնը, այդ թվում՝ արգելք կամ սահմանափակում խախտելու կամ մաքսային կամ այլ փաստաթուղթը խաբեությամբ օգտագործելու միջոցով։</w:t>
      </w:r>
    </w:p>
    <w:p w:rsidR="007556BE" w:rsidRPr="00924E5B" w:rsidRDefault="007556BE" w:rsidP="007556BE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Նշված հոդվածի օբյեկտիվ կողմի բովանդակությունից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երևում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է, որ այն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բլանկետային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է, այսինքն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հանցակազմում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նշված օբյեկտիվ կողմի մի շարք հատկանիշներ բացահայտելու համար անհրաժեշտություն է ծագում հղում կատարել </w:t>
      </w:r>
      <w:r w:rsidRPr="00924E5B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t xml:space="preserve">հոդվածում նշված այլ իրավական ակտի՝ մասնավորապես մշակութային արժեքները կամ խոշոր չափերով ռազմավարական տեսակետից </w:t>
      </w:r>
      <w:proofErr w:type="spellStart"/>
      <w:r w:rsidRPr="00924E5B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t>կարևոր</w:t>
      </w:r>
      <w:proofErr w:type="spellEnd"/>
      <w:r w:rsidRPr="00924E5B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t xml:space="preserve"> հումքային ապրանքներն ընդգրկող ցանկին, որը սահմանված է </w:t>
      </w:r>
      <w:r w:rsidRPr="0073376B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/>
        </w:rPr>
        <w:t>Հայաստանի Հանրապետության կառավարության 20</w:t>
      </w:r>
      <w:r w:rsidRPr="00924E5B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/>
        </w:rPr>
        <w:t>21</w:t>
      </w:r>
      <w:r w:rsidRPr="0073376B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/>
        </w:rPr>
        <w:t xml:space="preserve"> թվականի հունվարի 14-ի «</w:t>
      </w:r>
      <w:r w:rsidRPr="0073376B">
        <w:rPr>
          <w:rFonts w:ascii="GHEA Grapalat" w:eastAsia="Times New Roman" w:hAnsi="GHEA Grapalat" w:cs="Times New Roman"/>
          <w:b/>
          <w:bCs/>
          <w:i/>
          <w:sz w:val="24"/>
          <w:szCs w:val="24"/>
          <w:lang w:val="hy-AM"/>
        </w:rPr>
        <w:t xml:space="preserve">Ռազմավարական տեսակետից </w:t>
      </w:r>
      <w:proofErr w:type="spellStart"/>
      <w:r w:rsidRPr="0073376B">
        <w:rPr>
          <w:rFonts w:ascii="GHEA Grapalat" w:eastAsia="Times New Roman" w:hAnsi="GHEA Grapalat" w:cs="Times New Roman"/>
          <w:b/>
          <w:bCs/>
          <w:i/>
          <w:sz w:val="24"/>
          <w:szCs w:val="24"/>
          <w:lang w:val="hy-AM"/>
        </w:rPr>
        <w:t>կարևոր</w:t>
      </w:r>
      <w:proofErr w:type="spellEnd"/>
      <w:r w:rsidRPr="0073376B">
        <w:rPr>
          <w:rFonts w:ascii="GHEA Grapalat" w:eastAsia="Times New Roman" w:hAnsi="GHEA Grapalat" w:cs="Times New Roman"/>
          <w:b/>
          <w:bCs/>
          <w:i/>
          <w:sz w:val="24"/>
          <w:szCs w:val="24"/>
          <w:lang w:val="hy-AM"/>
        </w:rPr>
        <w:t xml:space="preserve"> հումքային ապրանքների և մշակութային արժեքների ցանկը</w:t>
      </w:r>
      <w:r w:rsidRPr="0073376B">
        <w:rPr>
          <w:rStyle w:val="Strong"/>
          <w:rFonts w:ascii="GHEA Grapalat" w:hAnsi="GHEA Grapalat"/>
          <w:b w:val="0"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3376B">
        <w:rPr>
          <w:rStyle w:val="Strong"/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>հաստատելու մասին</w:t>
      </w:r>
      <w:r w:rsidRPr="0073376B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/>
        </w:rPr>
        <w:t xml:space="preserve">» թիվ </w:t>
      </w:r>
      <w:r w:rsidRPr="00924E5B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/>
        </w:rPr>
        <w:t>35</w:t>
      </w:r>
      <w:r w:rsidRPr="0073376B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/>
        </w:rPr>
        <w:t>-Ն որոշմա</w:t>
      </w:r>
      <w:r w:rsidRPr="00924E5B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/>
        </w:rPr>
        <w:t>մբ։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Նշված որոշման հավելվածի 11-րդ կետն իր հերթին հղում է պարունակում և ռազմավարական տեսակետից կարևոր հումքային ապրանքների շարքին է դասում նաև </w:t>
      </w:r>
      <w:r w:rsidRPr="005127B3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/>
        </w:rPr>
        <w:t>Եվրասիական տնտեսական հանձնաժողովի խորհրդի 2012 թվականի հուլիսի 16-ի թիվ 54 որոշման մեջ ընդգրկված ԱՏԳ ԱԱ 2530 90 000 1, 2616, 7101-7104, 7106-7112, 9602 00 000 1 ծածկագրերին դասվող ապրանքատեսակները։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24E5B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/>
        </w:rPr>
        <w:t>Սակայն նույն 54 որոշումը 01</w:t>
      </w:r>
      <w:r w:rsidRPr="00924E5B">
        <w:rPr>
          <w:rFonts w:ascii="Cambria Math" w:eastAsia="Times New Roman" w:hAnsi="Cambria Math" w:cs="Cambria Math"/>
          <w:b/>
          <w:i/>
          <w:color w:val="000000"/>
          <w:sz w:val="24"/>
          <w:szCs w:val="24"/>
          <w:lang w:val="hy-AM"/>
        </w:rPr>
        <w:t>․</w:t>
      </w:r>
      <w:r w:rsidRPr="00924E5B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/>
        </w:rPr>
        <w:t>01</w:t>
      </w:r>
      <w:r w:rsidRPr="00924E5B">
        <w:rPr>
          <w:rFonts w:ascii="Cambria Math" w:eastAsia="Times New Roman" w:hAnsi="Cambria Math" w:cs="Cambria Math"/>
          <w:b/>
          <w:i/>
          <w:color w:val="000000"/>
          <w:sz w:val="24"/>
          <w:szCs w:val="24"/>
          <w:lang w:val="hy-AM"/>
        </w:rPr>
        <w:t>․</w:t>
      </w:r>
      <w:r w:rsidRPr="00924E5B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/>
        </w:rPr>
        <w:t xml:space="preserve">2022 </w:t>
      </w:r>
      <w:r w:rsidRPr="00924E5B">
        <w:rPr>
          <w:rFonts w:ascii="GHEA Grapalat" w:eastAsia="Times New Roman" w:hAnsi="GHEA Grapalat" w:cs="GHEA Grapalat"/>
          <w:b/>
          <w:i/>
          <w:color w:val="000000"/>
          <w:sz w:val="24"/>
          <w:szCs w:val="24"/>
          <w:lang w:val="hy-AM"/>
        </w:rPr>
        <w:t>թվականին</w:t>
      </w:r>
      <w:r w:rsidRPr="00924E5B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/>
        </w:rPr>
        <w:t xml:space="preserve"> </w:t>
      </w:r>
      <w:r w:rsidRPr="00924E5B">
        <w:rPr>
          <w:rFonts w:ascii="GHEA Grapalat" w:eastAsia="Times New Roman" w:hAnsi="GHEA Grapalat" w:cs="GHEA Grapalat"/>
          <w:b/>
          <w:i/>
          <w:color w:val="000000"/>
          <w:sz w:val="24"/>
          <w:szCs w:val="24"/>
          <w:lang w:val="hy-AM"/>
        </w:rPr>
        <w:t>ուժը</w:t>
      </w:r>
      <w:r w:rsidRPr="00924E5B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/>
        </w:rPr>
        <w:t xml:space="preserve"> </w:t>
      </w:r>
      <w:r w:rsidRPr="00924E5B">
        <w:rPr>
          <w:rFonts w:ascii="GHEA Grapalat" w:eastAsia="Times New Roman" w:hAnsi="GHEA Grapalat" w:cs="GHEA Grapalat"/>
          <w:b/>
          <w:i/>
          <w:color w:val="000000"/>
          <w:sz w:val="24"/>
          <w:szCs w:val="24"/>
          <w:lang w:val="hy-AM"/>
        </w:rPr>
        <w:t>կորցրել</w:t>
      </w:r>
      <w:r w:rsidRPr="00924E5B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/>
        </w:rPr>
        <w:t xml:space="preserve"> </w:t>
      </w:r>
      <w:r w:rsidRPr="00924E5B">
        <w:rPr>
          <w:rFonts w:ascii="GHEA Grapalat" w:eastAsia="Times New Roman" w:hAnsi="GHEA Grapalat" w:cs="GHEA Grapalat"/>
          <w:b/>
          <w:i/>
          <w:color w:val="000000"/>
          <w:sz w:val="24"/>
          <w:szCs w:val="24"/>
          <w:lang w:val="hy-AM"/>
        </w:rPr>
        <w:t>է</w:t>
      </w:r>
      <w:r w:rsidRPr="00924E5B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/>
        </w:rPr>
        <w:t xml:space="preserve"> </w:t>
      </w:r>
      <w:r w:rsidRPr="00924E5B">
        <w:rPr>
          <w:rFonts w:ascii="GHEA Grapalat" w:eastAsia="Times New Roman" w:hAnsi="GHEA Grapalat" w:cs="GHEA Grapalat"/>
          <w:b/>
          <w:i/>
          <w:color w:val="000000"/>
          <w:sz w:val="24"/>
          <w:szCs w:val="24"/>
          <w:lang w:val="hy-AM"/>
        </w:rPr>
        <w:t>և</w:t>
      </w:r>
      <w:r w:rsidRPr="00924E5B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/>
        </w:rPr>
        <w:t xml:space="preserve"> </w:t>
      </w:r>
      <w:r w:rsidRPr="0073376B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/>
        </w:rPr>
        <w:t xml:space="preserve">01.01.2022 թվականից գործում է </w:t>
      </w:r>
      <w:proofErr w:type="spellStart"/>
      <w:r w:rsidRPr="00924E5B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/>
        </w:rPr>
        <w:t>Եվրասիական</w:t>
      </w:r>
      <w:proofErr w:type="spellEnd"/>
      <w:r w:rsidRPr="00924E5B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/>
        </w:rPr>
        <w:t xml:space="preserve"> տնտեսական հանձնաժողովի խորհրդի 2021 թվականի սեպտեմբերի 14-ի թիվ 80 որոշում</w:t>
      </w:r>
      <w:r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/>
        </w:rPr>
        <w:t>ը</w:t>
      </w:r>
      <w:r w:rsidRPr="00924E5B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/>
        </w:rPr>
        <w:t>։</w:t>
      </w:r>
    </w:p>
    <w:p w:rsidR="007556BE" w:rsidRPr="005E2FC1" w:rsidRDefault="007556BE" w:rsidP="007556BE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ՀՀ գլխավոր դատախազության կողմից նշվել է, որ Եվրասիական տնտեսական հանձնաժողովի խորհրդի 2012 թվականի հուլիսի 16-ի թիվ 54 որոշման՝ 01</w:t>
      </w:r>
      <w:r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01</w:t>
      </w:r>
      <w:r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2022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թ</w:t>
      </w:r>
      <w:r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ուժը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կորցրած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ճանաչվելը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նույն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ամսաթվից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Եվրասիակ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 տնտեսական հանձնաժողովի խորհրդի 2021 թվականի սեպտեմբերի 14-ի թիվ 80 որոշման գործելու հանգամանքը գործնականում խնդիրներ է առաջացնում ՀՀ քրեական օրենսգրքի 292-րդ հոդվածով նախատեսված հանցանքի կատարման համար անձանց քրեական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պատասխանատվության ենթարկելու հարցում, քանի որ հանցակազմը բլանկետային է և քրեական պատասխանատվությունը պայմանավորված է այլ նորմատիվ իրավական ակտով սահմանված կանոնների խախտման համար։ </w:t>
      </w:r>
      <w:r w:rsidRPr="005E2FC1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/>
        </w:rPr>
        <w:t>Ստացվում է, որ մաքսանենգություն կատարած անձինք Եվրասիական տնտեսական հանձնաժողովի խորհրդի գործող 80 որոշման և ՀՀ կառավարության 35-Ն որոշման միջև առկա անհամապատասխանությունների պատճառով կարող են խուսափել քրեական պատասխանատվությունից։</w:t>
      </w:r>
    </w:p>
    <w:p w:rsidR="007556BE" w:rsidRDefault="007556BE" w:rsidP="007556BE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Հաշվի առնելով վերոգրյալը՝ մշակվել է Նախագիծը, որով հղում է կատարվել գործող, ուժի մեջ մտած իրավական ակտին։</w:t>
      </w:r>
    </w:p>
    <w:p w:rsidR="007556BE" w:rsidRDefault="007556BE" w:rsidP="007556BE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77C6">
        <w:rPr>
          <w:rFonts w:ascii="GHEA Grapalat" w:eastAsia="MS Mincho" w:hAnsi="GHEA Grapalat" w:cs="MS Mincho"/>
          <w:bCs/>
          <w:color w:val="000000"/>
          <w:sz w:val="24"/>
          <w:szCs w:val="24"/>
          <w:lang w:val="hy-AM"/>
        </w:rPr>
        <w:t xml:space="preserve">2) </w:t>
      </w:r>
      <w:r>
        <w:rPr>
          <w:rFonts w:ascii="GHEA Grapalat" w:eastAsia="MS Mincho" w:hAnsi="GHEA Grapalat" w:cs="MS Mincho"/>
          <w:bCs/>
          <w:color w:val="000000"/>
          <w:sz w:val="24"/>
          <w:szCs w:val="24"/>
          <w:lang w:val="hy-AM"/>
        </w:rPr>
        <w:t xml:space="preserve">ՀՀ գլխավոր դատախազության կողմից բարձրացվել է նաև ՀՀ քրեական օրենսգրքի 292-րդ հոդվածի կիրառման հետ կապված </w:t>
      </w:r>
      <w:proofErr w:type="spellStart"/>
      <w:r>
        <w:rPr>
          <w:rFonts w:ascii="GHEA Grapalat" w:eastAsia="MS Mincho" w:hAnsi="GHEA Grapalat" w:cs="MS Mincho"/>
          <w:bCs/>
          <w:color w:val="000000"/>
          <w:sz w:val="24"/>
          <w:szCs w:val="24"/>
          <w:lang w:val="hy-AM"/>
        </w:rPr>
        <w:t>ևս</w:t>
      </w:r>
      <w:proofErr w:type="spellEnd"/>
      <w:r>
        <w:rPr>
          <w:rFonts w:ascii="GHEA Grapalat" w:eastAsia="MS Mincho" w:hAnsi="GHEA Grapalat" w:cs="MS Mincho"/>
          <w:bCs/>
          <w:color w:val="000000"/>
          <w:sz w:val="24"/>
          <w:szCs w:val="24"/>
          <w:lang w:val="hy-AM"/>
        </w:rPr>
        <w:t xml:space="preserve"> մեկ գործնական </w:t>
      </w:r>
      <w:proofErr w:type="spellStart"/>
      <w:r w:rsidR="00122260">
        <w:rPr>
          <w:rFonts w:ascii="GHEA Grapalat" w:eastAsia="MS Mincho" w:hAnsi="GHEA Grapalat" w:cs="MS Mincho"/>
          <w:bCs/>
          <w:color w:val="000000"/>
          <w:sz w:val="24"/>
          <w:szCs w:val="24"/>
          <w:lang w:val="hy-AM"/>
        </w:rPr>
        <w:t>կարևոր</w:t>
      </w:r>
      <w:proofErr w:type="spellEnd"/>
      <w:r w:rsidR="00122260">
        <w:rPr>
          <w:rFonts w:ascii="GHEA Grapalat" w:eastAsia="MS Mincho" w:hAnsi="GHEA Grapalat" w:cs="MS Mincho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MS Mincho" w:hAnsi="GHEA Grapalat" w:cs="MS Mincho"/>
          <w:bCs/>
          <w:color w:val="000000"/>
          <w:sz w:val="24"/>
          <w:szCs w:val="24"/>
          <w:lang w:val="hy-AM"/>
        </w:rPr>
        <w:t xml:space="preserve">խնդիր։ Մասնավորապես՝ ՀՀ քրեական օրենսգրքի 292-րդ հոդվածով նախատեսված ռազմավարական տեսակետից </w:t>
      </w:r>
      <w:proofErr w:type="spellStart"/>
      <w:r>
        <w:rPr>
          <w:rFonts w:ascii="GHEA Grapalat" w:eastAsia="MS Mincho" w:hAnsi="GHEA Grapalat" w:cs="MS Mincho"/>
          <w:bCs/>
          <w:color w:val="000000"/>
          <w:sz w:val="24"/>
          <w:szCs w:val="24"/>
          <w:lang w:val="hy-AM"/>
        </w:rPr>
        <w:t>կարևոր</w:t>
      </w:r>
      <w:proofErr w:type="spellEnd"/>
      <w:r>
        <w:rPr>
          <w:rFonts w:ascii="GHEA Grapalat" w:eastAsia="MS Mincho" w:hAnsi="GHEA Grapalat" w:cs="MS Mincho"/>
          <w:bCs/>
          <w:color w:val="000000"/>
          <w:sz w:val="24"/>
          <w:szCs w:val="24"/>
          <w:lang w:val="hy-AM"/>
        </w:rPr>
        <w:t xml:space="preserve"> հումքային ապրանքների ցանկը սահմանված է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ՀՀ</w:t>
      </w:r>
      <w:r w:rsidRPr="0073376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կառավարության 20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21</w:t>
      </w:r>
      <w:r w:rsidRPr="0073376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հունվարի 14-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թիվ 35-Ն որոշման հավելվածով, որում, ի թիվս այլնի՝ ներառված են նաև Եվրասիական տնտեսական հանձնաժողովի խորհրդի 2012 թվականի հուլիսի 16-ի թիվ 54 որոշման մեջ ընդգրկված՝ ԱՏԳ ԱԱ 2530 90 000 1, 2616, 7101-7104, 7106-7112, 9602 00 000 1 ծածկագրերին դասվող ապրանքատեսակները։</w:t>
      </w:r>
    </w:p>
    <w:p w:rsidR="007556BE" w:rsidRDefault="007556BE" w:rsidP="007556BE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Եվրասիական տնտեսական հանձնաժողովի խորհրդի 2021 թվականի սեպտեմբերի 14-ի թիվ 80 որոշմամբ հաստատվել է ԵՏՄ արտաքին տնտեսական գործունեության միասնական ապրանքային անվանացանկը և ԵՏՄ միասնական մաքսային սակագինը, համաձայն որի՝ </w:t>
      </w:r>
      <w:r w:rsidRPr="006F124D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/>
        </w:rPr>
        <w:t>7108 ԱՏԳ ԱԱ ծածկագրի ներքո նշված է՝ «Ոսկի /ներառյալ ոսկի՝ պլատինից գալվանական ծածկույթով/՝ չմշակված կամ կիսամշակված կամ փոշու տեսքով»։</w:t>
      </w:r>
    </w:p>
    <w:p w:rsidR="007556BE" w:rsidRDefault="007556BE" w:rsidP="007556BE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Նշված կարգավորումներից հետևում է, որ այն դեպքերում, երբ ֆիզիկական անձինք ՀՀ սահմանով տեղափոխում են քննարկվող հանցագործության համար նյութական չափ համարվող /արտահանման համար՝ 8</w:t>
      </w:r>
      <w:r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000</w:t>
      </w:r>
      <w:r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000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դրամը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գերազանցող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գումար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ներմուծման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պարագայում՝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10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կգ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ավելին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/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ոսկյա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զարդեր կամ ոսկյա շղթաներ, դրանք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չեն կարող հանդիսանալ </w:t>
      </w:r>
      <w:r>
        <w:rPr>
          <w:rFonts w:ascii="GHEA Grapalat" w:eastAsia="MS Mincho" w:hAnsi="GHEA Grapalat" w:cs="MS Mincho"/>
          <w:bCs/>
          <w:color w:val="000000"/>
          <w:sz w:val="24"/>
          <w:szCs w:val="24"/>
          <w:lang w:val="hy-AM"/>
        </w:rPr>
        <w:t xml:space="preserve">ՀՀ քրեական օրենսգրքի 292-րդ հոդվածով սահմանված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մաքսանենգության առարկա, քանի որ չեն համապատասխանում 7108 ԱՏԳ ԱԱ ծածկագրին դասվող ապրանքատեսակին /որի դեպքում խոսք է գնում այսպես կոչված ոսկյա ձուլակտորների, ոսկու հումքի, անմշակ ոսկու կտորների մասին/։ Դրանք պատրաստի ոսկյա իրեր են, ռազմավարական տեսակետից կարևոր հումքային ապրանք չեն, մինչդեռ գործնականում հանդիպում են դեպքեր, երբ ֆիզիկական անձինք իրականում զարդ չհամարվող, օրինակ հալեցված և շղթայի տեսք տված ոսկու կտորներն առանց համապատասխան հայտարարագրման տեղափոխեն ՀՀ սահմանով, ոսկուց պատրաստված իրերը կրկին վերածեն ոսկյա ձուլակտորների՝ փաստացի խուսափելով քրեական պատասխանատվությունից։</w:t>
      </w:r>
    </w:p>
    <w:p w:rsidR="007556BE" w:rsidRDefault="007556BE" w:rsidP="007556BE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Ելնելով վերոգրյալից՝ պրակտիկայում առաջացած խնդիրները վերացնելու նպատակով՝ Նախագծի շրջանակներում ոսկյա իրերը և զարդերը /ԱՏԳ ԱԱ 7113-7115 ծածկագրեր</w:t>
      </w:r>
      <w:r w:rsidR="00586B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 դասվող</w:t>
      </w:r>
      <w:r w:rsidR="008E689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336C9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որոնք</w:t>
      </w:r>
      <w:r w:rsidR="00336C91" w:rsidRPr="00A86A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գերազանցում </w:t>
      </w:r>
      <w:r w:rsidR="00336C9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են</w:t>
      </w:r>
      <w:r w:rsidR="00336C91" w:rsidRPr="00A86A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936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875</w:t>
      </w:r>
      <w:r w:rsidR="00336C9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հարգը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 ևս ներառվել են ռազմավարական տեսակետից կարևոր հումքային ապրանքների շարքում։</w:t>
      </w:r>
    </w:p>
    <w:p w:rsidR="00391F98" w:rsidRPr="0073376B" w:rsidRDefault="00391F98" w:rsidP="00391F98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602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Pr="007337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ույն որոշման N 1 հավելվածով սահմանված ապրանքների չափաքանակները գերազանցող քանակով </w:t>
      </w:r>
      <w:proofErr w:type="spellStart"/>
      <w:r w:rsidRPr="007337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Եվրասիական</w:t>
      </w:r>
      <w:proofErr w:type="spellEnd"/>
      <w:r w:rsidRPr="007337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տնտեսական միության անդամ հանդիսացող պետություններից Հայաստանի Հանրապետության տարածք տարանցման մաքսային հայտարարագրով կամ </w:t>
      </w:r>
      <w:proofErr w:type="spellStart"/>
      <w:r w:rsidRPr="007337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ուղևորային</w:t>
      </w:r>
      <w:proofErr w:type="spellEnd"/>
      <w:r w:rsidRPr="007337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մաքսային հայտարարագրով կամ այլ փաստաթղթերով «Մաքսային տարանցում» մաքսային ընթացակարգով </w:t>
      </w:r>
      <w:proofErr w:type="spellStart"/>
      <w:r w:rsidRPr="007337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ձևակերպված</w:t>
      </w:r>
      <w:proofErr w:type="spellEnd"/>
      <w:r w:rsidRPr="007337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(բացառությամբ օդային փոխադրումների) </w:t>
      </w:r>
      <w:proofErr w:type="spellStart"/>
      <w:r w:rsidRPr="007337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Եվրասիական</w:t>
      </w:r>
      <w:proofErr w:type="spellEnd"/>
      <w:r w:rsidRPr="007337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տնտեսական միության ապրանքների ներմուծման դեպքում մաքսային մարմինների կողմից ապրանքների՝ </w:t>
      </w:r>
      <w:r w:rsidRPr="007602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Pr="007337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ույն որոշման N 1 հավելվածով սահմանված ակնհայտ </w:t>
      </w:r>
      <w:proofErr w:type="spellStart"/>
      <w:r w:rsidRPr="007337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առևտրային</w:t>
      </w:r>
      <w:proofErr w:type="spellEnd"/>
      <w:r w:rsidRPr="007337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չափաքանակները գերազանցելու հանգամանքը հայտնի դառնալու օրն առձեռն կամ փոստային եղանակով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Pr="007337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ույն որոշման N 3 հավելվածով սահմանված օրինակելի </w:t>
      </w:r>
      <w:proofErr w:type="spellStart"/>
      <w:r w:rsidRPr="007337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ձևով</w:t>
      </w:r>
      <w:proofErr w:type="spellEnd"/>
      <w:r w:rsidRPr="007337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ծանուցումը հանձնվում է ֆիզիկական անձին` </w:t>
      </w:r>
      <w:proofErr w:type="spellStart"/>
      <w:r w:rsidRPr="007337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մինչև</w:t>
      </w:r>
      <w:proofErr w:type="spellEnd"/>
      <w:r w:rsidRPr="007337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ներմուծման ամսվան հաջորդող ամսվա 20-ը օրենքով սահմանված կարգով ներմուծման հարկային հայտարարագիր ներկայացնելու և անուղղակի հարկերի վճարումն իրականացնելու նպատակով:</w:t>
      </w:r>
    </w:p>
    <w:p w:rsidR="00391F98" w:rsidRPr="009174DF" w:rsidRDefault="00391F98" w:rsidP="00391F98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/>
        </w:rPr>
      </w:pPr>
      <w:r w:rsidRPr="00C54C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Որոշման թիվ </w:t>
      </w:r>
      <w:r w:rsidRPr="005C5DF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 հավելվածի </w:t>
      </w:r>
      <w:r w:rsidRPr="005C5DF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7108 ԱՏԳ ԱԱ ծածկագրի ներքո նշված է՝ «Ոսկի /ներառյալ ոսկի՝ պլատինից գալվանական ծածկույթով/՝ չմշակված կամ </w:t>
      </w:r>
      <w:proofErr w:type="spellStart"/>
      <w:r w:rsidRPr="005C5DF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կիսամշակված</w:t>
      </w:r>
      <w:proofErr w:type="spellEnd"/>
      <w:r w:rsidRPr="005C5DF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կամ փոշու տեսքով»։ Նույն ծածկագրի 3-րդ սյունակում սահմանված է ներմուծման դեպքում նշված </w:t>
      </w:r>
      <w:r w:rsidRPr="009174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ապրանքատեսակի </w:t>
      </w:r>
      <w:r w:rsidRPr="007337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չափը գերազանցող մասը</w:t>
      </w:r>
      <w:r w:rsidRPr="009174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այն է՝ 10 կգ, որը</w:t>
      </w:r>
      <w:r w:rsidRPr="007337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համարվում է ապրանքների ակնհայտ </w:t>
      </w:r>
      <w:proofErr w:type="spellStart"/>
      <w:r w:rsidRPr="009174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առևտրային</w:t>
      </w:r>
      <w:proofErr w:type="spellEnd"/>
      <w:r w:rsidRPr="009174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քանակություն, ինչի դեպքում </w:t>
      </w:r>
      <w:r w:rsidRPr="007337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ֆիզիկական անձի համար </w:t>
      </w:r>
      <w:r w:rsidRPr="009174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Pr="007337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երմուծման հարկային հայտարարագիր ներկայացնելու և անուղղակի հարկերի վճարումն իրականացնելու պարտականություն է նախատեսված։</w:t>
      </w:r>
    </w:p>
    <w:p w:rsidR="00391F98" w:rsidRPr="0073376B" w:rsidRDefault="00391F98" w:rsidP="00391F98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174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Նշված </w:t>
      </w:r>
      <w:proofErr w:type="spellStart"/>
      <w:r w:rsidRPr="009174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կարգավորումները</w:t>
      </w:r>
      <w:proofErr w:type="spellEnd"/>
      <w:r w:rsidRPr="009174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հաշվի առնելով՝ անհրաժեշտություն է առաջացել 7108 ԱՏԳ ԱԱ ծածկագրի ներքո նշված ապրանքի ներմուծման դեպքում փոփոխել վերջինիս </w:t>
      </w:r>
      <w:r w:rsidRPr="007337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ակնհայտ </w:t>
      </w:r>
      <w:proofErr w:type="spellStart"/>
      <w:r w:rsidRPr="007337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առևտրային</w:t>
      </w:r>
      <w:proofErr w:type="spellEnd"/>
      <w:r w:rsidRPr="007337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քանակությ</w:t>
      </w:r>
      <w:r w:rsidRPr="009174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 չափը՝ սահմանելով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 կգ։ </w:t>
      </w:r>
    </w:p>
    <w:p w:rsidR="007556BE" w:rsidRPr="005C6E97" w:rsidRDefault="007556BE" w:rsidP="007556BE">
      <w:pPr>
        <w:spacing w:after="0" w:line="360" w:lineRule="auto"/>
        <w:ind w:firstLine="709"/>
        <w:jc w:val="both"/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</w:pPr>
      <w:r w:rsidRPr="005C6E97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>3</w:t>
      </w:r>
      <w:r w:rsidRPr="005C6E97">
        <w:rPr>
          <w:rFonts w:ascii="GHEA Grapalat" w:hAnsi="GHEA Grapalat" w:cs="Cambria Math"/>
          <w:b/>
          <w:bCs/>
          <w:color w:val="000000"/>
          <w:sz w:val="24"/>
          <w:szCs w:val="24"/>
          <w:lang w:val="hy-AM"/>
        </w:rPr>
        <w:t>.</w:t>
      </w:r>
      <w:r w:rsidRPr="005C6E97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 xml:space="preserve"> Առաջարկվող կարգավորման բնույթը</w:t>
      </w:r>
    </w:p>
    <w:p w:rsidR="007556BE" w:rsidRPr="00037D60" w:rsidRDefault="007556BE" w:rsidP="007556BE">
      <w:pPr>
        <w:spacing w:after="0" w:line="360" w:lineRule="auto"/>
        <w:ind w:firstLine="709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5C6E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Հաշվի առնելով «Նորմատիվ իրավական ակտերի մասին» ՀՀ օրենքի 34-րդ հոդվածի    2-րդ</w:t>
      </w:r>
      <w:r w:rsidRPr="00037D6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մասը, այն է՝ նորմատիվ իրավական ակտում փոփոխություն կամ լրացում կարող է կատարվել միայն նույն տեսակի և բնույթի նորմատիվ իրավական ակտով, մշակվել </w:t>
      </w:r>
      <w:r w:rsidR="0073376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է</w:t>
      </w:r>
      <w:r w:rsidR="00B42A5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3376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նախագիծը</w:t>
      </w:r>
      <w:r w:rsidR="00B42A5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։</w:t>
      </w:r>
    </w:p>
    <w:p w:rsidR="007556BE" w:rsidRPr="006467E1" w:rsidRDefault="007556BE" w:rsidP="007556BE">
      <w:pPr>
        <w:tabs>
          <w:tab w:val="left" w:pos="0"/>
          <w:tab w:val="left" w:pos="180"/>
          <w:tab w:val="left" w:pos="450"/>
          <w:tab w:val="left" w:pos="540"/>
          <w:tab w:val="left" w:pos="630"/>
        </w:tabs>
        <w:spacing w:after="0" w:line="360" w:lineRule="auto"/>
        <w:ind w:left="42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467E1">
        <w:rPr>
          <w:rFonts w:ascii="GHEA Grapalat" w:hAnsi="GHEA Grapalat"/>
          <w:b/>
          <w:sz w:val="24"/>
          <w:szCs w:val="24"/>
          <w:lang w:val="hy-AM"/>
        </w:rPr>
        <w:t xml:space="preserve">    4</w:t>
      </w:r>
      <w:r w:rsidRPr="00E52514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6467E1">
        <w:rPr>
          <w:rFonts w:ascii="GHEA Grapalat" w:hAnsi="GHEA Grapalat"/>
          <w:b/>
          <w:sz w:val="24"/>
          <w:szCs w:val="24"/>
          <w:lang w:val="hy-AM"/>
        </w:rPr>
        <w:t>Նախագծի մշակման գործընթացում ներգրավված ինստիտուտները և անձինք.</w:t>
      </w:r>
    </w:p>
    <w:p w:rsidR="007556BE" w:rsidRPr="006467E1" w:rsidRDefault="007556BE" w:rsidP="007556BE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467E1">
        <w:rPr>
          <w:rFonts w:ascii="GHEA Grapalat" w:hAnsi="GHEA Grapalat"/>
          <w:sz w:val="24"/>
          <w:szCs w:val="24"/>
          <w:lang w:val="hy-AM"/>
        </w:rPr>
        <w:t>Նախագ</w:t>
      </w:r>
      <w:r w:rsidR="0073376B">
        <w:rPr>
          <w:rFonts w:ascii="GHEA Grapalat" w:hAnsi="GHEA Grapalat"/>
          <w:sz w:val="24"/>
          <w:szCs w:val="24"/>
          <w:lang w:val="hy-AM"/>
        </w:rPr>
        <w:t>իծ</w:t>
      </w:r>
      <w:r w:rsidR="00B42A5B">
        <w:rPr>
          <w:rFonts w:ascii="GHEA Grapalat" w:hAnsi="GHEA Grapalat"/>
          <w:sz w:val="24"/>
          <w:szCs w:val="24"/>
          <w:lang w:val="hy-AM"/>
        </w:rPr>
        <w:t>ը</w:t>
      </w:r>
      <w:r w:rsidRPr="006467E1">
        <w:rPr>
          <w:rFonts w:ascii="GHEA Grapalat" w:hAnsi="GHEA Grapalat"/>
          <w:sz w:val="24"/>
          <w:szCs w:val="24"/>
          <w:lang w:val="hy-AM"/>
        </w:rPr>
        <w:t xml:space="preserve"> մշակվել </w:t>
      </w:r>
      <w:r w:rsidR="0073376B">
        <w:rPr>
          <w:rFonts w:ascii="GHEA Grapalat" w:hAnsi="GHEA Grapalat"/>
          <w:sz w:val="24"/>
          <w:szCs w:val="24"/>
          <w:lang w:val="hy-AM"/>
        </w:rPr>
        <w:t>է</w:t>
      </w:r>
      <w:r w:rsidRPr="006467E1">
        <w:rPr>
          <w:rFonts w:ascii="GHEA Grapalat" w:hAnsi="GHEA Grapalat"/>
          <w:sz w:val="24"/>
          <w:szCs w:val="24"/>
          <w:lang w:val="hy-AM"/>
        </w:rPr>
        <w:t xml:space="preserve"> ՀՀ պետական եկամուտների կոմիտեի կողմից:</w:t>
      </w:r>
    </w:p>
    <w:p w:rsidR="007556BE" w:rsidRPr="006467E1" w:rsidRDefault="007556BE" w:rsidP="007556BE">
      <w:pPr>
        <w:pStyle w:val="norm"/>
        <w:tabs>
          <w:tab w:val="left" w:pos="1170"/>
        </w:tabs>
        <w:spacing w:line="360" w:lineRule="auto"/>
        <w:ind w:firstLine="720"/>
        <w:rPr>
          <w:rFonts w:ascii="GHEA Grapalat" w:hAnsi="GHEA Grapalat"/>
          <w:b/>
          <w:w w:val="105"/>
          <w:sz w:val="24"/>
          <w:szCs w:val="24"/>
          <w:lang w:val="hy-AM"/>
        </w:rPr>
      </w:pPr>
      <w:r w:rsidRPr="006467E1">
        <w:rPr>
          <w:rFonts w:ascii="GHEA Grapalat" w:hAnsi="GHEA Grapalat"/>
          <w:b/>
          <w:sz w:val="24"/>
          <w:szCs w:val="24"/>
          <w:lang w:val="hy-AM"/>
        </w:rPr>
        <w:t>5.</w:t>
      </w:r>
      <w:r w:rsidRPr="006467E1">
        <w:rPr>
          <w:rFonts w:ascii="GHEA Grapalat" w:hAnsi="GHEA Grapalat"/>
          <w:b/>
          <w:w w:val="105"/>
          <w:sz w:val="24"/>
          <w:szCs w:val="24"/>
          <w:lang w:val="hy-AM"/>
        </w:rPr>
        <w:t xml:space="preserve"> 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:rsidR="007556BE" w:rsidRPr="00085F98" w:rsidRDefault="007556BE" w:rsidP="007556BE">
      <w:pPr>
        <w:tabs>
          <w:tab w:val="left" w:pos="851"/>
        </w:tabs>
        <w:spacing w:after="0" w:line="360" w:lineRule="auto"/>
        <w:jc w:val="both"/>
        <w:rPr>
          <w:rFonts w:ascii="GHEA Grapalat" w:eastAsia="Calibri" w:hAnsi="GHEA Grapalat" w:cs="Sylfaen"/>
          <w:bCs/>
          <w:sz w:val="24"/>
          <w:szCs w:val="24"/>
          <w:lang w:val="hy-AM" w:eastAsia="ru-RU"/>
        </w:rPr>
      </w:pPr>
      <w:r>
        <w:rPr>
          <w:rFonts w:ascii="GHEA Grapalat" w:eastAsia="Calibri" w:hAnsi="GHEA Grapalat" w:cs="Sylfaen"/>
          <w:bCs/>
          <w:sz w:val="24"/>
          <w:szCs w:val="24"/>
          <w:lang w:val="hy-AM" w:eastAsia="ru-RU"/>
        </w:rPr>
        <w:tab/>
      </w:r>
      <w:r w:rsidRPr="00085F98">
        <w:rPr>
          <w:rFonts w:ascii="GHEA Grapalat" w:eastAsia="Calibri" w:hAnsi="GHEA Grapalat" w:cs="Sylfaen"/>
          <w:bCs/>
          <w:sz w:val="24"/>
          <w:szCs w:val="24"/>
          <w:lang w:val="hy-AM" w:eastAsia="ru-RU"/>
        </w:rPr>
        <w:t>Նախագծ</w:t>
      </w:r>
      <w:r w:rsidR="00B42A5B">
        <w:rPr>
          <w:rFonts w:ascii="GHEA Grapalat" w:eastAsia="Calibri" w:hAnsi="GHEA Grapalat" w:cs="Sylfaen"/>
          <w:bCs/>
          <w:sz w:val="24"/>
          <w:szCs w:val="24"/>
          <w:lang w:val="hy-AM" w:eastAsia="ru-RU"/>
        </w:rPr>
        <w:t>ի</w:t>
      </w:r>
      <w:r w:rsidRPr="00085F98">
        <w:rPr>
          <w:rFonts w:ascii="GHEA Grapalat" w:eastAsia="Calibri" w:hAnsi="GHEA Grapalat" w:cs="Sylfaen"/>
          <w:bCs/>
          <w:sz w:val="24"/>
          <w:szCs w:val="24"/>
          <w:lang w:val="hy-AM" w:eastAsia="ru-RU"/>
        </w:rPr>
        <w:t xml:space="preserve"> ընդունումը չի բխում Հայաստանի վերափոխման ռազմավարություն 2050, Կառավարության 2021-2026թթ. ծրագրից, ոլորտային և/կամ այլ ռազմավարություններից:  </w:t>
      </w:r>
    </w:p>
    <w:p w:rsidR="007556BE" w:rsidRDefault="007556BE" w:rsidP="007556BE">
      <w:pPr>
        <w:tabs>
          <w:tab w:val="left" w:pos="567"/>
          <w:tab w:val="left" w:pos="993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467E1">
        <w:rPr>
          <w:rFonts w:ascii="GHEA Grapalat" w:hAnsi="GHEA Grapalat"/>
          <w:b/>
          <w:sz w:val="24"/>
          <w:szCs w:val="24"/>
          <w:lang w:val="hy-AM"/>
        </w:rPr>
        <w:tab/>
        <w:t xml:space="preserve"> 6</w:t>
      </w:r>
      <w:r w:rsidRPr="006467E1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 w:rsidRPr="006467E1">
        <w:rPr>
          <w:rFonts w:ascii="GHEA Grapalat" w:hAnsi="GHEA Grapalat"/>
          <w:b/>
          <w:sz w:val="24"/>
          <w:szCs w:val="24"/>
          <w:lang w:val="hy-AM"/>
        </w:rPr>
        <w:t xml:space="preserve"> Նպատակը և ակնկալվող արդյունքը.</w:t>
      </w:r>
    </w:p>
    <w:p w:rsidR="001A7AD4" w:rsidRDefault="00B42A5B" w:rsidP="005A06BC">
      <w:pPr>
        <w:tabs>
          <w:tab w:val="left" w:pos="720"/>
          <w:tab w:val="left" w:pos="810"/>
          <w:tab w:val="left" w:pos="900"/>
          <w:tab w:val="left" w:pos="990"/>
        </w:tabs>
        <w:spacing w:after="0" w:line="360" w:lineRule="auto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         </w:t>
      </w:r>
      <w:r w:rsidRPr="0073376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«Հայաստանի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Հ</w:t>
      </w:r>
      <w:r w:rsidRPr="0073376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անրապետության կառավարության 20</w:t>
      </w:r>
      <w:r w:rsidRPr="0052252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21</w:t>
      </w:r>
      <w:r w:rsidRPr="0073376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թվականի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հունվարի 14-ի թիվ 35-Ն</w:t>
      </w:r>
      <w:r w:rsidRPr="0073376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որոշման մեջ</w:t>
      </w:r>
      <w:r w:rsidRPr="0052252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3376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փոփոխություն</w:t>
      </w:r>
      <w:r w:rsidRPr="0052252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և</w:t>
      </w:r>
      <w:r w:rsidRPr="0052252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լրացում</w:t>
      </w:r>
      <w:r w:rsidRPr="0073376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կատարելու մասին»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Հ</w:t>
      </w:r>
      <w:r w:rsidRPr="0073376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lastRenderedPageBreak/>
        <w:t>Հա</w:t>
      </w:r>
      <w:r w:rsidRPr="0073376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նրապետության կառավարության </w:t>
      </w:r>
      <w:r w:rsidRPr="0052252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որոշման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նախագծի </w:t>
      </w:r>
      <w:r w:rsidR="005A06BC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նպատակն է նու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յն որոշման դրույթները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 համապատասխանեցնել գործող իրավական </w:t>
      </w:r>
      <w:proofErr w:type="spellStart"/>
      <w:r>
        <w:rPr>
          <w:rFonts w:ascii="GHEA Grapalat" w:eastAsia="Calibri" w:hAnsi="GHEA Grapalat" w:cs="Sylfaen"/>
          <w:sz w:val="24"/>
          <w:szCs w:val="24"/>
          <w:lang w:val="hy-AM"/>
        </w:rPr>
        <w:t>կարգավորումներին</w:t>
      </w:r>
      <w:proofErr w:type="spellEnd"/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, ինչպես նաև նույն որոշման շրջանակներում ոսկյա իրերը և </w:t>
      </w:r>
      <w:r w:rsidRPr="005C6E97">
        <w:rPr>
          <w:rFonts w:ascii="GHEA Grapalat" w:eastAsia="Calibri" w:hAnsi="GHEA Grapalat" w:cs="Sylfaen"/>
          <w:sz w:val="24"/>
          <w:szCs w:val="24"/>
          <w:lang w:val="hy-AM"/>
        </w:rPr>
        <w:t>զարդերը /ԱՏԳ ԱԱ 7113-7115 ծածկագրերին դասվող</w:t>
      </w:r>
      <w:r w:rsidR="008E6890">
        <w:rPr>
          <w:rFonts w:ascii="GHEA Grapalat" w:eastAsia="Calibri" w:hAnsi="GHEA Grapalat" w:cs="Sylfaen"/>
          <w:sz w:val="24"/>
          <w:szCs w:val="24"/>
          <w:lang w:val="hy-AM"/>
        </w:rPr>
        <w:t xml:space="preserve">, </w:t>
      </w:r>
      <w:r w:rsidR="00336C9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որոնք</w:t>
      </w:r>
      <w:r w:rsidR="00336C91" w:rsidRPr="00A86A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գերազանցում </w:t>
      </w:r>
      <w:r w:rsidR="00336C9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են</w:t>
      </w:r>
      <w:r w:rsidR="00336C91" w:rsidRPr="00A86A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936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875</w:t>
      </w:r>
      <w:r w:rsidR="00336C9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հարգը</w:t>
      </w:r>
      <w:r w:rsidRPr="005C6E97">
        <w:rPr>
          <w:rFonts w:ascii="GHEA Grapalat" w:eastAsia="Calibri" w:hAnsi="GHEA Grapalat" w:cs="Sylfaen"/>
          <w:sz w:val="24"/>
          <w:szCs w:val="24"/>
          <w:lang w:val="hy-AM"/>
        </w:rPr>
        <w:t xml:space="preserve">/ ներառել ռազմավարական տեսակետից </w:t>
      </w:r>
      <w:proofErr w:type="spellStart"/>
      <w:r w:rsidRPr="005C6E97">
        <w:rPr>
          <w:rFonts w:ascii="GHEA Grapalat" w:eastAsia="Calibri" w:hAnsi="GHEA Grapalat" w:cs="Sylfaen"/>
          <w:sz w:val="24"/>
          <w:szCs w:val="24"/>
          <w:lang w:val="hy-AM"/>
        </w:rPr>
        <w:t>կարևոր</w:t>
      </w:r>
      <w:proofErr w:type="spellEnd"/>
      <w:r w:rsidRPr="005C6E97">
        <w:rPr>
          <w:rFonts w:ascii="GHEA Grapalat" w:eastAsia="Calibri" w:hAnsi="GHEA Grapalat" w:cs="Sylfaen"/>
          <w:sz w:val="24"/>
          <w:szCs w:val="24"/>
          <w:lang w:val="hy-AM"/>
        </w:rPr>
        <w:t xml:space="preserve"> հումքային ապրանքների ցանկում։</w:t>
      </w:r>
    </w:p>
    <w:p w:rsidR="007556BE" w:rsidRDefault="005A06BC" w:rsidP="003123A0">
      <w:pPr>
        <w:tabs>
          <w:tab w:val="left" w:pos="720"/>
          <w:tab w:val="left" w:pos="810"/>
          <w:tab w:val="left" w:pos="900"/>
          <w:tab w:val="left" w:pos="993"/>
        </w:tabs>
        <w:spacing w:after="0" w:line="360" w:lineRule="auto"/>
        <w:jc w:val="both"/>
        <w:rPr>
          <w:rFonts w:ascii="GHEA Grapalat" w:eastAsiaTheme="minorEastAsia" w:hAnsi="GHEA Grapalat"/>
          <w:b/>
          <w:sz w:val="24"/>
          <w:szCs w:val="24"/>
          <w:lang w:val="hy-AM"/>
        </w:rPr>
      </w:pPr>
      <w:r>
        <w:rPr>
          <w:rFonts w:ascii="GHEA Grapalat" w:eastAsia="Calibri" w:hAnsi="GHEA Grapalat" w:cs="Sylfaen"/>
          <w:sz w:val="24"/>
          <w:szCs w:val="24"/>
          <w:lang w:val="hy-AM"/>
        </w:rPr>
        <w:tab/>
      </w:r>
      <w:r w:rsidR="007556BE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="007556BE" w:rsidRPr="006467E1">
        <w:rPr>
          <w:rFonts w:ascii="GHEA Grapalat" w:hAnsi="GHEA Grapalat" w:cs="Arial Armenian"/>
          <w:b/>
          <w:spacing w:val="-8"/>
          <w:sz w:val="24"/>
          <w:szCs w:val="24"/>
          <w:lang w:val="hy-AM"/>
        </w:rPr>
        <w:t>7</w:t>
      </w:r>
      <w:r w:rsidR="007556BE" w:rsidRPr="007D62CF">
        <w:rPr>
          <w:rFonts w:ascii="GHEA Grapalat" w:eastAsiaTheme="minorEastAsia" w:hAnsi="GHEA Grapalat"/>
          <w:b/>
          <w:sz w:val="24"/>
          <w:szCs w:val="24"/>
          <w:lang w:val="hy-AM"/>
        </w:rPr>
        <w:t>. Այլ տեղեկություններ</w:t>
      </w:r>
    </w:p>
    <w:p w:rsidR="007556BE" w:rsidRPr="00DF4395" w:rsidRDefault="001F3D37" w:rsidP="001F3D37">
      <w:pPr>
        <w:spacing w:after="0" w:line="360" w:lineRule="auto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 xml:space="preserve">        </w:t>
      </w:r>
      <w:r w:rsidR="007556BE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Ն</w:t>
      </w:r>
      <w:r w:rsidR="007556BE" w:rsidRPr="00037D60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ախագծ</w:t>
      </w:r>
      <w:bookmarkStart w:id="0" w:name="_GoBack"/>
      <w:bookmarkEnd w:id="0"/>
      <w:r w:rsidR="0098507E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ի</w:t>
      </w:r>
      <w:r w:rsidR="007556BE" w:rsidRPr="006467E1">
        <w:rPr>
          <w:rFonts w:ascii="GHEA Grapalat" w:hAnsi="GHEA Grapalat"/>
          <w:bCs/>
          <w:sz w:val="24"/>
          <w:szCs w:val="24"/>
          <w:lang w:val="hy-AM"/>
        </w:rPr>
        <w:t xml:space="preserve"> 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:rsidR="007556BE" w:rsidRPr="00E52514" w:rsidRDefault="007556BE" w:rsidP="007556BE">
      <w:pPr>
        <w:pStyle w:val="norm"/>
        <w:spacing w:line="360" w:lineRule="auto"/>
        <w:ind w:firstLine="720"/>
        <w:rPr>
          <w:rFonts w:ascii="GHEA Grapalat" w:hAnsi="GHEA Grapalat" w:cs="Sylfaen"/>
          <w:b/>
          <w:sz w:val="24"/>
          <w:szCs w:val="24"/>
          <w:lang w:val="hy-AM"/>
        </w:rPr>
      </w:pPr>
    </w:p>
    <w:p w:rsidR="007556BE" w:rsidRDefault="007556BE" w:rsidP="007556BE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7556BE" w:rsidRPr="006467E1" w:rsidRDefault="007556BE" w:rsidP="007556BE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</w:p>
    <w:p w:rsidR="007556BE" w:rsidRPr="0073376B" w:rsidRDefault="007556BE" w:rsidP="007556BE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B434A1" w:rsidRPr="0073376B" w:rsidRDefault="00B434A1">
      <w:pPr>
        <w:rPr>
          <w:lang w:val="hy-AM"/>
        </w:rPr>
      </w:pPr>
    </w:p>
    <w:sectPr w:rsidR="00B434A1" w:rsidRPr="0073376B" w:rsidSect="006911BA">
      <w:pgSz w:w="12240" w:h="15840"/>
      <w:pgMar w:top="1440" w:right="99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696"/>
    <w:rsid w:val="00024802"/>
    <w:rsid w:val="00122260"/>
    <w:rsid w:val="001A7AD4"/>
    <w:rsid w:val="001F3D37"/>
    <w:rsid w:val="00204363"/>
    <w:rsid w:val="00214D38"/>
    <w:rsid w:val="00262696"/>
    <w:rsid w:val="002F14B7"/>
    <w:rsid w:val="003123A0"/>
    <w:rsid w:val="00336C91"/>
    <w:rsid w:val="00391F98"/>
    <w:rsid w:val="00395664"/>
    <w:rsid w:val="004571FC"/>
    <w:rsid w:val="004C0129"/>
    <w:rsid w:val="005127B3"/>
    <w:rsid w:val="00536CF2"/>
    <w:rsid w:val="005667BE"/>
    <w:rsid w:val="00586BEA"/>
    <w:rsid w:val="005A06BC"/>
    <w:rsid w:val="005D141E"/>
    <w:rsid w:val="005E2FC1"/>
    <w:rsid w:val="00686D1F"/>
    <w:rsid w:val="0073376B"/>
    <w:rsid w:val="007556BE"/>
    <w:rsid w:val="00833F2F"/>
    <w:rsid w:val="008442C7"/>
    <w:rsid w:val="00877131"/>
    <w:rsid w:val="008B6881"/>
    <w:rsid w:val="008E6890"/>
    <w:rsid w:val="009755DF"/>
    <w:rsid w:val="0098507E"/>
    <w:rsid w:val="00A22F9F"/>
    <w:rsid w:val="00A82F9E"/>
    <w:rsid w:val="00B42A5B"/>
    <w:rsid w:val="00B434A1"/>
    <w:rsid w:val="00C4538A"/>
    <w:rsid w:val="00C936F6"/>
    <w:rsid w:val="00CC3309"/>
    <w:rsid w:val="00E34154"/>
    <w:rsid w:val="00F2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7543A8-B975-4410-BBDC-15ADC73E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6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556BE"/>
    <w:rPr>
      <w:b/>
      <w:bCs/>
    </w:rPr>
  </w:style>
  <w:style w:type="paragraph" w:customStyle="1" w:styleId="norm">
    <w:name w:val="norm"/>
    <w:basedOn w:val="Normal"/>
    <w:link w:val="normChar"/>
    <w:rsid w:val="007556B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7556BE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rlis.am/DocumentView.aspx?docid=165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8909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Ghukasyan</dc:creator>
  <cp:keywords/>
  <dc:description/>
  <cp:lastModifiedBy>Zhenya Halevoryan</cp:lastModifiedBy>
  <cp:revision>76</cp:revision>
  <dcterms:created xsi:type="dcterms:W3CDTF">2023-04-20T13:28:00Z</dcterms:created>
  <dcterms:modified xsi:type="dcterms:W3CDTF">2023-10-16T11:39:00Z</dcterms:modified>
</cp:coreProperties>
</file>