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D5EA9" w14:textId="0B3459C4" w:rsidR="00257BB6" w:rsidRDefault="00257BB6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lang w:val="hy-AM"/>
        </w:rPr>
      </w:pPr>
      <w:bookmarkStart w:id="0" w:name="_GoBack"/>
      <w:bookmarkEnd w:id="0"/>
      <w:r>
        <w:rPr>
          <w:rFonts w:cs="Sylfaen"/>
          <w:b/>
          <w:bCs/>
          <w:lang w:val="hy-AM"/>
        </w:rPr>
        <w:t>ՀԻՄՆԱՎՈՐՈՒՄ</w:t>
      </w:r>
    </w:p>
    <w:p w14:paraId="74A32D8E" w14:textId="1E7882D8" w:rsidR="007E379F" w:rsidRPr="00257BB6" w:rsidRDefault="007E379F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lang w:val="hy-AM"/>
        </w:rPr>
      </w:pPr>
      <w:r w:rsidRPr="00257BB6">
        <w:rPr>
          <w:rFonts w:cs="Sylfaen"/>
          <w:b/>
          <w:bCs/>
          <w:lang w:val="hy-AM"/>
        </w:rPr>
        <w:t>«</w:t>
      </w:r>
      <w:r w:rsidR="00D635DD" w:rsidRPr="00D635DD">
        <w:rPr>
          <w:rFonts w:cs="Sylfaen"/>
          <w:b/>
          <w:bCs/>
          <w:lang w:val="hy-AM"/>
        </w:rPr>
        <w:t>ՀԱՇՎԵՏՈՒ ԺԱՄԱՆԱԿԱՇՐՋԱՆԻ ԱՐԴՅՈՒՆՔՆԵՐՈՎ ՀԱՐԿԱՅԻՆ ՄԱՐՄԻՆ ՆԵՐԿԱՅԱՑՎԱԾ ԱՎԵԼԱՑՎԱԾ ԱՐԺԵՔԻ ՀԱՐԿԻ ԵՎ ԱԿՑԻԶԱՅԻՆ ՀԱՐԿԻ ՄԻԱՍՆԱԿԱՆ ՀԱՇՎԱՐԿՈՎ ԱՌԱՋԱՑԱԾ՝ ԱՎԵԼԱՑՎԱԾ ԱՐԺԵՔԻ ՀԱՐԿԻ ԿԱՄ ԱԿՑԻԶԱՅԻՆ ՀԱՐԿԻ ՓՈԽՀԱՏՈՒՑՎՈՂ ԳՈՒՄԱՐՆԵՐԸ ՌԻՍԿԱՅԻՆ ՀԱՄԱՐԵԼՈՒ ՉԱՓԱՆԻՇՆԵՐԸ</w:t>
      </w:r>
      <w:r w:rsidR="00D635DD">
        <w:rPr>
          <w:rFonts w:cs="Sylfaen"/>
          <w:b/>
          <w:bCs/>
          <w:lang w:val="hy-AM"/>
        </w:rPr>
        <w:t xml:space="preserve"> ՍԱՀՄԱՆԵԼՈՒ ՄԱՍԻՆ</w:t>
      </w:r>
      <w:r w:rsidR="001F3AA1">
        <w:rPr>
          <w:rFonts w:cs="Sylfaen"/>
          <w:b/>
          <w:bCs/>
          <w:lang w:val="hy-AM"/>
        </w:rPr>
        <w:t>» ՀԱՅԱՍՏԱՆԻ ՀԱՆՐԱՊԵՏՈԻ</w:t>
      </w:r>
      <w:r w:rsidRPr="00257BB6">
        <w:rPr>
          <w:rFonts w:cs="Sylfaen"/>
          <w:b/>
          <w:bCs/>
          <w:lang w:val="hy-AM"/>
        </w:rPr>
        <w:t xml:space="preserve">ԹՅԱՆ ԿԱՌԱՎԱՐՈՒԹՅԱՆ ՈՐՈՇՄԱՆ ՆԱԽԱԳԾԻ </w:t>
      </w:r>
      <w:r w:rsidR="00257BB6" w:rsidRPr="00C13190">
        <w:rPr>
          <w:rFonts w:cs="Sylfaen"/>
          <w:b/>
          <w:bCs/>
          <w:lang w:val="hy-AM"/>
        </w:rPr>
        <w:t>ԸՆԴՈՒՆՄԱՆ</w:t>
      </w:r>
      <w:r w:rsidR="00257BB6" w:rsidRPr="00257BB6">
        <w:rPr>
          <w:rFonts w:cs="Sylfaen"/>
          <w:b/>
          <w:bCs/>
          <w:lang w:val="hy-AM"/>
        </w:rPr>
        <w:t xml:space="preserve"> </w:t>
      </w:r>
      <w:r w:rsidR="00257BB6" w:rsidRPr="00C13190">
        <w:rPr>
          <w:rFonts w:cs="Sylfaen"/>
          <w:b/>
          <w:bCs/>
          <w:lang w:val="hy-AM"/>
        </w:rPr>
        <w:t>ԱՆՀՐԱԺԵՇՏՈՒԹՅԱՆ</w:t>
      </w:r>
      <w:r w:rsidR="00257BB6" w:rsidRPr="00257BB6">
        <w:rPr>
          <w:rFonts w:cs="Sylfaen"/>
          <w:b/>
          <w:bCs/>
          <w:lang w:val="hy-AM"/>
        </w:rPr>
        <w:t xml:space="preserve"> </w:t>
      </w:r>
      <w:r w:rsidR="00257BB6" w:rsidRPr="00C13190">
        <w:rPr>
          <w:rFonts w:cs="Sylfaen"/>
          <w:b/>
          <w:bCs/>
          <w:lang w:val="hy-AM"/>
        </w:rPr>
        <w:t>ՎԵՐԱԲԵՐՅԱԼ</w:t>
      </w:r>
    </w:p>
    <w:p w14:paraId="3DC41162" w14:textId="77777777" w:rsidR="007E379F" w:rsidRDefault="007E379F" w:rsidP="00D11A31">
      <w:pPr>
        <w:shd w:val="clear" w:color="auto" w:fill="FFFFFF"/>
        <w:spacing w:after="0" w:line="240" w:lineRule="auto"/>
        <w:jc w:val="center"/>
        <w:rPr>
          <w:szCs w:val="24"/>
          <w:lang w:val="hy-AM"/>
        </w:rPr>
      </w:pPr>
    </w:p>
    <w:p w14:paraId="20F981F7" w14:textId="2D8A397A" w:rsidR="003378B1" w:rsidRDefault="00064A0A" w:rsidP="003378B1">
      <w:pPr>
        <w:spacing w:after="0" w:line="360" w:lineRule="auto"/>
        <w:ind w:firstLine="426"/>
        <w:jc w:val="both"/>
        <w:rPr>
          <w:rFonts w:cs="Arian AMU"/>
          <w:shd w:val="clear" w:color="auto" w:fill="FFFFFF"/>
          <w:lang w:val="hy-AM"/>
        </w:rPr>
      </w:pPr>
      <w:r w:rsidRPr="00A52169">
        <w:rPr>
          <w:b/>
          <w:bCs/>
          <w:lang w:val="hy-AM"/>
        </w:rPr>
        <w:t>1</w:t>
      </w:r>
      <w:r w:rsidRPr="00A52169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52169">
        <w:rPr>
          <w:b/>
          <w:bCs/>
          <w:lang w:val="hy-AM"/>
        </w:rPr>
        <w:t xml:space="preserve"> </w:t>
      </w:r>
      <w:r w:rsidRPr="00A52169">
        <w:rPr>
          <w:rFonts w:cs="Sylfaen"/>
          <w:b/>
          <w:lang w:val="fr-FR"/>
        </w:rPr>
        <w:t>Իրավական ակտի անհրաժեշտությունը (նպատակը).</w:t>
      </w:r>
      <w:r w:rsidRPr="00A52169">
        <w:rPr>
          <w:shd w:val="clear" w:color="auto" w:fill="FFFFFF"/>
          <w:lang w:val="hy-AM"/>
        </w:rPr>
        <w:t xml:space="preserve"> Որոշման ն</w:t>
      </w:r>
      <w:r w:rsidRPr="00A52169">
        <w:rPr>
          <w:rFonts w:cs="Arian AMU"/>
          <w:shd w:val="clear" w:color="auto" w:fill="FFFFFF"/>
          <w:lang w:val="hy-AM"/>
        </w:rPr>
        <w:t>ախագծի նպատակը Հայաստանի Հանրապետության հարկային օրենսգրք</w:t>
      </w:r>
      <w:r w:rsidR="00B86484">
        <w:rPr>
          <w:rFonts w:cs="Arian AMU"/>
          <w:shd w:val="clear" w:color="auto" w:fill="FFFFFF"/>
          <w:lang w:val="hy-AM"/>
        </w:rPr>
        <w:t xml:space="preserve">ի </w:t>
      </w:r>
      <w:r w:rsidR="005554A1" w:rsidRPr="00AD7AF5">
        <w:rPr>
          <w:szCs w:val="24"/>
          <w:lang w:val="hy-AM"/>
        </w:rPr>
        <w:t>74-րդ հոդվածի 4-րդ և 5-րդ, 95-րդ հոդվածի 4-րդ և 5-րդ, 348-րդ հոդվածի 1-ին մասեր</w:t>
      </w:r>
      <w:r w:rsidR="00B61686">
        <w:rPr>
          <w:rFonts w:cs="Arian AMU"/>
          <w:shd w:val="clear" w:color="auto" w:fill="FFFFFF"/>
          <w:lang w:val="hy-AM"/>
        </w:rPr>
        <w:t xml:space="preserve">ի </w:t>
      </w:r>
      <w:r w:rsidR="00033F54">
        <w:rPr>
          <w:rFonts w:cs="Arian AMU"/>
          <w:shd w:val="clear" w:color="auto" w:fill="FFFFFF"/>
          <w:lang w:val="hy-AM"/>
        </w:rPr>
        <w:t>դրույթներին համապատասխան</w:t>
      </w:r>
      <w:r w:rsidR="00B61686">
        <w:rPr>
          <w:rFonts w:cs="Arian AMU"/>
          <w:shd w:val="clear" w:color="auto" w:fill="FFFFFF"/>
          <w:lang w:val="hy-AM"/>
        </w:rPr>
        <w:t xml:space="preserve">, որոնք գործելու են 2024թ. հուլիսի 1-ից, </w:t>
      </w:r>
      <w:r w:rsidR="005554A1">
        <w:rPr>
          <w:rFonts w:cs="Arian AMU"/>
          <w:shd w:val="clear" w:color="auto" w:fill="FFFFFF"/>
          <w:lang w:val="hy-AM"/>
        </w:rPr>
        <w:t>ավելացված արժեքի հարկի և ակցիզային հարկի փոխհատուցվող գումարները ռ</w:t>
      </w:r>
      <w:r w:rsidR="00A84FF9">
        <w:rPr>
          <w:rFonts w:cs="Arian AMU"/>
          <w:shd w:val="clear" w:color="auto" w:fill="FFFFFF"/>
          <w:lang w:val="hy-AM"/>
        </w:rPr>
        <w:t>իսկային</w:t>
      </w:r>
      <w:r w:rsidR="005554A1">
        <w:rPr>
          <w:rFonts w:cs="Arian AMU"/>
          <w:shd w:val="clear" w:color="auto" w:fill="FFFFFF"/>
          <w:lang w:val="hy-AM"/>
        </w:rPr>
        <w:t xml:space="preserve"> համարելու համար</w:t>
      </w:r>
      <w:r w:rsidR="00A84FF9">
        <w:rPr>
          <w:rFonts w:cs="Arian AMU"/>
          <w:shd w:val="clear" w:color="auto" w:fill="FFFFFF"/>
          <w:lang w:val="hy-AM"/>
        </w:rPr>
        <w:t xml:space="preserve"> չափանիշների սահմանումն է</w:t>
      </w:r>
      <w:r w:rsidR="00B61686">
        <w:rPr>
          <w:lang w:val="hy-AM"/>
        </w:rPr>
        <w:t>:</w:t>
      </w:r>
    </w:p>
    <w:p w14:paraId="41BE75E0" w14:textId="77777777" w:rsidR="00C47718" w:rsidRDefault="00064A0A" w:rsidP="00C47718">
      <w:pPr>
        <w:spacing w:after="0" w:line="360" w:lineRule="auto"/>
        <w:ind w:firstLine="426"/>
        <w:jc w:val="both"/>
        <w:rPr>
          <w:rFonts w:cs="Sylfaen"/>
          <w:b/>
          <w:lang w:val="fr-FR"/>
        </w:rPr>
      </w:pPr>
      <w:r w:rsidRPr="00A52169">
        <w:rPr>
          <w:b/>
          <w:bCs/>
          <w:lang w:val="hy-AM"/>
        </w:rPr>
        <w:t xml:space="preserve">2. </w:t>
      </w:r>
      <w:r w:rsidRPr="00A52169">
        <w:rPr>
          <w:rFonts w:cs="Sylfaen"/>
          <w:b/>
          <w:lang w:val="fr-FR"/>
        </w:rPr>
        <w:t xml:space="preserve">Կարգավորման հարաբերությունների ներկա վիճակը </w:t>
      </w:r>
      <w:r w:rsidRPr="00A52169">
        <w:rPr>
          <w:rFonts w:cs="Sylfaen"/>
          <w:b/>
          <w:lang w:val="hy-AM"/>
        </w:rPr>
        <w:t>և</w:t>
      </w:r>
      <w:r w:rsidRPr="00A52169">
        <w:rPr>
          <w:rFonts w:cs="Sylfaen"/>
          <w:b/>
          <w:lang w:val="fr-FR"/>
        </w:rPr>
        <w:t xml:space="preserve"> առկա խնդիրները.</w:t>
      </w:r>
    </w:p>
    <w:p w14:paraId="7A1EDA99" w14:textId="7CCFBB92" w:rsidR="004D7D62" w:rsidRPr="00C47718" w:rsidRDefault="004D7D62" w:rsidP="00C47718">
      <w:pPr>
        <w:spacing w:after="0" w:line="360" w:lineRule="auto"/>
        <w:ind w:firstLine="426"/>
        <w:jc w:val="both"/>
        <w:rPr>
          <w:lang w:val="hy-AM"/>
        </w:rPr>
      </w:pPr>
      <w:r>
        <w:rPr>
          <w:lang w:val="hy-AM"/>
        </w:rPr>
        <w:t xml:space="preserve">Հարկային պարտավորությունների հաշվառման նոր համակարգի ներդրման հետ կապված 01.03.2023թ. ՀՕ-101-Ն օրենքով փոփոխություններ են կատարվել </w:t>
      </w:r>
      <w:r w:rsidR="005554A1" w:rsidRPr="00F802D2">
        <w:rPr>
          <w:szCs w:val="24"/>
          <w:lang w:val="hy-AM"/>
        </w:rPr>
        <w:t>օրենսգրքի 74-րդ հոդվածի 4-րդ և 5-րդ, 95-րդ հոդվածի 4-րդ և 5-րդ, 348-րդ հոդվածի 1-ին մասեր</w:t>
      </w:r>
      <w:r w:rsidR="005554A1" w:rsidRPr="00F802D2">
        <w:rPr>
          <w:lang w:val="hy-AM"/>
        </w:rPr>
        <w:t>ում</w:t>
      </w:r>
      <w:r>
        <w:rPr>
          <w:lang w:val="hy-AM"/>
        </w:rPr>
        <w:t>, որոնք ուժի մեջ են մտնելու 2024թ. հուլիսի 1-ից</w:t>
      </w:r>
      <w:r w:rsidR="005554A1">
        <w:rPr>
          <w:lang w:val="hy-AM"/>
        </w:rPr>
        <w:t xml:space="preserve">, նախատեսելով ԱԱՀ-ի և ակցիզային հարկի փոխհատուցվող գումարների հաշվին պարտավորությունների մարման կամ այդ գումարների միասնական հաշվին մուտքագրման նոր կարգավորումներ: </w:t>
      </w:r>
      <w:r>
        <w:rPr>
          <w:lang w:val="hy-AM"/>
        </w:rPr>
        <w:t xml:space="preserve">Այդ </w:t>
      </w:r>
      <w:r w:rsidR="005554A1">
        <w:rPr>
          <w:lang w:val="hy-AM"/>
        </w:rPr>
        <w:t>կարգավորումների կիրառումը պայմանավորված է հաշվ</w:t>
      </w:r>
      <w:r w:rsidR="00EA30CD">
        <w:rPr>
          <w:lang w:val="fr-FR"/>
        </w:rPr>
        <w:t>ե</w:t>
      </w:r>
      <w:r w:rsidR="005554A1">
        <w:rPr>
          <w:lang w:val="hy-AM"/>
        </w:rPr>
        <w:t xml:space="preserve">տու ժամանակաշրջանի արդյունքներով ներկայացված ԱԱՀ-ի և ակցիզային հարկի միասնական հաշվարկներով առաջացած ԱԱՀ-ի կամ ակցիզային հարկի փոխհատուցվող գումարները </w:t>
      </w:r>
      <w:r w:rsidR="001F3AA1" w:rsidRPr="001F3AA1">
        <w:rPr>
          <w:lang w:val="hy-AM"/>
        </w:rPr>
        <w:t xml:space="preserve">Կառավարության սահմանած </w:t>
      </w:r>
      <w:r w:rsidR="005554A1">
        <w:rPr>
          <w:lang w:val="hy-AM"/>
        </w:rPr>
        <w:t>չափանիշներին համապատասխան ռիսկային կամ ոչ ռիսկային համարելու հանգամանքից:</w:t>
      </w:r>
      <w:r w:rsidR="00003EB5">
        <w:rPr>
          <w:lang w:val="hy-AM"/>
        </w:rPr>
        <w:t xml:space="preserve"> Ընդ որում, ոչ ռիսկային համարվող ԱԱՀ-ի և ակցիզային հարկի փոխհատուցվող գումարները մուտքագրվել</w:t>
      </w:r>
      <w:r w:rsidR="00EA30CD">
        <w:rPr>
          <w:lang w:val="hy-AM"/>
        </w:rPr>
        <w:t>ու</w:t>
      </w:r>
      <w:r w:rsidR="00003EB5">
        <w:rPr>
          <w:lang w:val="hy-AM"/>
        </w:rPr>
        <w:t xml:space="preserve"> են միասնական հաշվին մինչև տվյալ հաշվետու ժամանակաշրջանի վերջնաժամկետի օրվան նախօրդող օրը` </w:t>
      </w:r>
      <w:r w:rsidR="00003EB5" w:rsidRPr="00003EB5">
        <w:rPr>
          <w:lang w:val="hy-AM"/>
        </w:rPr>
        <w:t xml:space="preserve"> </w:t>
      </w:r>
      <w:r w:rsidR="00003EB5">
        <w:rPr>
          <w:lang w:val="hy-AM"/>
        </w:rPr>
        <w:t xml:space="preserve">հարկ վճարողի կողմից համապատասխան ծրագրային ֆունկցիա կիրառելու դեպքում, իսկ այդ հնարավորությունից չօգտվելու դեպքում ինքնաշխատ </w:t>
      </w:r>
      <w:r w:rsidR="00003EB5" w:rsidRPr="00003EB5">
        <w:rPr>
          <w:lang w:val="hy-AM"/>
        </w:rPr>
        <w:t>(</w:t>
      </w:r>
      <w:r w:rsidR="00003EB5">
        <w:rPr>
          <w:lang w:val="hy-AM"/>
        </w:rPr>
        <w:t>ավտոմատ</w:t>
      </w:r>
      <w:r w:rsidR="00003EB5" w:rsidRPr="00003EB5">
        <w:rPr>
          <w:lang w:val="hy-AM"/>
        </w:rPr>
        <w:t>)</w:t>
      </w:r>
      <w:r w:rsidR="00003EB5">
        <w:rPr>
          <w:lang w:val="hy-AM"/>
        </w:rPr>
        <w:t>` հաշվետու ժամանակաշրջանի վերջնաժամկետում</w:t>
      </w:r>
      <w:r>
        <w:rPr>
          <w:lang w:val="hy-AM"/>
        </w:rPr>
        <w:t>:</w:t>
      </w:r>
    </w:p>
    <w:p w14:paraId="570514CC" w14:textId="0EAF6DE3" w:rsidR="003378B1" w:rsidRPr="00C47718" w:rsidRDefault="004D7D62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 w:val="0"/>
          <w:iCs w:val="0"/>
          <w:szCs w:val="16"/>
          <w:lang w:val="hy-AM"/>
        </w:rPr>
      </w:pPr>
      <w:r w:rsidRPr="00C47718">
        <w:rPr>
          <w:rFonts w:ascii="GHEA Grapalat" w:hAnsi="GHEA Grapalat"/>
          <w:bCs w:val="0"/>
          <w:iCs w:val="0"/>
          <w:szCs w:val="16"/>
          <w:lang w:val="hy-AM"/>
        </w:rPr>
        <w:lastRenderedPageBreak/>
        <w:t>Օրենսգրքի 2024թ. հուլիսի 1-ից ուժի մեջ մտնող</w:t>
      </w:r>
      <w:r w:rsidR="00C47718">
        <w:rPr>
          <w:rFonts w:ascii="GHEA Grapalat" w:hAnsi="GHEA Grapalat"/>
          <w:bCs w:val="0"/>
          <w:iCs w:val="0"/>
          <w:szCs w:val="16"/>
          <w:lang w:val="hy-AM"/>
        </w:rPr>
        <w:t xml:space="preserve"> վերոնշյալ</w:t>
      </w:r>
      <w:r w:rsidRPr="00C47718">
        <w:rPr>
          <w:rFonts w:ascii="GHEA Grapalat" w:hAnsi="GHEA Grapalat"/>
          <w:bCs w:val="0"/>
          <w:iCs w:val="0"/>
          <w:szCs w:val="16"/>
          <w:lang w:val="hy-AM"/>
        </w:rPr>
        <w:t xml:space="preserve"> դրույթների </w:t>
      </w:r>
      <w:r w:rsidR="001B0538" w:rsidRPr="00C47718">
        <w:rPr>
          <w:rFonts w:ascii="GHEA Grapalat" w:hAnsi="GHEA Grapalat"/>
          <w:bCs w:val="0"/>
          <w:iCs w:val="0"/>
          <w:szCs w:val="16"/>
          <w:lang w:val="hy-AM"/>
        </w:rPr>
        <w:t>կիրարկումն</w:t>
      </w:r>
      <w:r w:rsidR="00E17461" w:rsidRPr="00C47718">
        <w:rPr>
          <w:rFonts w:ascii="GHEA Grapalat" w:hAnsi="GHEA Grapalat"/>
          <w:bCs w:val="0"/>
          <w:iCs w:val="0"/>
          <w:szCs w:val="16"/>
          <w:lang w:val="hy-AM"/>
        </w:rPr>
        <w:t xml:space="preserve"> </w:t>
      </w:r>
      <w:r w:rsidRPr="00C47718">
        <w:rPr>
          <w:rFonts w:ascii="GHEA Grapalat" w:hAnsi="GHEA Grapalat"/>
          <w:bCs w:val="0"/>
          <w:iCs w:val="0"/>
          <w:szCs w:val="16"/>
          <w:lang w:val="hy-AM"/>
        </w:rPr>
        <w:t xml:space="preserve"> ապահով</w:t>
      </w:r>
      <w:r w:rsidR="00E17461" w:rsidRPr="00C47718">
        <w:rPr>
          <w:rFonts w:ascii="GHEA Grapalat" w:hAnsi="GHEA Grapalat"/>
          <w:bCs w:val="0"/>
          <w:iCs w:val="0"/>
          <w:szCs w:val="16"/>
          <w:lang w:val="hy-AM"/>
        </w:rPr>
        <w:t xml:space="preserve">ելու </w:t>
      </w:r>
      <w:r w:rsidRPr="00C47718">
        <w:rPr>
          <w:rFonts w:ascii="GHEA Grapalat" w:hAnsi="GHEA Grapalat"/>
          <w:bCs w:val="0"/>
          <w:iCs w:val="0"/>
          <w:szCs w:val="16"/>
          <w:lang w:val="hy-AM"/>
        </w:rPr>
        <w:t xml:space="preserve">համար </w:t>
      </w:r>
      <w:r w:rsidR="005554A1" w:rsidRPr="00C47718">
        <w:rPr>
          <w:rFonts w:ascii="GHEA Grapalat" w:hAnsi="GHEA Grapalat"/>
          <w:bCs w:val="0"/>
          <w:iCs w:val="0"/>
          <w:szCs w:val="16"/>
          <w:lang w:val="hy-AM"/>
        </w:rPr>
        <w:t>մշակվել է «</w:t>
      </w:r>
      <w:r w:rsidR="00D635DD">
        <w:rPr>
          <w:rFonts w:ascii="GHEA Grapalat" w:hAnsi="GHEA Grapalat"/>
          <w:bCs w:val="0"/>
          <w:iCs w:val="0"/>
          <w:szCs w:val="16"/>
          <w:lang w:val="hy-AM"/>
        </w:rPr>
        <w:t>Հ</w:t>
      </w:r>
      <w:r w:rsidR="00C47718" w:rsidRPr="00C47718">
        <w:rPr>
          <w:rFonts w:ascii="GHEA Grapalat" w:hAnsi="GHEA Grapalat"/>
          <w:bCs w:val="0"/>
          <w:iCs w:val="0"/>
          <w:szCs w:val="16"/>
          <w:lang w:val="hy-AM"/>
        </w:rPr>
        <w:t>աշվետու ժամանակաշրջանի արդյունքներով հարկային մարմին ներկայացված ավելացված արժեքի հարկի և ակցիզային հարկի միասնական հաշվարկով առաջացած՝ ավելացված արժեքի հարկի կամ ակցիզային հարկի փոխհատուցվող գումարները ռիսկային համարելու չափանիշները</w:t>
      </w:r>
      <w:r w:rsidR="00D635DD">
        <w:rPr>
          <w:rFonts w:ascii="GHEA Grapalat" w:hAnsi="GHEA Grapalat"/>
          <w:bCs w:val="0"/>
          <w:iCs w:val="0"/>
          <w:szCs w:val="16"/>
          <w:lang w:val="hy-AM"/>
        </w:rPr>
        <w:t xml:space="preserve"> սահմանելու մասին</w:t>
      </w:r>
      <w:r w:rsidR="005554A1" w:rsidRPr="00C47718">
        <w:rPr>
          <w:rFonts w:ascii="GHEA Grapalat" w:hAnsi="GHEA Grapalat"/>
          <w:bCs w:val="0"/>
          <w:iCs w:val="0"/>
          <w:szCs w:val="16"/>
          <w:lang w:val="hy-AM"/>
        </w:rPr>
        <w:t>»</w:t>
      </w:r>
      <w:r w:rsidR="00C47718">
        <w:rPr>
          <w:rFonts w:ascii="GHEA Grapalat" w:hAnsi="GHEA Grapalat"/>
          <w:bCs w:val="0"/>
          <w:iCs w:val="0"/>
          <w:szCs w:val="16"/>
          <w:lang w:val="hy-AM"/>
        </w:rPr>
        <w:t xml:space="preserve"> ՀՀ կառավարության </w:t>
      </w:r>
      <w:r w:rsidR="005554A1" w:rsidRPr="00C47718">
        <w:rPr>
          <w:rFonts w:ascii="GHEA Grapalat" w:hAnsi="GHEA Grapalat"/>
          <w:bCs w:val="0"/>
          <w:iCs w:val="0"/>
          <w:szCs w:val="16"/>
          <w:lang w:val="hy-AM"/>
        </w:rPr>
        <w:t>որոշման նախագիծը</w:t>
      </w:r>
      <w:r w:rsidR="00E17461" w:rsidRPr="00C47718">
        <w:rPr>
          <w:rFonts w:ascii="GHEA Grapalat" w:hAnsi="GHEA Grapalat"/>
          <w:bCs w:val="0"/>
          <w:iCs w:val="0"/>
          <w:szCs w:val="16"/>
          <w:lang w:val="hy-AM"/>
        </w:rPr>
        <w:t>:</w:t>
      </w:r>
    </w:p>
    <w:p w14:paraId="3B83153E" w14:textId="77777777" w:rsidR="00C47718" w:rsidRDefault="00064A0A" w:rsidP="00C477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b/>
          <w:lang w:val="hy-AM"/>
        </w:rPr>
        <w:t>3</w:t>
      </w:r>
      <w:r w:rsidRPr="00A52169">
        <w:rPr>
          <w:rFonts w:ascii="MS Mincho" w:eastAsia="MS Mincho" w:hAnsi="MS Mincho" w:cs="MS Mincho" w:hint="eastAsia"/>
          <w:b/>
          <w:lang w:val="hy-AM"/>
        </w:rPr>
        <w:t>․</w:t>
      </w:r>
      <w:r w:rsidRPr="00A52169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A52169">
        <w:rPr>
          <w:rFonts w:ascii="GHEA Grapalat" w:hAnsi="GHEA Grapalat"/>
          <w:b/>
          <w:lang w:val="fr-FR"/>
        </w:rPr>
        <w:t xml:space="preserve">. </w:t>
      </w:r>
      <w:r w:rsidRPr="00A52169">
        <w:rPr>
          <w:rFonts w:ascii="GHEA Grapalat" w:hAnsi="GHEA Grapalat"/>
          <w:lang w:val="hy-AM"/>
        </w:rPr>
        <w:t>Նախագծով առաջարկվում է.</w:t>
      </w:r>
    </w:p>
    <w:p w14:paraId="48ECA17E" w14:textId="485BC228" w:rsidR="00C47718" w:rsidRDefault="00064A0A" w:rsidP="00C477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lang w:val="hy-AM"/>
        </w:rPr>
        <w:t>1)</w:t>
      </w:r>
      <w:r w:rsidR="00003EB5">
        <w:rPr>
          <w:rFonts w:ascii="GHEA Grapalat" w:hAnsi="GHEA Grapalat"/>
          <w:lang w:val="hy-AM"/>
        </w:rPr>
        <w:t xml:space="preserve"> </w:t>
      </w:r>
      <w:r w:rsidR="001B0538">
        <w:rPr>
          <w:rFonts w:ascii="GHEA Grapalat" w:hAnsi="GHEA Grapalat"/>
          <w:lang w:val="hy-AM"/>
        </w:rPr>
        <w:t>սահմանել այդ</w:t>
      </w:r>
      <w:r w:rsidR="005554A1">
        <w:rPr>
          <w:rFonts w:ascii="GHEA Grapalat" w:hAnsi="GHEA Grapalat"/>
          <w:lang w:val="hy-AM"/>
        </w:rPr>
        <w:t xml:space="preserve"> չափանիշները, որոնց համապատասխան հաշվետու ժամանակաշրջանի արդյունքներով ներկայացված ԱԱՀ-ի և ակցիզային հարկի միասնական հաշվարկներով</w:t>
      </w:r>
      <w:r w:rsidR="00003EB5">
        <w:rPr>
          <w:rFonts w:ascii="GHEA Grapalat" w:hAnsi="GHEA Grapalat"/>
          <w:lang w:val="hy-AM"/>
        </w:rPr>
        <w:t xml:space="preserve"> </w:t>
      </w:r>
      <w:r w:rsidR="005554A1">
        <w:rPr>
          <w:rFonts w:ascii="GHEA Grapalat" w:hAnsi="GHEA Grapalat"/>
          <w:lang w:val="hy-AM"/>
        </w:rPr>
        <w:t xml:space="preserve">առաջացած ԱԱՀ-ի կամ ակցիզային հարկի փոխհատուցվող գումարները </w:t>
      </w:r>
      <w:r w:rsidR="00003EB5">
        <w:rPr>
          <w:rFonts w:ascii="GHEA Grapalat" w:hAnsi="GHEA Grapalat"/>
          <w:lang w:val="hy-AM"/>
        </w:rPr>
        <w:t xml:space="preserve">համարվելու են </w:t>
      </w:r>
      <w:r w:rsidR="005554A1">
        <w:rPr>
          <w:rFonts w:ascii="GHEA Grapalat" w:hAnsi="GHEA Grapalat"/>
          <w:lang w:val="hy-AM"/>
        </w:rPr>
        <w:t>ռիսկային,</w:t>
      </w:r>
    </w:p>
    <w:p w14:paraId="626456E3" w14:textId="31A7F1B1" w:rsidR="005554A1" w:rsidRDefault="005554A1" w:rsidP="00C477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5554A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ԱԱՀ-ի և ակցիզային հարկի միասնական հաշվարկներով առաջացած ԱԱՀ-ի կամ ակցիզային հարկի փոխհատուցվող գումարները ռիսկային համարելու համար չափանիշները սահմանվել են հիմք ընդունելով միասնական հաշվարկում արտացոլված տվյալների և հարկային մարմնի տեղեկատվական բազայում առկա տվյա</w:t>
      </w:r>
      <w:r w:rsidR="00103056">
        <w:rPr>
          <w:rFonts w:ascii="GHEA Grapalat" w:hAnsi="GHEA Grapalat"/>
          <w:lang w:val="hy-AM"/>
        </w:rPr>
        <w:t xml:space="preserve">լների անհամապատասխանությունները: Մասնավորապես, դրանք վերաբերում են միասնական հաշվարկում արտացոլված </w:t>
      </w:r>
      <w:r w:rsidR="00003EB5">
        <w:rPr>
          <w:rFonts w:ascii="GHEA Grapalat" w:hAnsi="GHEA Grapalat"/>
          <w:lang w:val="hy-AM"/>
        </w:rPr>
        <w:t>ԱԱՀ-ով հարկվող գործարքների մասով լրացված հարկման բազաներին և դրանց համապատասխան հաշվարկված ԱԱՀ-ի գումարների և օրենսգրքով սահմանված կարգով դուրս գրված հաշվարկային փաստաթղթերում արտացոլված տվյալներին, ԱԱՀ-ի մասով հարկ վճարողի տվյալ հաշվետու ժամանակաշրջանում բացառապես ԱԱՀ վճարող համարվելու հանգամանքին,</w:t>
      </w:r>
      <w:r w:rsidR="00003EB5" w:rsidRPr="00003EB5">
        <w:rPr>
          <w:rFonts w:ascii="GHEA Grapalat" w:hAnsi="GHEA Grapalat"/>
          <w:lang w:val="hy-AM"/>
        </w:rPr>
        <w:t xml:space="preserve"> </w:t>
      </w:r>
      <w:r w:rsidR="00003EB5">
        <w:rPr>
          <w:rFonts w:ascii="GHEA Grapalat" w:hAnsi="GHEA Grapalat"/>
          <w:lang w:val="hy-AM"/>
        </w:rPr>
        <w:t>ակցիզային հարկով հարկման օբյեկտ համարվող գործարքների մասով միասնական հաշվարկում արտացոլված տվյալներին</w:t>
      </w:r>
      <w:r w:rsidR="00C47718">
        <w:rPr>
          <w:rFonts w:ascii="GHEA Grapalat" w:hAnsi="GHEA Grapalat"/>
          <w:lang w:val="hy-AM"/>
        </w:rPr>
        <w:t xml:space="preserve"> </w:t>
      </w:r>
      <w:r w:rsidR="00003EB5">
        <w:rPr>
          <w:rFonts w:ascii="GHEA Grapalat" w:hAnsi="GHEA Grapalat"/>
          <w:lang w:val="hy-AM"/>
        </w:rPr>
        <w:t>և այլն,</w:t>
      </w:r>
    </w:p>
    <w:p w14:paraId="0F904C46" w14:textId="51F91D0E" w:rsidR="001B0538" w:rsidRDefault="005554A1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5554A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C47718">
        <w:rPr>
          <w:rFonts w:ascii="GHEA Grapalat" w:hAnsi="GHEA Grapalat"/>
          <w:lang w:val="hy-AM"/>
        </w:rPr>
        <w:t>սահմանվել</w:t>
      </w:r>
      <w:r w:rsidR="00003EB5">
        <w:rPr>
          <w:rFonts w:ascii="GHEA Grapalat" w:hAnsi="GHEA Grapalat"/>
          <w:lang w:val="hy-AM"/>
        </w:rPr>
        <w:t>, որ մինչև 2024թ. հունիս ամիսը ներառող հաշվետու ժամանակաշրջանների համար ներկայացվ</w:t>
      </w:r>
      <w:r w:rsidR="00C47718">
        <w:rPr>
          <w:rFonts w:ascii="GHEA Grapalat" w:hAnsi="GHEA Grapalat"/>
          <w:lang w:val="hy-AM"/>
        </w:rPr>
        <w:t>ած</w:t>
      </w:r>
      <w:r w:rsidR="00003EB5">
        <w:rPr>
          <w:rFonts w:ascii="GHEA Grapalat" w:hAnsi="GHEA Grapalat"/>
          <w:lang w:val="hy-AM"/>
        </w:rPr>
        <w:t xml:space="preserve"> միասնական հաշվարկներով, այդ թվում` ճշտված, առաջացող ԱԱՀ-ի կամ ակցիզային հարկի փոխհատուցվող գումարները համարվելու են ռիսկային</w:t>
      </w:r>
      <w:r w:rsidR="001B0538">
        <w:rPr>
          <w:rFonts w:ascii="GHEA Grapalat" w:hAnsi="GHEA Grapalat"/>
          <w:lang w:val="hy-AM"/>
        </w:rPr>
        <w:t>,</w:t>
      </w:r>
    </w:p>
    <w:p w14:paraId="1955F345" w14:textId="5F2A994A" w:rsidR="003378B1" w:rsidRDefault="00003EB5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331DE7" w:rsidRPr="00331DE7">
        <w:rPr>
          <w:rFonts w:ascii="GHEA Grapalat" w:hAnsi="GHEA Grapalat"/>
          <w:lang w:val="hy-AM"/>
        </w:rPr>
        <w:t>)</w:t>
      </w:r>
      <w:r w:rsidR="00331DE7">
        <w:rPr>
          <w:rFonts w:ascii="GHEA Grapalat" w:hAnsi="GHEA Grapalat"/>
          <w:lang w:val="hy-AM"/>
        </w:rPr>
        <w:t xml:space="preserve"> որոշումն ուժի մեջ է մտնելու 2024թ. հուլիսի 1-ից</w:t>
      </w:r>
      <w:r w:rsidR="00064A0A" w:rsidRPr="00A52169">
        <w:rPr>
          <w:rFonts w:ascii="GHEA Grapalat" w:hAnsi="GHEA Grapalat"/>
          <w:lang w:val="hy-AM"/>
        </w:rPr>
        <w:t>:</w:t>
      </w:r>
    </w:p>
    <w:p w14:paraId="6DF4A646" w14:textId="03344496" w:rsidR="003378B1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52169">
        <w:rPr>
          <w:rFonts w:ascii="GHEA Grapalat" w:hAnsi="GHEA Grapalat" w:cs="Sylfaen"/>
          <w:b/>
          <w:lang w:val="hy-AM"/>
        </w:rPr>
        <w:t>4.</w:t>
      </w:r>
      <w:r w:rsidRPr="00A52169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A52169">
        <w:rPr>
          <w:rFonts w:ascii="GHEA Grapalat" w:hAnsi="GHEA Grapalat"/>
          <w:lang w:val="fr-FR"/>
        </w:rPr>
        <w:t xml:space="preserve"> Նախագծի կարգավորման </w:t>
      </w:r>
      <w:r w:rsidR="00EA30CD">
        <w:rPr>
          <w:rFonts w:ascii="GHEA Grapalat" w:hAnsi="GHEA Grapalat"/>
          <w:lang w:val="hy-AM"/>
        </w:rPr>
        <w:t xml:space="preserve">առարկան </w:t>
      </w:r>
      <w:r w:rsidR="00C47718" w:rsidRPr="003B2660">
        <w:rPr>
          <w:rFonts w:ascii="GHEA Grapalat" w:hAnsi="GHEA Grapalat"/>
          <w:lang w:val="fr-FR"/>
        </w:rPr>
        <w:t xml:space="preserve">հաշվետու ժամանակաշրջանի արդյունքներով հարկային մարմին ներկայացված ավելացված </w:t>
      </w:r>
      <w:r w:rsidR="00C47718" w:rsidRPr="003B2660">
        <w:rPr>
          <w:rFonts w:ascii="GHEA Grapalat" w:hAnsi="GHEA Grapalat"/>
          <w:lang w:val="fr-FR"/>
        </w:rPr>
        <w:lastRenderedPageBreak/>
        <w:t>արժեքի հարկի և ակցիզային հարկի միասնական հաշվարկով առաջացած՝ ավելացված արժեքի հարկի կամ ակցիզային հարկի փոխհատուցվող գումարները ռիսկային համարելու չափանիշների</w:t>
      </w:r>
      <w:r w:rsidRPr="003B2660">
        <w:rPr>
          <w:rFonts w:ascii="GHEA Grapalat" w:hAnsi="GHEA Grapalat"/>
          <w:lang w:val="fr-FR"/>
        </w:rPr>
        <w:t xml:space="preserve"> սահմանումն է:</w:t>
      </w:r>
    </w:p>
    <w:p w14:paraId="254C2F43" w14:textId="5D9BBC6C" w:rsidR="00064A0A" w:rsidRPr="003378B1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b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3153EA1" w14:textId="77777777" w:rsidR="00A474DB" w:rsidRDefault="00722A20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 w:rsidRPr="00C13190">
        <w:rPr>
          <w:rFonts w:cs="Arian AMU"/>
          <w:shd w:val="clear" w:color="auto" w:fill="FFFFFF"/>
          <w:lang w:val="hy-AM"/>
        </w:rPr>
        <w:t>Նախագիծը մշակվել է հաշվի առնելով ՀՀ կառավարության 12.12.2019թ. N1830-Լ որոշմամբ հաստատված` Հայաստանի Հանրապետության պետական եկամուտների կոմիտեի զարգացման և վարչարարության բարելավման ռազմավարական ծրագրի զարգացման ռազմավարական 3-րդ նպատակի` «Ենթակառուցվածքների արդիականացում, կառուցում», 3.1.1 կետով նախատեսված միջոցառումը: Այդ միջոցառմամբ նախատեսվում է ներդնել հարկ վճարողների անձնական հաշվի քարտերում առկա պարտավորությունների և դեբետային գումարների մարման հաջորդականության նոր մեթոդաբանություն` սահմանելով անձնական հաշվի քարտերում պարտավորությունների և դեբետային գումարների մարման առաջնահերթությունները: Նշված միջոցառման կատարմանն ուղղված գործո</w:t>
      </w:r>
      <w:r>
        <w:rPr>
          <w:rFonts w:cs="Arian AMU"/>
          <w:shd w:val="clear" w:color="auto" w:fill="FFFFFF"/>
          <w:lang w:val="hy-AM"/>
        </w:rPr>
        <w:t xml:space="preserve">ղությունների մասով նախատեսված է </w:t>
      </w:r>
      <w:r w:rsidRPr="00C13190">
        <w:rPr>
          <w:rFonts w:cs="Arian AMU"/>
          <w:shd w:val="clear" w:color="auto" w:fill="FFFFFF"/>
          <w:lang w:val="hy-AM"/>
        </w:rPr>
        <w:t xml:space="preserve">օրենսդրության փոփոխությունների մշակում և սահմանում (3.1.1 միջոցառման «գ» ենթակետ): </w:t>
      </w:r>
    </w:p>
    <w:p w14:paraId="00861145" w14:textId="11C4AF3B" w:rsidR="003378B1" w:rsidRDefault="00722A20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>
        <w:rPr>
          <w:rFonts w:cs="Arian AMU"/>
          <w:shd w:val="clear" w:color="auto" w:fill="FFFFFF"/>
          <w:lang w:val="hy-AM"/>
        </w:rPr>
        <w:t>Նախագիծը մշակվ</w:t>
      </w:r>
      <w:r w:rsidR="00AB520E">
        <w:rPr>
          <w:rFonts w:cs="Arian AMU"/>
          <w:shd w:val="clear" w:color="auto" w:fill="FFFFFF"/>
          <w:lang w:val="hy-AM"/>
        </w:rPr>
        <w:t>ել է հաշվի առնելով նաև նշված միջ</w:t>
      </w:r>
      <w:r w:rsidR="00A474DB">
        <w:rPr>
          <w:rFonts w:cs="Arian AMU"/>
          <w:shd w:val="clear" w:color="auto" w:fill="FFFFFF"/>
          <w:lang w:val="hy-AM"/>
        </w:rPr>
        <w:t xml:space="preserve">ոցառման </w:t>
      </w:r>
      <w:r>
        <w:rPr>
          <w:rFonts w:cs="Arian AMU"/>
          <w:shd w:val="clear" w:color="auto" w:fill="FFFFFF"/>
          <w:lang w:val="hy-AM"/>
        </w:rPr>
        <w:t xml:space="preserve">շրջանակում ՀՀ ԱԺ կողմից ընդունված </w:t>
      </w:r>
      <w:r w:rsidR="00DB76D3" w:rsidRPr="00DB76D3">
        <w:rPr>
          <w:rFonts w:cs="Arian AMU"/>
          <w:shd w:val="clear" w:color="auto" w:fill="FFFFFF"/>
          <w:lang w:val="hy-AM"/>
        </w:rPr>
        <w:t>«Հայաստանի Հանրապետության հարկային օրենսգրքում փոփոխություննե</w:t>
      </w:r>
      <w:r w:rsidR="00DB76D3">
        <w:rPr>
          <w:rFonts w:cs="Arian AMU"/>
          <w:shd w:val="clear" w:color="auto" w:fill="FFFFFF"/>
          <w:lang w:val="hy-AM"/>
        </w:rPr>
        <w:t>ր և լրացումներ կատարելու մասին»</w:t>
      </w:r>
      <w:r w:rsidR="00DB76D3" w:rsidRPr="00DB76D3">
        <w:rPr>
          <w:rFonts w:cs="Arian AMU"/>
          <w:shd w:val="clear" w:color="auto" w:fill="FFFFFF"/>
          <w:lang w:val="hy-AM"/>
        </w:rPr>
        <w:t xml:space="preserve"> </w:t>
      </w:r>
      <w:r w:rsidR="00DB76D3">
        <w:rPr>
          <w:rFonts w:cs="Arian AMU"/>
          <w:shd w:val="clear" w:color="auto" w:fill="FFFFFF"/>
          <w:lang w:val="hy-AM"/>
        </w:rPr>
        <w:t>01.03.</w:t>
      </w:r>
      <w:r w:rsidR="00DB76D3" w:rsidRPr="00DB76D3">
        <w:rPr>
          <w:rFonts w:cs="Arian AMU"/>
          <w:shd w:val="clear" w:color="auto" w:fill="FFFFFF"/>
          <w:lang w:val="hy-AM"/>
        </w:rPr>
        <w:t>2023թ</w:t>
      </w:r>
      <w:r w:rsidR="00DB76D3">
        <w:rPr>
          <w:rFonts w:cs="Arian AMU"/>
          <w:shd w:val="clear" w:color="auto" w:fill="FFFFFF"/>
          <w:lang w:val="hy-AM"/>
        </w:rPr>
        <w:t xml:space="preserve">. </w:t>
      </w:r>
      <w:r w:rsidR="00DB76D3" w:rsidRPr="00DB76D3">
        <w:rPr>
          <w:rFonts w:cs="Arian AMU"/>
          <w:shd w:val="clear" w:color="auto" w:fill="FFFFFF"/>
          <w:lang w:val="hy-AM"/>
        </w:rPr>
        <w:t xml:space="preserve">ՀՕ-101-Ն և «Կուտակային կենսաթոշակների մասին» օրենքում փոփոխություններ կատարելու մասին» </w:t>
      </w:r>
      <w:r w:rsidR="00DB76D3">
        <w:rPr>
          <w:rFonts w:cs="Arian AMU"/>
          <w:shd w:val="clear" w:color="auto" w:fill="FFFFFF"/>
          <w:lang w:val="hy-AM"/>
        </w:rPr>
        <w:t>01.03.</w:t>
      </w:r>
      <w:r w:rsidR="00DB76D3" w:rsidRPr="00DB76D3">
        <w:rPr>
          <w:rFonts w:cs="Arian AMU"/>
          <w:shd w:val="clear" w:color="auto" w:fill="FFFFFF"/>
          <w:lang w:val="hy-AM"/>
        </w:rPr>
        <w:t>202</w:t>
      </w:r>
      <w:r w:rsidR="00DB76D3">
        <w:rPr>
          <w:rFonts w:cs="Arian AMU"/>
          <w:shd w:val="clear" w:color="auto" w:fill="FFFFFF"/>
          <w:lang w:val="hy-AM"/>
        </w:rPr>
        <w:t>3</w:t>
      </w:r>
      <w:r w:rsidR="00DB76D3" w:rsidRPr="00DB76D3">
        <w:rPr>
          <w:rFonts w:cs="Arian AMU"/>
          <w:shd w:val="clear" w:color="auto" w:fill="FFFFFF"/>
          <w:lang w:val="hy-AM"/>
        </w:rPr>
        <w:t>թ</w:t>
      </w:r>
      <w:r w:rsidR="00DB76D3">
        <w:rPr>
          <w:rFonts w:cs="Arian AMU"/>
          <w:shd w:val="clear" w:color="auto" w:fill="FFFFFF"/>
          <w:lang w:val="hy-AM"/>
        </w:rPr>
        <w:t xml:space="preserve">. </w:t>
      </w:r>
      <w:r w:rsidR="00DB76D3" w:rsidRPr="00DB76D3">
        <w:rPr>
          <w:rFonts w:cs="Arian AMU"/>
          <w:shd w:val="clear" w:color="auto" w:fill="FFFFFF"/>
          <w:lang w:val="hy-AM"/>
        </w:rPr>
        <w:t xml:space="preserve">ՀՕ-102-Ն օրենքների </w:t>
      </w:r>
      <w:r w:rsidR="00AB520E">
        <w:rPr>
          <w:rFonts w:cs="Arian AMU"/>
          <w:shd w:val="clear" w:color="auto" w:fill="FFFFFF"/>
          <w:lang w:val="hy-AM"/>
        </w:rPr>
        <w:t xml:space="preserve">դրույթների </w:t>
      </w:r>
      <w:r w:rsidR="00DB76D3">
        <w:rPr>
          <w:rFonts w:cs="Arian AMU"/>
          <w:shd w:val="clear" w:color="auto" w:fill="FFFFFF"/>
          <w:lang w:val="hy-AM"/>
        </w:rPr>
        <w:t xml:space="preserve">կիրարկման </w:t>
      </w:r>
      <w:r w:rsidR="00A474DB">
        <w:rPr>
          <w:rFonts w:cs="Arian AMU"/>
          <w:shd w:val="clear" w:color="auto" w:fill="FFFFFF"/>
          <w:lang w:val="hy-AM"/>
        </w:rPr>
        <w:t>ապահով</w:t>
      </w:r>
      <w:r w:rsidR="00DB76D3">
        <w:rPr>
          <w:rFonts w:cs="Arian AMU"/>
          <w:shd w:val="clear" w:color="auto" w:fill="FFFFFF"/>
          <w:lang w:val="hy-AM"/>
        </w:rPr>
        <w:t xml:space="preserve">ման համար </w:t>
      </w:r>
      <w:r w:rsidR="00A474DB">
        <w:rPr>
          <w:rFonts w:cs="Arian AMU"/>
          <w:shd w:val="clear" w:color="auto" w:fill="FFFFFF"/>
          <w:lang w:val="hy-AM"/>
        </w:rPr>
        <w:t xml:space="preserve">ՀՀ վարչապետի </w:t>
      </w:r>
      <w:r w:rsidR="00DB76D3" w:rsidRPr="00DB76D3">
        <w:rPr>
          <w:rFonts w:cs="Arian AMU"/>
          <w:shd w:val="clear" w:color="auto" w:fill="FFFFFF"/>
          <w:lang w:val="hy-AM"/>
        </w:rPr>
        <w:t xml:space="preserve">11.05.2023թ. N504-Ա որոշման հավելվածի </w:t>
      </w:r>
      <w:r w:rsidR="00003EB5">
        <w:rPr>
          <w:rFonts w:cs="Arian AMU"/>
          <w:shd w:val="clear" w:color="auto" w:fill="FFFFFF"/>
          <w:lang w:val="hy-AM"/>
        </w:rPr>
        <w:t>1-ին</w:t>
      </w:r>
      <w:r w:rsidR="00DB76D3" w:rsidRPr="00DB76D3">
        <w:rPr>
          <w:rFonts w:cs="Arian AMU"/>
          <w:shd w:val="clear" w:color="auto" w:fill="FFFFFF"/>
          <w:lang w:val="hy-AM"/>
        </w:rPr>
        <w:t xml:space="preserve"> կետով սահմանված միջոցառումը: </w:t>
      </w:r>
    </w:p>
    <w:p w14:paraId="6C59A413" w14:textId="32512C9B" w:rsidR="00064A0A" w:rsidRPr="003378B1" w:rsidRDefault="00064A0A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 w:rsidRPr="00A52169">
        <w:rPr>
          <w:b/>
          <w:lang w:val="hy-AM"/>
        </w:rPr>
        <w:t>6.</w:t>
      </w:r>
      <w:r w:rsidRPr="00A52169">
        <w:rPr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1276F7A" w14:textId="77777777" w:rsidR="003378B1" w:rsidRDefault="00064A0A" w:rsidP="003378B1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  <w:r w:rsidRPr="00A52169">
        <w:rPr>
          <w:lang w:val="hy-AM"/>
        </w:rPr>
        <w:lastRenderedPageBreak/>
        <w:t>Նախագծերի ընդունման կապակցությամբ լրացուցիչ ֆինանսական միջոցների անհրաժեշտություն, պետական բյուջեի եկամուտնե</w:t>
      </w:r>
      <w:r>
        <w:rPr>
          <w:lang w:val="hy-AM"/>
        </w:rPr>
        <w:t>րում և ծախսերում էական փոփոխութ</w:t>
      </w:r>
      <w:r w:rsidRPr="00A52169">
        <w:rPr>
          <w:lang w:val="hy-AM"/>
        </w:rPr>
        <w:t>յուններ չի նախատեսվում։</w:t>
      </w:r>
    </w:p>
    <w:p w14:paraId="6713EFD4" w14:textId="30EC67F9" w:rsidR="00064A0A" w:rsidRPr="003378B1" w:rsidRDefault="00064A0A" w:rsidP="003378B1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  <w:r w:rsidRPr="00A52169">
        <w:rPr>
          <w:rFonts w:eastAsia="MS Mincho" w:cs="MS Mincho"/>
          <w:b/>
          <w:bCs/>
          <w:lang w:val="hy-AM"/>
        </w:rPr>
        <w:t>7.</w:t>
      </w:r>
      <w:r w:rsidRPr="00A52169">
        <w:rPr>
          <w:bCs/>
          <w:lang w:val="hy-AM"/>
        </w:rPr>
        <w:t xml:space="preserve"> </w:t>
      </w:r>
      <w:r w:rsidRPr="00A52169">
        <w:rPr>
          <w:rFonts w:cs="GHEA Grapalat"/>
          <w:b/>
          <w:lang w:val="hy-AM"/>
        </w:rPr>
        <w:t>Նախագծի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մշակման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գործընթացում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ներգրավված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ինստիտուտները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և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անձինք</w:t>
      </w:r>
      <w:r w:rsidRPr="00A52169">
        <w:rPr>
          <w:rFonts w:cs="GHEA Grapalat"/>
          <w:b/>
          <w:lang w:val="fr-FR"/>
        </w:rPr>
        <w:t xml:space="preserve">. </w:t>
      </w:r>
    </w:p>
    <w:p w14:paraId="382A024F" w14:textId="77777777" w:rsidR="003378B1" w:rsidRDefault="00064A0A" w:rsidP="003378B1">
      <w:pPr>
        <w:spacing w:after="0" w:line="360" w:lineRule="auto"/>
        <w:ind w:firstLine="426"/>
        <w:jc w:val="both"/>
        <w:rPr>
          <w:b/>
          <w:bCs/>
          <w:lang w:val="fr-FR"/>
        </w:rPr>
      </w:pPr>
      <w:r w:rsidRPr="00A52169">
        <w:rPr>
          <w:rFonts w:cs="GHEA Grapalat"/>
          <w:lang w:val="hy-AM"/>
        </w:rPr>
        <w:t>Նախագիծը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մշակվել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է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Հայաստանի Հանրապետության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պետական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եկամուտների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կոմիտեի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կողմից</w:t>
      </w:r>
      <w:r w:rsidRPr="00A52169">
        <w:rPr>
          <w:rFonts w:cs="GHEA Grapalat"/>
          <w:lang w:val="fr-FR"/>
        </w:rPr>
        <w:t>:</w:t>
      </w:r>
    </w:p>
    <w:p w14:paraId="3EDC1B62" w14:textId="0737EFFC" w:rsidR="00631591" w:rsidRPr="003378B1" w:rsidRDefault="00064A0A" w:rsidP="003378B1">
      <w:pPr>
        <w:spacing w:after="0" w:line="360" w:lineRule="auto"/>
        <w:ind w:firstLine="426"/>
        <w:jc w:val="both"/>
        <w:rPr>
          <w:b/>
          <w:bCs/>
          <w:lang w:val="fr-FR"/>
        </w:rPr>
      </w:pPr>
      <w:r w:rsidRPr="00A52169">
        <w:rPr>
          <w:rFonts w:cs="Sylfaen"/>
          <w:b/>
          <w:lang w:val="hy-AM"/>
        </w:rPr>
        <w:t>8</w:t>
      </w:r>
      <w:r w:rsidRPr="00A52169">
        <w:rPr>
          <w:rFonts w:ascii="MS Mincho" w:eastAsia="MS Mincho" w:hAnsi="MS Mincho" w:cs="MS Mincho" w:hint="eastAsia"/>
          <w:b/>
          <w:lang w:val="hy-AM"/>
        </w:rPr>
        <w:t>․</w:t>
      </w:r>
      <w:r w:rsidRPr="00A52169">
        <w:rPr>
          <w:rFonts w:cs="Sylfaen"/>
          <w:lang w:val="hy-AM"/>
        </w:rPr>
        <w:t xml:space="preserve"> </w:t>
      </w:r>
      <w:r w:rsidRPr="00A52169">
        <w:rPr>
          <w:rFonts w:cs="Sylfaen"/>
          <w:b/>
          <w:lang w:val="fr-FR"/>
        </w:rPr>
        <w:t>Իրավական ակտի ընդունման արդյունքում ակնկալվող արդյունքը</w:t>
      </w:r>
      <w:r w:rsidRPr="00A52169">
        <w:rPr>
          <w:b/>
          <w:lang w:val="fr-FR"/>
        </w:rPr>
        <w:t>.</w:t>
      </w:r>
      <w:r w:rsidRPr="00A52169">
        <w:rPr>
          <w:lang w:val="fr-FR"/>
        </w:rPr>
        <w:t xml:space="preserve">  </w:t>
      </w:r>
      <w:r w:rsidR="00C47718">
        <w:rPr>
          <w:lang w:val="hy-AM"/>
        </w:rPr>
        <w:t>Հ</w:t>
      </w:r>
      <w:r w:rsidR="00C47718">
        <w:rPr>
          <w:szCs w:val="24"/>
          <w:lang w:val="hy-AM"/>
        </w:rPr>
        <w:t xml:space="preserve">աշվետու ժամանակաշրջանի արդյունքներով հարկային մարմին ներկայացված </w:t>
      </w:r>
      <w:r w:rsidR="00C47718" w:rsidRPr="00AD7AF5">
        <w:rPr>
          <w:szCs w:val="24"/>
          <w:lang w:val="hy-AM"/>
        </w:rPr>
        <w:t>ավելացված արժեքի հարկի և ակցիզային հարկի միասնական հաշվարկով առաջացած՝ ավելացված արժեքի հարկի կամ ակցիզային հարկի փոխհատուցվող գումարները ռիսկային համարելու չափանիշներ</w:t>
      </w:r>
      <w:r w:rsidR="00C47718">
        <w:rPr>
          <w:szCs w:val="24"/>
          <w:lang w:val="hy-AM"/>
        </w:rPr>
        <w:t>ի սահման</w:t>
      </w:r>
      <w:r w:rsidR="003B2660">
        <w:rPr>
          <w:szCs w:val="24"/>
          <w:lang w:val="hy-AM"/>
        </w:rPr>
        <w:t>մամբ ստեղծվում են համապատասխան հիմքեր ոչ ռիսկային համարվող ԱԱՀ-ի և ակցիզային հարկի փոխհատուցվող գումարների  հաշվի</w:t>
      </w:r>
      <w:r w:rsidR="00EA30CD">
        <w:rPr>
          <w:szCs w:val="24"/>
          <w:lang w:val="hy-AM"/>
        </w:rPr>
        <w:t>ն</w:t>
      </w:r>
      <w:r w:rsidR="003B2660">
        <w:rPr>
          <w:szCs w:val="24"/>
          <w:lang w:val="hy-AM"/>
        </w:rPr>
        <w:t xml:space="preserve"> պարտավորությունների մարման կամ միասնական հաշվին այդ գումարների մուտքագրման գործընթացի ապահովման համար</w:t>
      </w:r>
      <w:r w:rsidR="00C47718">
        <w:rPr>
          <w:szCs w:val="24"/>
          <w:lang w:val="hy-AM"/>
        </w:rPr>
        <w:t>:</w:t>
      </w:r>
    </w:p>
    <w:sectPr w:rsidR="00631591" w:rsidRPr="003378B1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3EB5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3F54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056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538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3AA1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33A5"/>
    <w:rsid w:val="00254DB8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1DE7"/>
    <w:rsid w:val="00332344"/>
    <w:rsid w:val="00332CB0"/>
    <w:rsid w:val="003330A1"/>
    <w:rsid w:val="00334B53"/>
    <w:rsid w:val="003378B1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284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660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D7D62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FB5"/>
    <w:rsid w:val="00552C81"/>
    <w:rsid w:val="005531A1"/>
    <w:rsid w:val="005537F7"/>
    <w:rsid w:val="00553B15"/>
    <w:rsid w:val="005554A1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B573A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0A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0BA8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17E6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23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4FF9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B8A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6859"/>
    <w:rsid w:val="00B57A65"/>
    <w:rsid w:val="00B57A97"/>
    <w:rsid w:val="00B57B63"/>
    <w:rsid w:val="00B57C0C"/>
    <w:rsid w:val="00B6047E"/>
    <w:rsid w:val="00B61686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6484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C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718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3011"/>
    <w:rsid w:val="00CC4368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5A44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1A31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5DD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0F6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1AD"/>
    <w:rsid w:val="00E15658"/>
    <w:rsid w:val="00E16DB2"/>
    <w:rsid w:val="00E17461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19AD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0CD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2D2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395F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E845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0BFA-BF08-4CEB-8EDA-59F0CD8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https:/mul2-taxservice.gov.am/tasks/2273321/oneclick/2_1_1257_2022_1_TT_17_05_2023.docx?token=79eb5443e1766a619268e6138c5dc245</cp:keywords>
  <cp:lastModifiedBy>Marine Abgaryan</cp:lastModifiedBy>
  <cp:revision>2</cp:revision>
  <cp:lastPrinted>2023-07-20T11:44:00Z</cp:lastPrinted>
  <dcterms:created xsi:type="dcterms:W3CDTF">2023-11-07T13:33:00Z</dcterms:created>
  <dcterms:modified xsi:type="dcterms:W3CDTF">2023-11-07T13:33:00Z</dcterms:modified>
</cp:coreProperties>
</file>