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DF8C4" w14:textId="77777777" w:rsidR="0026553C" w:rsidRPr="00750252" w:rsidRDefault="0026553C" w:rsidP="00750252">
      <w:pPr>
        <w:spacing w:line="276" w:lineRule="auto"/>
        <w:ind w:right="23"/>
        <w:jc w:val="center"/>
        <w:rPr>
          <w:rFonts w:ascii="GHEA Grapalat" w:hAnsi="GHEA Grapalat" w:cs="Times Armenian"/>
          <w:b/>
          <w:sz w:val="22"/>
          <w:szCs w:val="22"/>
          <w:lang w:val="en-US"/>
        </w:rPr>
      </w:pPr>
      <w:bookmarkStart w:id="0" w:name="OLE_LINK1"/>
    </w:p>
    <w:p w14:paraId="677D6FD6" w14:textId="77777777" w:rsidR="0026553C" w:rsidRPr="00982502" w:rsidRDefault="0026553C" w:rsidP="00982502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982502">
        <w:rPr>
          <w:rFonts w:ascii="GHEA Grapalat" w:hAnsi="GHEA Grapalat"/>
          <w:b/>
          <w:sz w:val="22"/>
          <w:lang w:val="hy-AM"/>
        </w:rPr>
        <w:t>ՀԻՄՆԱՎՈՐՈՒՄ</w:t>
      </w:r>
    </w:p>
    <w:p w14:paraId="52384F84" w14:textId="0CD0BC89" w:rsidR="0026553C" w:rsidRPr="00666C29" w:rsidRDefault="0026553C" w:rsidP="00666C29">
      <w:pPr>
        <w:shd w:val="clear" w:color="auto" w:fill="FFFFFF"/>
        <w:spacing w:line="276" w:lineRule="auto"/>
        <w:jc w:val="center"/>
        <w:rPr>
          <w:rFonts w:ascii="GHEA Grapalat" w:hAnsi="GHEA Grapalat"/>
          <w:b/>
          <w:caps/>
          <w:sz w:val="22"/>
          <w:szCs w:val="22"/>
          <w:lang w:val="hy-AM" w:eastAsia="en-US"/>
        </w:rPr>
      </w:pPr>
      <w:r w:rsidRPr="00982502">
        <w:rPr>
          <w:rFonts w:ascii="GHEA Grapalat" w:hAnsi="GHEA Grapalat"/>
          <w:b/>
          <w:caps/>
          <w:sz w:val="22"/>
          <w:lang w:val="hy-AM"/>
        </w:rPr>
        <w:t xml:space="preserve"> ««Ներդրումային ֆոնդերի մասին» </w:t>
      </w:r>
      <w:r w:rsidR="00D30FE1">
        <w:rPr>
          <w:rFonts w:ascii="GHEA Grapalat" w:hAnsi="GHEA Grapalat"/>
          <w:b/>
          <w:caps/>
          <w:sz w:val="22"/>
          <w:lang w:val="hy-AM"/>
        </w:rPr>
        <w:t>ՀԱՅԱՍՏԱՆԻ ՀԱՆՐԱՊԵՏՈՒԹՅԱՆ</w:t>
      </w:r>
      <w:r w:rsidRPr="00982502">
        <w:rPr>
          <w:rFonts w:ascii="GHEA Grapalat" w:hAnsi="GHEA Grapalat"/>
          <w:b/>
          <w:caps/>
          <w:sz w:val="22"/>
          <w:lang w:val="hy-AM"/>
        </w:rPr>
        <w:t xml:space="preserve"> օրենքում լրացումներ և </w:t>
      </w:r>
      <w:r w:rsidRPr="00666C29">
        <w:rPr>
          <w:rFonts w:ascii="GHEA Grapalat" w:hAnsi="GHEA Grapalat"/>
          <w:b/>
          <w:caps/>
          <w:sz w:val="22"/>
          <w:lang w:val="hy-AM"/>
        </w:rPr>
        <w:t>փոփոխություններ կատարելու մասին»,</w:t>
      </w:r>
    </w:p>
    <w:p w14:paraId="554F4E92" w14:textId="462A93B1" w:rsidR="0026553C" w:rsidRPr="00666C29" w:rsidRDefault="0026553C" w:rsidP="00666C29">
      <w:pPr>
        <w:shd w:val="clear" w:color="auto" w:fill="FFFFFF"/>
        <w:spacing w:line="276" w:lineRule="auto"/>
        <w:jc w:val="center"/>
        <w:rPr>
          <w:rFonts w:ascii="GHEA Grapalat" w:hAnsi="GHEA Grapalat"/>
          <w:b/>
          <w:caps/>
          <w:sz w:val="22"/>
          <w:szCs w:val="22"/>
          <w:lang w:val="hy-AM" w:eastAsia="en-US"/>
        </w:rPr>
      </w:pPr>
      <w:r w:rsidRPr="00666C29">
        <w:rPr>
          <w:rFonts w:ascii="GHEA Grapalat" w:hAnsi="GHEA Grapalat"/>
          <w:b/>
          <w:caps/>
          <w:sz w:val="22"/>
          <w:lang w:val="hy-AM"/>
        </w:rPr>
        <w:t xml:space="preserve">««Հայաստանի Հանրապետության քաղաքացիական օրենսգրքում» </w:t>
      </w:r>
      <w:r w:rsidRPr="00750252">
        <w:rPr>
          <w:rFonts w:ascii="GHEA Grapalat" w:hAnsi="GHEA Grapalat"/>
          <w:b/>
          <w:caps/>
          <w:sz w:val="22"/>
          <w:szCs w:val="22"/>
          <w:lang w:val="hy-AM"/>
        </w:rPr>
        <w:t xml:space="preserve">փոփոխությունՆԵՐ ԵՎ </w:t>
      </w:r>
      <w:r w:rsidRPr="00666C29">
        <w:rPr>
          <w:rFonts w:ascii="GHEA Grapalat" w:hAnsi="GHEA Grapalat"/>
          <w:b/>
          <w:caps/>
          <w:sz w:val="22"/>
          <w:lang w:val="hy-AM"/>
        </w:rPr>
        <w:t>լրացում կատարելու մասին»,</w:t>
      </w:r>
    </w:p>
    <w:p w14:paraId="5E862C27" w14:textId="3EDD7A0F" w:rsidR="0026553C" w:rsidRPr="00666C29" w:rsidRDefault="0026553C" w:rsidP="00666C29">
      <w:pPr>
        <w:shd w:val="clear" w:color="auto" w:fill="FFFFFF"/>
        <w:spacing w:line="276" w:lineRule="auto"/>
        <w:jc w:val="center"/>
        <w:rPr>
          <w:rFonts w:ascii="GHEA Grapalat" w:hAnsi="GHEA Grapalat"/>
          <w:b/>
          <w:caps/>
          <w:sz w:val="22"/>
          <w:szCs w:val="22"/>
          <w:lang w:val="hy-AM" w:eastAsia="en-US"/>
        </w:rPr>
      </w:pPr>
      <w:r w:rsidRPr="00666C29">
        <w:rPr>
          <w:rFonts w:ascii="GHEA Grapalat" w:hAnsi="GHEA Grapalat"/>
          <w:b/>
          <w:caps/>
          <w:sz w:val="22"/>
          <w:lang w:val="hy-AM"/>
        </w:rPr>
        <w:t>««</w:t>
      </w:r>
      <w:r w:rsidR="007A7CBC">
        <w:rPr>
          <w:rFonts w:ascii="GHEA Grapalat" w:hAnsi="GHEA Grapalat"/>
          <w:b/>
          <w:caps/>
          <w:sz w:val="22"/>
          <w:lang w:val="hy-AM"/>
        </w:rPr>
        <w:t xml:space="preserve">ՀԱՅԱՍՏԱՆԻ ՀԱՆՐԱՊԵՏՈՒԹՅԱՆ </w:t>
      </w:r>
      <w:r w:rsidRPr="00666C29">
        <w:rPr>
          <w:rFonts w:ascii="GHEA Grapalat" w:hAnsi="GHEA Grapalat"/>
          <w:b/>
          <w:caps/>
          <w:sz w:val="22"/>
          <w:lang w:val="hy-AM"/>
        </w:rPr>
        <w:t xml:space="preserve">Կենտրոնական բանկի մասին </w:t>
      </w:r>
      <w:r w:rsidR="00D30FE1">
        <w:rPr>
          <w:rFonts w:ascii="GHEA Grapalat" w:hAnsi="GHEA Grapalat"/>
          <w:b/>
          <w:caps/>
          <w:sz w:val="22"/>
          <w:lang w:val="hy-AM"/>
        </w:rPr>
        <w:t xml:space="preserve">ՀԱՅԱՍՏԱՆԻ ՀԱՆՐԱՊԵՏՈՒԹՅԱՆ </w:t>
      </w:r>
      <w:r w:rsidRPr="00666C29">
        <w:rPr>
          <w:rFonts w:ascii="GHEA Grapalat" w:hAnsi="GHEA Grapalat"/>
          <w:b/>
          <w:caps/>
          <w:sz w:val="22"/>
          <w:lang w:val="hy-AM"/>
        </w:rPr>
        <w:t xml:space="preserve"> օրենքում </w:t>
      </w:r>
      <w:r w:rsidRPr="00750252">
        <w:rPr>
          <w:rFonts w:ascii="GHEA Grapalat" w:hAnsi="GHEA Grapalat"/>
          <w:b/>
          <w:caps/>
          <w:sz w:val="22"/>
          <w:szCs w:val="22"/>
          <w:lang w:val="hy-AM"/>
        </w:rPr>
        <w:t>փոփոխություններ</w:t>
      </w:r>
      <w:r w:rsidRPr="00666C29">
        <w:rPr>
          <w:rFonts w:ascii="GHEA Grapalat" w:hAnsi="GHEA Grapalat"/>
          <w:b/>
          <w:caps/>
          <w:sz w:val="22"/>
          <w:lang w:val="hy-AM"/>
        </w:rPr>
        <w:t xml:space="preserve"> կատարելու մասին»,</w:t>
      </w:r>
    </w:p>
    <w:p w14:paraId="5C58AA56" w14:textId="51A06452" w:rsidR="0026553C" w:rsidRPr="00666C29" w:rsidRDefault="0026553C" w:rsidP="00666C29">
      <w:pPr>
        <w:shd w:val="clear" w:color="auto" w:fill="FFFFFF"/>
        <w:spacing w:line="276" w:lineRule="auto"/>
        <w:jc w:val="center"/>
        <w:rPr>
          <w:rFonts w:ascii="GHEA Grapalat" w:hAnsi="GHEA Grapalat"/>
          <w:b/>
          <w:caps/>
          <w:sz w:val="22"/>
          <w:szCs w:val="22"/>
          <w:lang w:val="hy-AM" w:eastAsia="en-US"/>
        </w:rPr>
      </w:pPr>
      <w:r w:rsidRPr="00666C29">
        <w:rPr>
          <w:rFonts w:ascii="GHEA Grapalat" w:hAnsi="GHEA Grapalat"/>
          <w:b/>
          <w:caps/>
          <w:sz w:val="22"/>
          <w:lang w:val="hy-AM"/>
        </w:rPr>
        <w:t xml:space="preserve">««Փողերի լվացման և ահաբեկչության ֆինանսավորման դեմ պայքարի մասին» </w:t>
      </w:r>
      <w:r w:rsidR="00D30FE1">
        <w:rPr>
          <w:rFonts w:ascii="GHEA Grapalat" w:hAnsi="GHEA Grapalat"/>
          <w:b/>
          <w:caps/>
          <w:sz w:val="22"/>
          <w:lang w:val="hy-AM"/>
        </w:rPr>
        <w:t xml:space="preserve">ՀԱՅԱՍՏԱՆԻ ՀԱՆՐԱՊԵՏՈՒԹՅԱՆ </w:t>
      </w:r>
      <w:r w:rsidRPr="00666C29">
        <w:rPr>
          <w:rFonts w:ascii="GHEA Grapalat" w:hAnsi="GHEA Grapalat"/>
          <w:b/>
          <w:caps/>
          <w:sz w:val="22"/>
          <w:lang w:val="hy-AM"/>
        </w:rPr>
        <w:t xml:space="preserve"> օրենքում փոփոխություններ կատարելու մասին»,</w:t>
      </w:r>
    </w:p>
    <w:p w14:paraId="508B7ABC" w14:textId="11357396" w:rsidR="0026553C" w:rsidRPr="00666C29" w:rsidRDefault="0026553C" w:rsidP="00666C29">
      <w:pPr>
        <w:shd w:val="clear" w:color="auto" w:fill="FFFFFF"/>
        <w:spacing w:line="276" w:lineRule="auto"/>
        <w:jc w:val="center"/>
        <w:rPr>
          <w:rFonts w:ascii="GHEA Grapalat" w:hAnsi="GHEA Grapalat"/>
          <w:b/>
          <w:caps/>
          <w:sz w:val="22"/>
          <w:szCs w:val="22"/>
          <w:lang w:val="hy-AM" w:eastAsia="en-US"/>
        </w:rPr>
      </w:pPr>
      <w:r w:rsidRPr="00666C29">
        <w:rPr>
          <w:rFonts w:ascii="GHEA Grapalat" w:hAnsi="GHEA Grapalat"/>
          <w:b/>
          <w:caps/>
          <w:sz w:val="22"/>
          <w:lang w:val="hy-AM"/>
        </w:rPr>
        <w:t xml:space="preserve">««Արժութային կարգավորման և արժութային վերահսկողության մասին» </w:t>
      </w:r>
      <w:r w:rsidR="00D30FE1">
        <w:rPr>
          <w:rFonts w:ascii="GHEA Grapalat" w:hAnsi="GHEA Grapalat"/>
          <w:b/>
          <w:caps/>
          <w:sz w:val="22"/>
          <w:lang w:val="hy-AM"/>
        </w:rPr>
        <w:t xml:space="preserve">ՀԱՅԱՍՏԱՆԻ ՀԱՆՐԱՊԵՏՈՒԹՅԱՆ </w:t>
      </w:r>
      <w:r w:rsidRPr="00666C29">
        <w:rPr>
          <w:rFonts w:ascii="GHEA Grapalat" w:hAnsi="GHEA Grapalat"/>
          <w:b/>
          <w:caps/>
          <w:sz w:val="22"/>
          <w:lang w:val="hy-AM"/>
        </w:rPr>
        <w:t>օրենքում լրացում կատարելու մասին»,</w:t>
      </w:r>
    </w:p>
    <w:p w14:paraId="11F061CE" w14:textId="4A9FF425" w:rsidR="0026553C" w:rsidRPr="00666C29" w:rsidRDefault="0026553C" w:rsidP="00666C29">
      <w:pPr>
        <w:shd w:val="clear" w:color="auto" w:fill="FFFFFF"/>
        <w:spacing w:line="276" w:lineRule="auto"/>
        <w:jc w:val="center"/>
        <w:rPr>
          <w:rFonts w:ascii="GHEA Grapalat" w:hAnsi="GHEA Grapalat"/>
          <w:b/>
          <w:caps/>
          <w:sz w:val="22"/>
          <w:szCs w:val="22"/>
          <w:lang w:val="hy-AM" w:eastAsia="en-US"/>
        </w:rPr>
      </w:pPr>
      <w:r w:rsidRPr="00666C29">
        <w:rPr>
          <w:rFonts w:ascii="GHEA Grapalat" w:hAnsi="GHEA Grapalat"/>
          <w:b/>
          <w:caps/>
          <w:sz w:val="22"/>
          <w:lang w:val="hy-AM"/>
        </w:rPr>
        <w:t xml:space="preserve">««Պետական տուրքի մասին» </w:t>
      </w:r>
      <w:r w:rsidR="00D30FE1">
        <w:rPr>
          <w:rFonts w:ascii="GHEA Grapalat" w:hAnsi="GHEA Grapalat"/>
          <w:b/>
          <w:caps/>
          <w:sz w:val="22"/>
          <w:lang w:val="hy-AM"/>
        </w:rPr>
        <w:t>ՀԱՅԱՍՏԱՆԻ ՀԱՆՐԱՊԵՏՈՒԹՅԱՆ</w:t>
      </w:r>
      <w:r w:rsidRPr="00666C29">
        <w:rPr>
          <w:rFonts w:ascii="GHEA Grapalat" w:hAnsi="GHEA Grapalat"/>
          <w:b/>
          <w:caps/>
          <w:sz w:val="22"/>
          <w:lang w:val="hy-AM"/>
        </w:rPr>
        <w:t xml:space="preserve"> օրենքում լրացում կատարելու մասին» օրենքՆԵՐի նախագծԵՐԻ</w:t>
      </w:r>
    </w:p>
    <w:p w14:paraId="4DE4D7B4" w14:textId="77777777" w:rsidR="0026553C" w:rsidRPr="00666C29" w:rsidRDefault="0026553C" w:rsidP="00666C29">
      <w:pPr>
        <w:spacing w:line="276" w:lineRule="auto"/>
        <w:ind w:right="23"/>
        <w:rPr>
          <w:rFonts w:ascii="GHEA Grapalat" w:hAnsi="GHEA Grapalat"/>
          <w:b/>
          <w:sz w:val="22"/>
          <w:lang w:val="hy-AM"/>
        </w:rPr>
      </w:pPr>
    </w:p>
    <w:p w14:paraId="5F33F340" w14:textId="77777777" w:rsidR="0026553C" w:rsidRPr="00750252" w:rsidRDefault="0026553C" w:rsidP="00750252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right="23"/>
        <w:jc w:val="both"/>
        <w:rPr>
          <w:rFonts w:ascii="GHEA Grapalat" w:hAnsi="GHEA Grapalat" w:cs="Times Armenian"/>
          <w:sz w:val="22"/>
          <w:szCs w:val="22"/>
          <w:lang w:val="pt-BR"/>
        </w:rPr>
      </w:pPr>
      <w:r w:rsidRPr="00750252">
        <w:rPr>
          <w:rFonts w:ascii="GHEA Grapalat" w:hAnsi="GHEA Grapalat"/>
          <w:b/>
          <w:sz w:val="22"/>
          <w:szCs w:val="22"/>
          <w:lang w:val="hy-AM"/>
        </w:rPr>
        <w:t>Ի</w:t>
      </w:r>
      <w:r w:rsidRPr="00750252">
        <w:rPr>
          <w:rFonts w:ascii="GHEA Grapalat" w:hAnsi="GHEA Grapalat"/>
          <w:b/>
          <w:sz w:val="22"/>
          <w:szCs w:val="22"/>
          <w:lang w:val="pt-BR"/>
        </w:rPr>
        <w:t>րավական ակտերի ընդունման անհրաժեշտությունը</w:t>
      </w:r>
    </w:p>
    <w:p w14:paraId="6707B670" w14:textId="77777777" w:rsidR="0026553C" w:rsidRPr="00982502" w:rsidRDefault="0026553C" w:rsidP="00666C29">
      <w:pPr>
        <w:spacing w:line="276" w:lineRule="auto"/>
        <w:ind w:firstLine="360"/>
        <w:contextualSpacing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666C29">
        <w:rPr>
          <w:rFonts w:ascii="GHEA Grapalat" w:hAnsi="GHEA Grapalat"/>
          <w:sz w:val="22"/>
          <w:lang w:val="hy-AM"/>
        </w:rPr>
        <w:t xml:space="preserve">Ոչ հրապարակային ներդրումային ֆոնդերի կարգավորման ոլորտում </w:t>
      </w:r>
      <w:r w:rsidRPr="00982502">
        <w:rPr>
          <w:rFonts w:ascii="GHEA Grapalat" w:hAnsi="GHEA Grapalat"/>
          <w:sz w:val="22"/>
          <w:lang w:val="hy-AM"/>
        </w:rPr>
        <w:t>առկա են որոշ խնդիրներ, մասնավորապես.</w:t>
      </w:r>
    </w:p>
    <w:p w14:paraId="2DEEDEE0" w14:textId="77777777" w:rsidR="0026553C" w:rsidRPr="00982502" w:rsidRDefault="0026553C" w:rsidP="00982502">
      <w:pPr>
        <w:spacing w:line="276" w:lineRule="auto"/>
        <w:contextualSpacing/>
        <w:jc w:val="both"/>
        <w:rPr>
          <w:rFonts w:ascii="GHEA Grapalat" w:hAnsi="GHEA Grapalat"/>
          <w:sz w:val="22"/>
          <w:lang w:val="hy-AM"/>
        </w:rPr>
      </w:pPr>
    </w:p>
    <w:p w14:paraId="3FE8F857" w14:textId="7E2BB2F8" w:rsidR="0026553C" w:rsidRPr="00982502" w:rsidRDefault="00466129" w:rsidP="0098250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ներկայումս </w:t>
      </w:r>
      <w:r w:rsidR="0026553C" w:rsidRPr="00982502">
        <w:rPr>
          <w:rFonts w:ascii="GHEA Grapalat" w:hAnsi="GHEA Grapalat"/>
          <w:sz w:val="22"/>
          <w:lang w:val="hy-AM"/>
        </w:rPr>
        <w:t xml:space="preserve">ոչ հրապարակային ֆոնդերի և դրանց կառավարիչների մեծ մասը ՀՀ կենտրոնական բանկի (այսուհետ՝ Կենտրոնական բանկ) վերահսկողությունից դուրս են, ինչի արդյունքում Կենտրոնական բանկը հնարավորություն չունի ֆոնդերի և ֆոնդերի կառավարիչների նկատմամբ իրականացնել պատշաճ վերահսկողություն (այդ թվում՝ ներդրողների շահերի պաշտպանության, փողերի լվացման և ահաբեկչության ֆինանսավորման ռիսկերի նվազեցման նպատակով): Մասնավորապես գործող օրենսդրությամբ. </w:t>
      </w:r>
    </w:p>
    <w:p w14:paraId="678BE796" w14:textId="77777777" w:rsidR="0026553C" w:rsidRPr="00982502" w:rsidRDefault="0026553C" w:rsidP="0098250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982502">
        <w:rPr>
          <w:rFonts w:ascii="GHEA Grapalat" w:hAnsi="GHEA Grapalat"/>
          <w:sz w:val="22"/>
          <w:lang w:val="hy-AM"/>
        </w:rPr>
        <w:t xml:space="preserve">ոչ հրապարակային ֆոնդ կարող է կառավարել ցանկացած անձ, այդ թվում՝ ֆիզիկական, առանց </w:t>
      </w:r>
      <w:proofErr w:type="spellStart"/>
      <w:r w:rsidRPr="00982502">
        <w:rPr>
          <w:rFonts w:ascii="GHEA Grapalat" w:hAnsi="GHEA Grapalat"/>
          <w:sz w:val="22"/>
          <w:lang w:val="hy-AM"/>
        </w:rPr>
        <w:t>որևէ</w:t>
      </w:r>
      <w:proofErr w:type="spellEnd"/>
      <w:r w:rsidRPr="00982502">
        <w:rPr>
          <w:rFonts w:ascii="GHEA Grapalat" w:hAnsi="GHEA Grapalat"/>
          <w:sz w:val="22"/>
          <w:lang w:val="hy-AM"/>
        </w:rPr>
        <w:t xml:space="preserve"> թույլտվության կամ լիցենզիայի: Ընդ որում, կառավարիչների նկատմամբ </w:t>
      </w:r>
      <w:proofErr w:type="spellStart"/>
      <w:r w:rsidRPr="00982502">
        <w:rPr>
          <w:rFonts w:ascii="GHEA Grapalat" w:hAnsi="GHEA Grapalat"/>
          <w:sz w:val="22"/>
          <w:lang w:val="hy-AM"/>
        </w:rPr>
        <w:t>որևէ</w:t>
      </w:r>
      <w:proofErr w:type="spellEnd"/>
      <w:r w:rsidRPr="00982502">
        <w:rPr>
          <w:rFonts w:ascii="GHEA Grapalat" w:hAnsi="GHEA Grapalat"/>
          <w:sz w:val="22"/>
          <w:lang w:val="hy-AM"/>
        </w:rPr>
        <w:t xml:space="preserve"> պահանջ սահմանված չէ,</w:t>
      </w:r>
    </w:p>
    <w:p w14:paraId="7D40585B" w14:textId="5C0F837A" w:rsidR="0026553C" w:rsidRPr="00982502" w:rsidRDefault="0026553C" w:rsidP="0098250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982502">
        <w:rPr>
          <w:rFonts w:ascii="GHEA Grapalat" w:hAnsi="GHEA Grapalat"/>
          <w:sz w:val="22"/>
          <w:lang w:val="hy-AM"/>
        </w:rPr>
        <w:t xml:space="preserve">միայն ֆոնդի կանոններն են գրանցվում Կենտրոնական բանկի կողմից: Ընդ որում, կանոնների բովանդակության, կառուցվածքի և ներառվող տեղեկատվության նկատմամբ </w:t>
      </w:r>
      <w:proofErr w:type="spellStart"/>
      <w:r w:rsidRPr="00982502">
        <w:rPr>
          <w:rFonts w:ascii="GHEA Grapalat" w:hAnsi="GHEA Grapalat"/>
          <w:sz w:val="22"/>
          <w:lang w:val="hy-AM"/>
        </w:rPr>
        <w:t>որևէ</w:t>
      </w:r>
      <w:proofErr w:type="spellEnd"/>
      <w:r w:rsidRPr="00982502">
        <w:rPr>
          <w:rFonts w:ascii="GHEA Grapalat" w:hAnsi="GHEA Grapalat"/>
          <w:sz w:val="22"/>
          <w:lang w:val="hy-AM"/>
        </w:rPr>
        <w:t xml:space="preserve"> պահանջ սահմանված չէ, իսկ </w:t>
      </w:r>
      <w:bookmarkStart w:id="1" w:name="_Hlk147329342"/>
      <w:r w:rsidRPr="00D30FE1">
        <w:rPr>
          <w:rFonts w:ascii="GHEA Grapalat" w:hAnsi="GHEA Grapalat"/>
          <w:sz w:val="22"/>
          <w:lang w:val="hy-AM"/>
        </w:rPr>
        <w:t>Կենտրոնական բանկ</w:t>
      </w:r>
      <w:r w:rsidR="00666C29" w:rsidRPr="00D30FE1">
        <w:rPr>
          <w:rFonts w:ascii="GHEA Grapalat" w:hAnsi="GHEA Grapalat"/>
          <w:sz w:val="22"/>
          <w:lang w:val="hy-AM"/>
        </w:rPr>
        <w:t xml:space="preserve">ին օրենքով տրված չէ իրավասություն </w:t>
      </w:r>
      <w:r w:rsidRPr="00D30FE1">
        <w:rPr>
          <w:rFonts w:ascii="GHEA Grapalat" w:hAnsi="GHEA Grapalat"/>
          <w:sz w:val="22"/>
          <w:lang w:val="hy-AM"/>
        </w:rPr>
        <w:t>ստուգել</w:t>
      </w:r>
      <w:r w:rsidR="00666C29" w:rsidRPr="00D30FE1">
        <w:rPr>
          <w:rFonts w:ascii="GHEA Grapalat" w:hAnsi="GHEA Grapalat"/>
          <w:sz w:val="22"/>
          <w:lang w:val="hy-AM"/>
        </w:rPr>
        <w:t>ու</w:t>
      </w:r>
      <w:r w:rsidRPr="00982502">
        <w:rPr>
          <w:rFonts w:ascii="GHEA Grapalat" w:hAnsi="GHEA Grapalat"/>
          <w:sz w:val="22"/>
          <w:lang w:val="hy-AM"/>
        </w:rPr>
        <w:t xml:space="preserve"> ֆոնդերի կանոնների բովանդակությունը և դրանց համապատասխանությունը օրենքի պահանջներին, </w:t>
      </w:r>
    </w:p>
    <w:bookmarkEnd w:id="1"/>
    <w:p w14:paraId="288A865C" w14:textId="77777777" w:rsidR="0026553C" w:rsidRPr="00982502" w:rsidRDefault="0026553C" w:rsidP="0098250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982502">
        <w:rPr>
          <w:rFonts w:ascii="GHEA Grapalat" w:hAnsi="GHEA Grapalat"/>
          <w:sz w:val="22"/>
          <w:lang w:val="hy-AM"/>
        </w:rPr>
        <w:t xml:space="preserve">սահմանված չէ ոչ հրապարակային ֆոնդերի լուծարման ընթացակարգը.   </w:t>
      </w:r>
    </w:p>
    <w:p w14:paraId="65512F17" w14:textId="77777777" w:rsidR="0026553C" w:rsidRPr="00982502" w:rsidRDefault="0026553C" w:rsidP="0098250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982502">
        <w:rPr>
          <w:rFonts w:ascii="GHEA Grapalat" w:hAnsi="GHEA Grapalat"/>
          <w:sz w:val="22"/>
          <w:lang w:val="hy-AM"/>
        </w:rPr>
        <w:t xml:space="preserve">օրենքով Կենտրոնական բանկին տրված չեն բավարար իրավասություններ սահմանելու գործունեության նվազագույն պահանջներ ոչ հրապարակային ֆոնդերի և կառավարիչների համար՝ հնարավոր </w:t>
      </w:r>
      <w:proofErr w:type="spellStart"/>
      <w:r w:rsidRPr="00982502">
        <w:rPr>
          <w:rFonts w:ascii="GHEA Grapalat" w:hAnsi="GHEA Grapalat"/>
          <w:sz w:val="22"/>
          <w:lang w:val="hy-AM"/>
        </w:rPr>
        <w:t>ռիսկերին</w:t>
      </w:r>
      <w:proofErr w:type="spellEnd"/>
      <w:r w:rsidRPr="00982502">
        <w:rPr>
          <w:rFonts w:ascii="GHEA Grapalat" w:hAnsi="GHEA Grapalat"/>
          <w:sz w:val="22"/>
          <w:lang w:val="hy-AM"/>
        </w:rPr>
        <w:t xml:space="preserve"> արձագանքելու նպատակով.</w:t>
      </w:r>
    </w:p>
    <w:p w14:paraId="768883FB" w14:textId="77777777" w:rsidR="0026553C" w:rsidRPr="00982502" w:rsidRDefault="0026553C" w:rsidP="0098250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982502">
        <w:rPr>
          <w:rFonts w:ascii="GHEA Grapalat" w:hAnsi="GHEA Grapalat"/>
          <w:sz w:val="22"/>
          <w:lang w:val="hy-AM"/>
        </w:rPr>
        <w:t xml:space="preserve">«Ներդրումային ֆոնդերի մասին» օրենքի որոշ դրույթներ հստակեցնելու անհրաժեշտություն կա՝ կապված ոչ հրապարակային ֆոնդերի վրա տարածվելու հետ: Մի շարք դրույթներ և հասկացություններ, որոնք վերաբերում են բոլոր տեսակի ներդրումային ֆոնդերին (օրինակ՝ ֆոնդի, </w:t>
      </w:r>
      <w:proofErr w:type="spellStart"/>
      <w:r w:rsidRPr="00982502">
        <w:rPr>
          <w:rFonts w:ascii="GHEA Grapalat" w:hAnsi="GHEA Grapalat"/>
          <w:sz w:val="22"/>
          <w:lang w:val="hy-AM"/>
        </w:rPr>
        <w:t>ենթաֆոնդերի</w:t>
      </w:r>
      <w:proofErr w:type="spellEnd"/>
      <w:r w:rsidRPr="00982502">
        <w:rPr>
          <w:rFonts w:ascii="GHEA Grapalat" w:hAnsi="GHEA Grapalat"/>
          <w:sz w:val="22"/>
          <w:lang w:val="hy-AM"/>
        </w:rPr>
        <w:t xml:space="preserve">, փայերի թողարկման և հետգնման, փայերի </w:t>
      </w:r>
      <w:r w:rsidRPr="00982502">
        <w:rPr>
          <w:rFonts w:ascii="GHEA Grapalat" w:hAnsi="GHEA Grapalat"/>
          <w:sz w:val="22"/>
          <w:lang w:val="hy-AM"/>
        </w:rPr>
        <w:lastRenderedPageBreak/>
        <w:t xml:space="preserve">տեսակների, ֆոնդի կառավարման վերաբերյալ դրույթները), չեն տարածվում ոչ հրապարակային ֆոնդերի վրա, ինչը խնդիրներ է առաջացնում օրենքի դրույթները մեկնաբանելիս:  </w:t>
      </w:r>
    </w:p>
    <w:p w14:paraId="6E3C3356" w14:textId="77777777" w:rsidR="0026553C" w:rsidRPr="00666C29" w:rsidRDefault="0026553C" w:rsidP="00666C29">
      <w:pPr>
        <w:spacing w:line="276" w:lineRule="auto"/>
        <w:ind w:right="23" w:firstLine="567"/>
        <w:jc w:val="both"/>
        <w:rPr>
          <w:rFonts w:ascii="GHEA Grapalat" w:hAnsi="GHEA Grapalat"/>
          <w:sz w:val="22"/>
          <w:lang w:val="hy-AM"/>
        </w:rPr>
      </w:pPr>
    </w:p>
    <w:p w14:paraId="52CCDB14" w14:textId="65F81577" w:rsidR="0026553C" w:rsidRPr="00F0238B" w:rsidRDefault="0026553C" w:rsidP="00F0238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50252">
        <w:rPr>
          <w:rFonts w:ascii="GHEA Grapalat" w:hAnsi="GHEA Grapalat" w:cs="Sylfaen"/>
          <w:b/>
          <w:sz w:val="22"/>
          <w:szCs w:val="22"/>
          <w:lang w:val="hy-AM"/>
        </w:rPr>
        <w:t>Ընթացիկ իրավիճակը և խնդիրները</w:t>
      </w:r>
      <w:bookmarkEnd w:id="0"/>
    </w:p>
    <w:p w14:paraId="17FD8076" w14:textId="77777777" w:rsidR="0026553C" w:rsidRPr="00982502" w:rsidRDefault="0026553C" w:rsidP="00666C29">
      <w:pPr>
        <w:spacing w:after="160" w:line="276" w:lineRule="auto"/>
        <w:ind w:firstLine="540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666C29">
        <w:rPr>
          <w:rFonts w:ascii="GHEA Grapalat" w:hAnsi="GHEA Grapalat"/>
          <w:sz w:val="22"/>
          <w:lang w:val="hy-AM"/>
        </w:rPr>
        <w:t xml:space="preserve">Նշված խնդիրների առկայության արդյունքում Կենտրոնական բանկը հնարավորություն չունի ոչ հրապարակային ֆոնդերի և դրանց </w:t>
      </w:r>
      <w:r w:rsidRPr="00730A42">
        <w:rPr>
          <w:rFonts w:ascii="GHEA Grapalat" w:hAnsi="GHEA Grapalat"/>
          <w:sz w:val="22"/>
          <w:lang w:val="hy-AM"/>
        </w:rPr>
        <w:t xml:space="preserve">կառավարիչների նկատմամբ իրականացնել պատշաճ վերահսկողություն: Արդյունքում անհավասար </w:t>
      </w:r>
      <w:r w:rsidRPr="00982502">
        <w:rPr>
          <w:rFonts w:ascii="GHEA Grapalat" w:hAnsi="GHEA Grapalat"/>
          <w:sz w:val="22"/>
          <w:lang w:val="hy-AM"/>
        </w:rPr>
        <w:t xml:space="preserve">կարգավորման դաշտ է գործում ոչ հրապարակային և հրապարակային ֆոնդերի և դրանց կառավարիչների համար: Բացի այդ, օրենքում առկա դրույթների՝ ոչ հրապարակային ֆոնդերի վրա տարածվելու անհստակությունը խոչընդոտում է նմանատիպ ֆոնդերի զարգացումը: </w:t>
      </w:r>
    </w:p>
    <w:p w14:paraId="7335DB72" w14:textId="77777777" w:rsidR="0026553C" w:rsidRPr="00982502" w:rsidRDefault="0026553C" w:rsidP="00982502">
      <w:pPr>
        <w:pStyle w:val="ListParagraph"/>
        <w:spacing w:after="160" w:line="276" w:lineRule="auto"/>
        <w:ind w:left="900"/>
        <w:jc w:val="both"/>
        <w:rPr>
          <w:rFonts w:ascii="GHEA Grapalat" w:hAnsi="GHEA Grapalat"/>
          <w:sz w:val="22"/>
          <w:lang w:val="hy-AM"/>
        </w:rPr>
      </w:pPr>
    </w:p>
    <w:p w14:paraId="7430A789" w14:textId="4F870290" w:rsidR="0026553C" w:rsidRPr="00750252" w:rsidRDefault="0026553C" w:rsidP="00750252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ind w:right="23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730A42">
        <w:rPr>
          <w:rFonts w:ascii="GHEA Grapalat" w:hAnsi="GHEA Grapalat"/>
          <w:b/>
          <w:sz w:val="22"/>
          <w:lang w:val="pt-BR"/>
        </w:rPr>
        <w:t xml:space="preserve">Առաջարկվող </w:t>
      </w:r>
      <w:r w:rsidRPr="00750252">
        <w:rPr>
          <w:rFonts w:ascii="GHEA Grapalat" w:hAnsi="GHEA Grapalat"/>
          <w:b/>
          <w:sz w:val="22"/>
          <w:szCs w:val="22"/>
          <w:lang w:val="pt-BR"/>
        </w:rPr>
        <w:t>կարգավորման բնույթը</w:t>
      </w:r>
    </w:p>
    <w:p w14:paraId="1983FA3D" w14:textId="6DE086DB" w:rsidR="00F94AAF" w:rsidRPr="0015318E" w:rsidRDefault="0026553C" w:rsidP="00982502">
      <w:pPr>
        <w:tabs>
          <w:tab w:val="left" w:pos="810"/>
        </w:tabs>
        <w:spacing w:line="276" w:lineRule="auto"/>
        <w:ind w:right="23" w:firstLine="567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50252">
        <w:rPr>
          <w:rFonts w:ascii="GHEA Grapalat" w:hAnsi="GHEA Grapalat"/>
          <w:sz w:val="22"/>
          <w:szCs w:val="22"/>
          <w:lang w:val="pt-BR"/>
        </w:rPr>
        <w:t>Նախագծ</w:t>
      </w:r>
      <w:r w:rsidRPr="00750252">
        <w:rPr>
          <w:rFonts w:ascii="GHEA Grapalat" w:hAnsi="GHEA Grapalat"/>
          <w:sz w:val="22"/>
          <w:szCs w:val="22"/>
          <w:lang w:val="hy-AM"/>
        </w:rPr>
        <w:t>ո</w:t>
      </w:r>
      <w:r w:rsidRPr="00750252">
        <w:rPr>
          <w:rFonts w:ascii="GHEA Grapalat" w:hAnsi="GHEA Grapalat"/>
          <w:sz w:val="22"/>
          <w:szCs w:val="22"/>
          <w:lang w:val="pt-BR"/>
        </w:rPr>
        <w:t xml:space="preserve">վ առաջարկվող կարգավորումների բնույթը </w:t>
      </w:r>
      <w:r w:rsidRPr="0015318E">
        <w:rPr>
          <w:rFonts w:ascii="GHEA Grapalat" w:hAnsi="GHEA Grapalat"/>
          <w:sz w:val="22"/>
          <w:szCs w:val="22"/>
          <w:lang w:val="pt-BR"/>
        </w:rPr>
        <w:t>կայանում է հետևյալում.</w:t>
      </w:r>
    </w:p>
    <w:p w14:paraId="4318259C" w14:textId="5FB7E3ED" w:rsidR="00BA5F99" w:rsidRPr="002E37C7" w:rsidRDefault="00BA5F99" w:rsidP="002E37C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F94AAF">
        <w:rPr>
          <w:rFonts w:ascii="GHEA Grapalat" w:hAnsi="GHEA Grapalat"/>
          <w:sz w:val="22"/>
          <w:szCs w:val="22"/>
          <w:lang w:val="hy-AM"/>
        </w:rPr>
        <w:t xml:space="preserve">«Ներդրումային ֆոնդերի մասին» օրենքում մի շարք դրույթներ կտարածվեն նաև ոչ հրապարակային ֆոնդերի վրա (օրինակ՝ ֆոնդերի վերաբերյալ հասկացությունների սահմանումները, ֆոնդի կարգավիճակի, </w:t>
      </w:r>
      <w:proofErr w:type="spellStart"/>
      <w:r w:rsidRPr="00F94AAF">
        <w:rPr>
          <w:rFonts w:ascii="GHEA Grapalat" w:hAnsi="GHEA Grapalat"/>
          <w:sz w:val="22"/>
          <w:szCs w:val="22"/>
          <w:lang w:val="hy-AM"/>
        </w:rPr>
        <w:t>ենթաֆոնդերի</w:t>
      </w:r>
      <w:proofErr w:type="spellEnd"/>
      <w:r w:rsidRPr="00F94AAF">
        <w:rPr>
          <w:rFonts w:ascii="GHEA Grapalat" w:hAnsi="GHEA Grapalat"/>
          <w:sz w:val="22"/>
          <w:szCs w:val="22"/>
          <w:lang w:val="hy-AM"/>
        </w:rPr>
        <w:t>, ֆոնդերի զուտ ակտիվների արժեքի հաշվարկման կարգի, ֆոնդի ստեղծման և կանոնների գրանցման կարգի,   ֆոնդի փայերի թողարկման, տեղաբաշխման և հետգնման, ֆոնդի տեսակի փոփոխման</w:t>
      </w:r>
      <w:r w:rsidR="00C93D05">
        <w:rPr>
          <w:rFonts w:ascii="GHEA Grapalat" w:hAnsi="GHEA Grapalat"/>
          <w:sz w:val="22"/>
          <w:szCs w:val="22"/>
          <w:lang w:val="hy-AM"/>
        </w:rPr>
        <w:t>,</w:t>
      </w:r>
      <w:r w:rsidRPr="00F94AAF">
        <w:rPr>
          <w:rFonts w:ascii="GHEA Grapalat" w:hAnsi="GHEA Grapalat"/>
          <w:sz w:val="22"/>
          <w:szCs w:val="22"/>
          <w:lang w:val="hy-AM"/>
        </w:rPr>
        <w:t xml:space="preserve"> վերակազմակերպման</w:t>
      </w:r>
      <w:r w:rsidR="00C93D05">
        <w:rPr>
          <w:rFonts w:ascii="GHEA Grapalat" w:hAnsi="GHEA Grapalat"/>
          <w:sz w:val="22"/>
          <w:szCs w:val="22"/>
          <w:lang w:val="hy-AM"/>
        </w:rPr>
        <w:t xml:space="preserve"> և դադարեցման (լուծարման) հետ</w:t>
      </w:r>
      <w:r w:rsidRPr="00F94AAF">
        <w:rPr>
          <w:rFonts w:ascii="GHEA Grapalat" w:hAnsi="GHEA Grapalat"/>
          <w:sz w:val="22"/>
          <w:szCs w:val="22"/>
          <w:lang w:val="hy-AM"/>
        </w:rPr>
        <w:t xml:space="preserve"> կապված </w:t>
      </w:r>
      <w:r w:rsidRPr="002E37C7">
        <w:rPr>
          <w:rFonts w:ascii="GHEA Grapalat" w:hAnsi="GHEA Grapalat"/>
          <w:sz w:val="22"/>
          <w:lang w:val="hy-AM"/>
        </w:rPr>
        <w:t>դրույթները</w:t>
      </w:r>
      <w:r w:rsidRPr="00F94AAF">
        <w:rPr>
          <w:rFonts w:ascii="GHEA Grapalat" w:hAnsi="GHEA Grapalat"/>
          <w:sz w:val="22"/>
          <w:szCs w:val="22"/>
          <w:lang w:val="hy-AM"/>
        </w:rPr>
        <w:t>),</w:t>
      </w:r>
    </w:p>
    <w:p w14:paraId="7439F19D" w14:textId="41356CB6" w:rsidR="00BA5F99" w:rsidRPr="00F94AAF" w:rsidRDefault="00BA5F99" w:rsidP="00F94AA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94AAF">
        <w:rPr>
          <w:rFonts w:ascii="GHEA Grapalat" w:hAnsi="GHEA Grapalat"/>
          <w:sz w:val="22"/>
          <w:szCs w:val="22"/>
          <w:lang w:val="hy-AM"/>
        </w:rPr>
        <w:t>ոչ հրապարակային ֆոնդերի կառավարման գործունեության համար անհրաժեշտ կլինի Կ</w:t>
      </w:r>
      <w:r w:rsidR="002E37C7">
        <w:rPr>
          <w:rFonts w:ascii="GHEA Grapalat" w:hAnsi="GHEA Grapalat"/>
          <w:sz w:val="22"/>
          <w:szCs w:val="22"/>
          <w:lang w:val="hy-AM"/>
        </w:rPr>
        <w:t>ենտրոնական բանկի</w:t>
      </w:r>
      <w:r w:rsidRPr="00F94AAF">
        <w:rPr>
          <w:rFonts w:ascii="GHEA Grapalat" w:hAnsi="GHEA Grapalat"/>
          <w:sz w:val="22"/>
          <w:szCs w:val="22"/>
          <w:lang w:val="hy-AM"/>
        </w:rPr>
        <w:t xml:space="preserve"> թույլտվության ստացումը, որի համար կարող են դիմել </w:t>
      </w:r>
      <w:r w:rsidR="00974F30">
        <w:rPr>
          <w:rFonts w:ascii="GHEA Grapalat" w:hAnsi="GHEA Grapalat"/>
          <w:sz w:val="22"/>
          <w:szCs w:val="22"/>
          <w:lang w:val="hy-AM"/>
        </w:rPr>
        <w:t xml:space="preserve">միայն </w:t>
      </w:r>
      <w:r w:rsidR="002E37C7">
        <w:rPr>
          <w:rFonts w:ascii="GHEA Grapalat" w:hAnsi="GHEA Grapalat"/>
          <w:sz w:val="22"/>
          <w:szCs w:val="22"/>
          <w:lang w:val="hy-AM"/>
        </w:rPr>
        <w:t>իրավաբանական անձինք</w:t>
      </w:r>
      <w:r w:rsidRPr="00F94AAF">
        <w:rPr>
          <w:rFonts w:ascii="GHEA Grapalat" w:hAnsi="GHEA Grapalat"/>
          <w:sz w:val="22"/>
          <w:szCs w:val="22"/>
          <w:lang w:val="hy-AM"/>
        </w:rPr>
        <w:t xml:space="preserve">, </w:t>
      </w:r>
    </w:p>
    <w:p w14:paraId="37A87E53" w14:textId="2CAFE1C0" w:rsidR="00BA5F99" w:rsidRPr="00F94AAF" w:rsidRDefault="002E37C7" w:rsidP="00F94AA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94AAF">
        <w:rPr>
          <w:rFonts w:ascii="GHEA Grapalat" w:hAnsi="GHEA Grapalat"/>
          <w:sz w:val="22"/>
          <w:szCs w:val="22"/>
          <w:lang w:val="hy-AM"/>
        </w:rPr>
        <w:t>Կ</w:t>
      </w:r>
      <w:r>
        <w:rPr>
          <w:rFonts w:ascii="GHEA Grapalat" w:hAnsi="GHEA Grapalat"/>
          <w:sz w:val="22"/>
          <w:szCs w:val="22"/>
          <w:lang w:val="hy-AM"/>
        </w:rPr>
        <w:t>ենտրոնական բանկը</w:t>
      </w:r>
      <w:r w:rsidRPr="00F94AAF">
        <w:rPr>
          <w:rFonts w:ascii="GHEA Grapalat" w:hAnsi="GHEA Grapalat"/>
          <w:sz w:val="22"/>
          <w:szCs w:val="22"/>
          <w:lang w:val="hy-AM"/>
        </w:rPr>
        <w:t xml:space="preserve"> </w:t>
      </w:r>
      <w:r w:rsidR="00BA5F99" w:rsidRPr="00F94AAF">
        <w:rPr>
          <w:rFonts w:ascii="GHEA Grapalat" w:hAnsi="GHEA Grapalat"/>
          <w:sz w:val="22"/>
          <w:szCs w:val="22"/>
          <w:lang w:val="hy-AM"/>
        </w:rPr>
        <w:t xml:space="preserve"> կունենա հնարավորություն օրենսդրությամբ սահմանված պահանջների խախտման դեպքում իր </w:t>
      </w:r>
      <w:proofErr w:type="spellStart"/>
      <w:r w:rsidR="00BA5F99" w:rsidRPr="00F94AAF">
        <w:rPr>
          <w:rFonts w:ascii="GHEA Grapalat" w:hAnsi="GHEA Grapalat"/>
          <w:sz w:val="22"/>
          <w:szCs w:val="22"/>
          <w:lang w:val="hy-AM"/>
        </w:rPr>
        <w:t>գործիքակազմը</w:t>
      </w:r>
      <w:proofErr w:type="spellEnd"/>
      <w:r w:rsidR="00BA5F99" w:rsidRPr="00F94AAF">
        <w:rPr>
          <w:rFonts w:ascii="GHEA Grapalat" w:hAnsi="GHEA Grapalat"/>
          <w:sz w:val="22"/>
          <w:szCs w:val="22"/>
          <w:lang w:val="hy-AM"/>
        </w:rPr>
        <w:t xml:space="preserve"> կիրառել ոչ հրապարակային ֆոնդերի և դրանց կառավարիչների նկատմամբ, </w:t>
      </w:r>
    </w:p>
    <w:p w14:paraId="5602FE4F" w14:textId="63F5E810" w:rsidR="00BA5F99" w:rsidRPr="00F94AAF" w:rsidRDefault="002E37C7" w:rsidP="00F94AA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94AAF">
        <w:rPr>
          <w:rFonts w:ascii="GHEA Grapalat" w:hAnsi="GHEA Grapalat"/>
          <w:sz w:val="22"/>
          <w:szCs w:val="22"/>
          <w:lang w:val="hy-AM"/>
        </w:rPr>
        <w:t>Կ</w:t>
      </w:r>
      <w:r>
        <w:rPr>
          <w:rFonts w:ascii="GHEA Grapalat" w:hAnsi="GHEA Grapalat"/>
          <w:sz w:val="22"/>
          <w:szCs w:val="22"/>
          <w:lang w:val="hy-AM"/>
        </w:rPr>
        <w:t>ենտրոնական բանկ</w:t>
      </w:r>
      <w:r w:rsidR="0077549A">
        <w:rPr>
          <w:rFonts w:ascii="GHEA Grapalat" w:hAnsi="GHEA Grapalat"/>
          <w:sz w:val="22"/>
          <w:szCs w:val="22"/>
          <w:lang w:val="hy-AM"/>
        </w:rPr>
        <w:t>ին</w:t>
      </w:r>
      <w:r w:rsidRPr="00F94AAF">
        <w:rPr>
          <w:rFonts w:ascii="GHEA Grapalat" w:hAnsi="GHEA Grapalat"/>
          <w:sz w:val="22"/>
          <w:szCs w:val="22"/>
          <w:lang w:val="hy-AM"/>
        </w:rPr>
        <w:t xml:space="preserve"> </w:t>
      </w:r>
      <w:r w:rsidR="00BA5F99" w:rsidRPr="00F94AAF">
        <w:rPr>
          <w:rFonts w:ascii="GHEA Grapalat" w:hAnsi="GHEA Grapalat"/>
          <w:sz w:val="22"/>
          <w:szCs w:val="22"/>
          <w:lang w:val="hy-AM"/>
        </w:rPr>
        <w:t xml:space="preserve">կտրվի իրավասություն նորմատիվ իրավական ակտեր ընդունելու միջոցով լրացուցիչ պահանջներ սահմանել ոչ հրապարակային ֆոնդերի և դրանց կառավարիչների նկատմամբ (օրինակ՝ ներդրումային սահմանափակումներ, առանձին պահառու և </w:t>
      </w:r>
      <w:proofErr w:type="spellStart"/>
      <w:r w:rsidR="00BA5F99" w:rsidRPr="00F94AAF">
        <w:rPr>
          <w:rFonts w:ascii="GHEA Grapalat" w:hAnsi="GHEA Grapalat"/>
          <w:sz w:val="22"/>
          <w:szCs w:val="22"/>
          <w:lang w:val="hy-AM"/>
        </w:rPr>
        <w:t>ռեեստրավար</w:t>
      </w:r>
      <w:proofErr w:type="spellEnd"/>
      <w:r w:rsidR="00BA5F99" w:rsidRPr="00F94AAF">
        <w:rPr>
          <w:rFonts w:ascii="GHEA Grapalat" w:hAnsi="GHEA Grapalat"/>
          <w:sz w:val="22"/>
          <w:szCs w:val="22"/>
          <w:lang w:val="hy-AM"/>
        </w:rPr>
        <w:t xml:space="preserve"> ունենալու պահանջ, տնտեսական նորմատիվներ և այլն): </w:t>
      </w:r>
    </w:p>
    <w:p w14:paraId="4BE2F377" w14:textId="77777777" w:rsidR="00BA5F99" w:rsidRPr="0090176D" w:rsidRDefault="00BA5F99" w:rsidP="0098250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highlight w:val="yellow"/>
          <w:lang w:val="hy-AM"/>
        </w:rPr>
      </w:pPr>
      <w:r w:rsidRPr="00F94AAF">
        <w:rPr>
          <w:rFonts w:ascii="GHEA Grapalat" w:hAnsi="GHEA Grapalat"/>
          <w:sz w:val="22"/>
          <w:szCs w:val="22"/>
          <w:lang w:val="hy-AM"/>
        </w:rPr>
        <w:t xml:space="preserve">Բացի այդ, </w:t>
      </w:r>
      <w:r w:rsidRPr="00982502">
        <w:rPr>
          <w:rFonts w:ascii="GHEA Grapalat" w:hAnsi="GHEA Grapalat"/>
          <w:sz w:val="22"/>
          <w:szCs w:val="22"/>
          <w:lang w:val="hy-AM"/>
        </w:rPr>
        <w:t>օրենքի ընդունման դեպքում կտրվի բորսայում շրջանառվող ֆոնդի (ETF) սահմանումը, և կսահմանվեն դրա առանձնահատկությունները, ինչը հնարավորություն կտա ՀՀ-ում թողարկել ETF-ներ:</w:t>
      </w:r>
    </w:p>
    <w:p w14:paraId="40B27960" w14:textId="09DA6FB3" w:rsidR="00BF4076" w:rsidRDefault="009111A8" w:rsidP="00BF40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«Քաղաքացիական օրենսգրքի» փոփոխությունները համահունչ են «Ներդրումային ֆոնդերի</w:t>
      </w:r>
      <w:r w:rsidR="00600B49">
        <w:rPr>
          <w:rFonts w:ascii="GHEA Grapalat" w:hAnsi="GHEA Grapalat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օրենքի փոփոխություններին, ապահովում են 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կար</w:t>
      </w:r>
      <w:r w:rsidR="00BF4076">
        <w:rPr>
          <w:rFonts w:ascii="GHEA Grapalat" w:hAnsi="GHEA Grapalat"/>
          <w:sz w:val="22"/>
          <w:szCs w:val="22"/>
          <w:lang w:val="hy-AM"/>
        </w:rPr>
        <w:t>գավորումների</w:t>
      </w:r>
      <w:proofErr w:type="spellEnd"/>
      <w:r w:rsidR="00BF4076">
        <w:rPr>
          <w:rFonts w:ascii="GHEA Grapalat" w:hAnsi="GHEA Grapalat"/>
          <w:sz w:val="22"/>
          <w:szCs w:val="22"/>
          <w:lang w:val="hy-AM"/>
        </w:rPr>
        <w:t xml:space="preserve"> միասնականությունը։</w:t>
      </w:r>
    </w:p>
    <w:p w14:paraId="6274DDC0" w14:textId="7CD2C176" w:rsidR="009111A8" w:rsidRDefault="00BF4076" w:rsidP="00BF40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94AAF">
        <w:rPr>
          <w:rFonts w:ascii="GHEA Grapalat" w:hAnsi="GHEA Grapalat"/>
          <w:sz w:val="22"/>
          <w:szCs w:val="22"/>
          <w:lang w:val="hy-AM"/>
        </w:rPr>
        <w:t xml:space="preserve">«Կենտրոնական բանկի մասին» օրենքում </w:t>
      </w:r>
      <w:r w:rsidR="008039A2">
        <w:rPr>
          <w:rFonts w:ascii="GHEA Grapalat" w:hAnsi="GHEA Grapalat"/>
          <w:sz w:val="22"/>
          <w:szCs w:val="22"/>
          <w:lang w:val="hy-AM"/>
        </w:rPr>
        <w:t>փոփոխություններ</w:t>
      </w:r>
      <w:r w:rsidRPr="00F94AAF">
        <w:rPr>
          <w:rFonts w:ascii="GHEA Grapalat" w:hAnsi="GHEA Grapalat"/>
          <w:sz w:val="22"/>
          <w:szCs w:val="22"/>
          <w:lang w:val="hy-AM"/>
        </w:rPr>
        <w:t xml:space="preserve"> կատարելու </w:t>
      </w:r>
      <w:proofErr w:type="spellStart"/>
      <w:r w:rsidRPr="00F94AAF">
        <w:rPr>
          <w:rFonts w:ascii="GHEA Grapalat" w:hAnsi="GHEA Grapalat"/>
          <w:sz w:val="22"/>
          <w:szCs w:val="22"/>
          <w:lang w:val="hy-AM"/>
        </w:rPr>
        <w:t>հետևանքով</w:t>
      </w:r>
      <w:proofErr w:type="spellEnd"/>
      <w:r w:rsidRPr="00F94AAF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Կենտրոնական բանկը</w:t>
      </w:r>
      <w:r w:rsidRPr="00F94AAF">
        <w:rPr>
          <w:rFonts w:ascii="GHEA Grapalat" w:hAnsi="GHEA Grapalat"/>
          <w:sz w:val="22"/>
          <w:szCs w:val="22"/>
          <w:lang w:val="hy-AM"/>
        </w:rPr>
        <w:t xml:space="preserve"> հնարավորություն կունենա վերահսկողության նպատակներով ստուգումներ անցկացնել ոչ հրապարակային ֆոնդերի կառավարիչների մոտ: </w:t>
      </w:r>
    </w:p>
    <w:p w14:paraId="74BB0BB5" w14:textId="7F05352E" w:rsidR="00BA5F99" w:rsidRPr="000417BA" w:rsidRDefault="00BA5F99" w:rsidP="00F94A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94AAF">
        <w:rPr>
          <w:rFonts w:ascii="GHEA Grapalat" w:hAnsi="GHEA Grapalat"/>
          <w:sz w:val="22"/>
          <w:szCs w:val="22"/>
          <w:lang w:val="hy-AM"/>
        </w:rPr>
        <w:t>«</w:t>
      </w:r>
      <w:r w:rsidRPr="00D30FE1">
        <w:rPr>
          <w:rFonts w:ascii="GHEA Grapalat" w:hAnsi="GHEA Grapalat"/>
          <w:sz w:val="22"/>
          <w:szCs w:val="22"/>
          <w:lang w:val="hy-AM"/>
        </w:rPr>
        <w:t xml:space="preserve">Արժութային կարգավորման և արժութային վերահսկողության մասին» օրենքում լրացում կատարելու </w:t>
      </w:r>
      <w:proofErr w:type="spellStart"/>
      <w:r w:rsidRPr="00D30FE1">
        <w:rPr>
          <w:rFonts w:ascii="GHEA Grapalat" w:hAnsi="GHEA Grapalat"/>
          <w:sz w:val="22"/>
          <w:szCs w:val="22"/>
          <w:lang w:val="hy-AM"/>
        </w:rPr>
        <w:t>հետևանքով</w:t>
      </w:r>
      <w:proofErr w:type="spellEnd"/>
      <w:r w:rsidRPr="00D30FE1">
        <w:rPr>
          <w:rFonts w:ascii="GHEA Grapalat" w:hAnsi="GHEA Grapalat"/>
          <w:sz w:val="22"/>
          <w:szCs w:val="22"/>
          <w:lang w:val="hy-AM"/>
        </w:rPr>
        <w:t xml:space="preserve"> </w:t>
      </w:r>
      <w:r w:rsidR="00D32E20" w:rsidRPr="00D30FE1">
        <w:rPr>
          <w:rFonts w:ascii="GHEA Grapalat" w:hAnsi="GHEA Grapalat"/>
          <w:sz w:val="22"/>
          <w:szCs w:val="22"/>
          <w:lang w:val="hy-AM"/>
        </w:rPr>
        <w:t>պայմանագրային</w:t>
      </w:r>
      <w:r w:rsidRPr="00D30FE1">
        <w:rPr>
          <w:rFonts w:ascii="GHEA Grapalat" w:hAnsi="GHEA Grapalat"/>
          <w:sz w:val="22"/>
          <w:szCs w:val="22"/>
          <w:lang w:val="hy-AM"/>
        </w:rPr>
        <w:t xml:space="preserve"> ֆոնդերի փայերը կարող են </w:t>
      </w:r>
      <w:proofErr w:type="spellStart"/>
      <w:r w:rsidRPr="00D30FE1">
        <w:rPr>
          <w:rFonts w:ascii="GHEA Grapalat" w:hAnsi="GHEA Grapalat"/>
          <w:sz w:val="22"/>
          <w:szCs w:val="22"/>
          <w:lang w:val="hy-AM"/>
        </w:rPr>
        <w:t>գնանշվել</w:t>
      </w:r>
      <w:proofErr w:type="spellEnd"/>
      <w:r w:rsidRPr="00D30FE1">
        <w:rPr>
          <w:rFonts w:ascii="GHEA Grapalat" w:hAnsi="GHEA Grapalat"/>
          <w:sz w:val="22"/>
          <w:szCs w:val="22"/>
          <w:lang w:val="hy-AM"/>
        </w:rPr>
        <w:t xml:space="preserve"> արտարժույթով</w:t>
      </w:r>
      <w:r w:rsidR="00681572" w:rsidRPr="00D30FE1">
        <w:rPr>
          <w:rFonts w:ascii="GHEA Grapalat" w:hAnsi="GHEA Grapalat"/>
          <w:sz w:val="22"/>
          <w:szCs w:val="22"/>
          <w:lang w:val="hy-AM"/>
        </w:rPr>
        <w:t xml:space="preserve">: </w:t>
      </w:r>
      <w:r w:rsidR="00681572" w:rsidRPr="00D30FE1">
        <w:rPr>
          <w:rFonts w:ascii="GHEA Grapalat" w:hAnsi="GHEA Grapalat"/>
          <w:sz w:val="22"/>
          <w:szCs w:val="22"/>
          <w:lang w:val="hy-AM"/>
        </w:rPr>
        <w:lastRenderedPageBreak/>
        <w:t xml:space="preserve">Այդպիսի հնարավորություն ներկայումս նախատեսված է </w:t>
      </w:r>
      <w:r w:rsidR="008939AE" w:rsidRPr="00D30FE1">
        <w:rPr>
          <w:rFonts w:ascii="GHEA Grapalat" w:hAnsi="GHEA Grapalat"/>
          <w:sz w:val="22"/>
          <w:szCs w:val="22"/>
          <w:lang w:val="hy-AM"/>
        </w:rPr>
        <w:t xml:space="preserve"> Կենտրոնական բանկի խորհրդի պաշտոնական պարզաբանմամբ</w:t>
      </w:r>
      <w:r w:rsidR="00681572" w:rsidRPr="00D30FE1"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2"/>
      </w:r>
      <w:r w:rsidR="0046179C" w:rsidRPr="00D30FE1">
        <w:rPr>
          <w:rFonts w:ascii="GHEA Grapalat" w:hAnsi="GHEA Grapalat"/>
          <w:sz w:val="22"/>
          <w:szCs w:val="22"/>
          <w:lang w:val="hy-AM"/>
        </w:rPr>
        <w:t xml:space="preserve">, </w:t>
      </w:r>
      <w:r w:rsidR="00681572" w:rsidRPr="00D30FE1">
        <w:rPr>
          <w:rFonts w:ascii="GHEA Grapalat" w:hAnsi="GHEA Grapalat"/>
          <w:sz w:val="22"/>
          <w:szCs w:val="22"/>
          <w:lang w:val="hy-AM"/>
        </w:rPr>
        <w:t xml:space="preserve">իսկ օրենքում  </w:t>
      </w:r>
      <w:r w:rsidR="0046179C" w:rsidRPr="00D30FE1">
        <w:rPr>
          <w:rFonts w:ascii="GHEA Grapalat" w:hAnsi="GHEA Grapalat"/>
          <w:sz w:val="22"/>
          <w:szCs w:val="22"/>
          <w:lang w:val="hy-AM"/>
        </w:rPr>
        <w:t>ներառել</w:t>
      </w:r>
      <w:r w:rsidR="00681572" w:rsidRPr="00D30FE1">
        <w:rPr>
          <w:rFonts w:ascii="GHEA Grapalat" w:hAnsi="GHEA Grapalat"/>
          <w:sz w:val="22"/>
          <w:szCs w:val="22"/>
          <w:lang w:val="hy-AM"/>
        </w:rPr>
        <w:t>ու</w:t>
      </w:r>
      <w:r w:rsidR="0046179C" w:rsidRPr="00D30FE1">
        <w:rPr>
          <w:rFonts w:ascii="GHEA Grapalat" w:hAnsi="GHEA Grapalat"/>
          <w:sz w:val="22"/>
          <w:szCs w:val="22"/>
          <w:lang w:val="hy-AM"/>
        </w:rPr>
        <w:t xml:space="preserve"> </w:t>
      </w:r>
      <w:r w:rsidR="00681572" w:rsidRPr="00D30FE1">
        <w:rPr>
          <w:rFonts w:ascii="GHEA Grapalat" w:hAnsi="GHEA Grapalat"/>
          <w:sz w:val="22"/>
          <w:szCs w:val="22"/>
          <w:lang w:val="hy-AM"/>
        </w:rPr>
        <w:t xml:space="preserve">դեպքում </w:t>
      </w:r>
      <w:r w:rsidR="00681572">
        <w:rPr>
          <w:rFonts w:ascii="GHEA Grapalat" w:hAnsi="GHEA Grapalat"/>
          <w:sz w:val="22"/>
          <w:szCs w:val="22"/>
          <w:lang w:val="hy-AM"/>
        </w:rPr>
        <w:t xml:space="preserve">կարգավորումը կլինի առավել հստակ և տարաբնույթ մեկնաբանություններ չի առաջացնի։ </w:t>
      </w:r>
      <w:r w:rsidR="0046179C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BA0B67B" w14:textId="16AE611B" w:rsidR="009111A8" w:rsidRPr="00F94AAF" w:rsidRDefault="009111A8" w:rsidP="00F94A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111A8">
        <w:rPr>
          <w:rFonts w:ascii="GHEA Grapalat" w:hAnsi="GHEA Grapalat"/>
          <w:sz w:val="22"/>
          <w:szCs w:val="22"/>
          <w:lang w:val="hy-AM"/>
        </w:rPr>
        <w:t>«Փողերի լվացման և ահաբեկչության ֆինանսավորման դեմ պայքարի մասին»</w:t>
      </w:r>
      <w:r>
        <w:rPr>
          <w:rFonts w:ascii="GHEA Grapalat" w:hAnsi="GHEA Grapalat"/>
          <w:sz w:val="22"/>
          <w:szCs w:val="22"/>
          <w:lang w:val="hy-AM"/>
        </w:rPr>
        <w:t xml:space="preserve"> օրենքի փոփոխությունները կապահովեն օրենքի շրջանակներում 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հաշվետվողականությունը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ոչ հրապարակային ֆոնդերը կառավարող անձանց կողմից։ </w:t>
      </w:r>
    </w:p>
    <w:p w14:paraId="56665452" w14:textId="3718A27F" w:rsidR="00D32E20" w:rsidRPr="00BF4076" w:rsidRDefault="00BF4076" w:rsidP="00BF407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F4076">
        <w:rPr>
          <w:rFonts w:ascii="GHEA Grapalat" w:hAnsi="GHEA Grapalat"/>
          <w:sz w:val="22"/>
          <w:szCs w:val="22"/>
          <w:lang w:val="hy-AM"/>
        </w:rPr>
        <w:t xml:space="preserve">«Պետական տուրքի» մասին օրենքի </w:t>
      </w:r>
      <w:proofErr w:type="spellStart"/>
      <w:r w:rsidRPr="00BF4076">
        <w:rPr>
          <w:rFonts w:ascii="GHEA Grapalat" w:hAnsi="GHEA Grapalat"/>
          <w:sz w:val="22"/>
          <w:szCs w:val="22"/>
          <w:lang w:val="hy-AM"/>
        </w:rPr>
        <w:t>լրացմամբ</w:t>
      </w:r>
      <w:proofErr w:type="spellEnd"/>
      <w:r w:rsidRPr="00BF4076">
        <w:rPr>
          <w:rFonts w:ascii="GHEA Grapalat" w:hAnsi="GHEA Grapalat"/>
          <w:sz w:val="22"/>
          <w:szCs w:val="22"/>
          <w:lang w:val="hy-AM"/>
        </w:rPr>
        <w:t xml:space="preserve"> սահմանվում է պետական ոչ հրապարակային ֆոնդի կառավարման գործունեության իրականացման համար՝ </w:t>
      </w:r>
      <w:r>
        <w:rPr>
          <w:rFonts w:ascii="GHEA Grapalat" w:hAnsi="GHEA Grapalat"/>
          <w:sz w:val="22"/>
          <w:szCs w:val="22"/>
          <w:lang w:val="hy-AM"/>
        </w:rPr>
        <w:t xml:space="preserve">նույն 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տրամաբանուոթյամբ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և չափով, ինչպես հրապարակային ֆոնդերի կառավարիչների համար։ </w:t>
      </w:r>
      <w:r w:rsidRPr="00BF4076">
        <w:rPr>
          <w:rFonts w:ascii="GHEA Grapalat" w:hAnsi="GHEA Grapalat"/>
          <w:sz w:val="22"/>
          <w:szCs w:val="22"/>
          <w:lang w:val="hy-AM"/>
        </w:rPr>
        <w:t xml:space="preserve">   </w:t>
      </w:r>
    </w:p>
    <w:p w14:paraId="40CE9392" w14:textId="77777777" w:rsidR="00070715" w:rsidRDefault="00070715" w:rsidP="0098250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50001EE1" w14:textId="25891E2E" w:rsidR="00376943" w:rsidRPr="00376943" w:rsidRDefault="00376943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Անդրադառնալով առաջարկվող 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կարգավորումների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07278C">
        <w:rPr>
          <w:rFonts w:ascii="GHEA Grapalat" w:hAnsi="GHEA Grapalat"/>
          <w:b/>
          <w:sz w:val="22"/>
          <w:szCs w:val="22"/>
          <w:lang w:val="hy-AM"/>
        </w:rPr>
        <w:t>միջազգային փորձին</w:t>
      </w:r>
      <w:r>
        <w:rPr>
          <w:rFonts w:ascii="GHEA Grapalat" w:hAnsi="GHEA Grapalat"/>
          <w:sz w:val="22"/>
          <w:szCs w:val="22"/>
          <w:lang w:val="hy-AM"/>
        </w:rPr>
        <w:t>՝ հարկ է նշել, որ ա</w:t>
      </w:r>
      <w:r w:rsidRPr="00376943">
        <w:rPr>
          <w:rFonts w:ascii="GHEA Grapalat" w:hAnsi="GHEA Grapalat"/>
          <w:sz w:val="22"/>
          <w:szCs w:val="22"/>
          <w:lang w:val="hy-AM"/>
        </w:rPr>
        <w:t>շխարհում ոչ հրապարակային ֆոնդեր</w:t>
      </w:r>
      <w:r>
        <w:rPr>
          <w:rFonts w:ascii="GHEA Grapalat" w:hAnsi="GHEA Grapalat"/>
          <w:sz w:val="22"/>
          <w:szCs w:val="22"/>
          <w:lang w:val="hy-AM"/>
        </w:rPr>
        <w:t xml:space="preserve">ը </w:t>
      </w:r>
      <w:r w:rsidRPr="00376943">
        <w:rPr>
          <w:rFonts w:ascii="GHEA Grapalat" w:hAnsi="GHEA Grapalat"/>
          <w:sz w:val="22"/>
          <w:szCs w:val="22"/>
          <w:lang w:val="hy-AM"/>
        </w:rPr>
        <w:t>ֆինանսական համակարգերի համար</w:t>
      </w:r>
      <w:r>
        <w:rPr>
          <w:rFonts w:ascii="GHEA Grapalat" w:hAnsi="GHEA Grapalat"/>
          <w:sz w:val="22"/>
          <w:szCs w:val="22"/>
          <w:lang w:val="hy-AM"/>
        </w:rPr>
        <w:t xml:space="preserve"> շատ 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կարևոր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դեր են կատարում</w:t>
      </w:r>
      <w:r w:rsidRPr="00376943">
        <w:rPr>
          <w:rFonts w:ascii="GHEA Grapalat" w:hAnsi="GHEA Grapalat"/>
          <w:sz w:val="22"/>
          <w:szCs w:val="22"/>
          <w:lang w:val="hy-AM"/>
        </w:rPr>
        <w:t xml:space="preserve">։ Նրանց բաժին է ընկնում ֆինանսական շուկայում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առևտրի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զգալի մասը, դրանք հաճախ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կոնտրագենտի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ռիսկի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կարևոր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աղբյուր են հանդիսանում ֆինանսական շուկայի մյուս մասնակիցների համար, նպաստում են ֆինանսական շուկայում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լեվերիջի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աճին, որն ինչպես ակնհայտ դարձավ 2007-09թթ. ֆինանսական ճգնաժամի ժամանակ, կարող է լուրջ վտանգ ներկայացնել ֆինանսական կայունության տեսանկյունից: </w:t>
      </w:r>
    </w:p>
    <w:p w14:paraId="2FAD8B96" w14:textId="77777777" w:rsidR="00376943" w:rsidRPr="00376943" w:rsidRDefault="00376943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76943">
        <w:rPr>
          <w:rFonts w:ascii="GHEA Grapalat" w:hAnsi="GHEA Grapalat"/>
          <w:sz w:val="22"/>
          <w:szCs w:val="22"/>
          <w:lang w:val="hy-AM"/>
        </w:rPr>
        <w:t xml:space="preserve">Ճգնաժամը բացահայտեց մի շարք խնդիրներ և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ռիսկեր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այդ ոլորտում՝ թափանցիկության պակաս, ռիսկերի կառավարման և ակտիվների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պահառության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ձախողումներ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,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due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diligence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-ի թերացումներ և այլն։ Դա է պատճառը, որը ճգնաժամից անմիջապես հետո երկրներն այդ խնդիրներին արձագանքեցին կարգավորման և վերահսկողության ռեժիմի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խստացմամբ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` ԱՄՆ-ում ընդունվեց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Dodd-Frank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Wall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Street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Reform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and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Consumer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Protection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Act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-ը (2010), ԵՄ-ում՝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Alternative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Investment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Fund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Managers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Directive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>-ը (2011):</w:t>
      </w:r>
    </w:p>
    <w:p w14:paraId="2FD0B7E9" w14:textId="77777777" w:rsidR="00376943" w:rsidRDefault="00376943" w:rsidP="00376943">
      <w:pPr>
        <w:spacing w:line="276" w:lineRule="auto"/>
        <w:ind w:firstLine="36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752C24E2" w14:textId="77777777" w:rsidR="00376943" w:rsidRPr="00376943" w:rsidRDefault="00376943" w:rsidP="00376943">
      <w:pPr>
        <w:spacing w:line="276" w:lineRule="auto"/>
        <w:ind w:firstLine="36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376943">
        <w:rPr>
          <w:rFonts w:ascii="GHEA Grapalat" w:hAnsi="GHEA Grapalat"/>
          <w:b/>
          <w:sz w:val="22"/>
          <w:szCs w:val="22"/>
          <w:u w:val="single"/>
          <w:lang w:val="hy-AM"/>
        </w:rPr>
        <w:t>ԱՄՆ</w:t>
      </w:r>
    </w:p>
    <w:p w14:paraId="398FD7A1" w14:textId="77777777" w:rsidR="00376943" w:rsidRPr="00BA5F99" w:rsidRDefault="00376943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76943">
        <w:rPr>
          <w:rFonts w:ascii="GHEA Grapalat" w:hAnsi="GHEA Grapalat"/>
          <w:sz w:val="22"/>
          <w:szCs w:val="22"/>
          <w:lang w:val="hy-AM"/>
        </w:rPr>
        <w:t>Ճգնաժամին ի պա</w:t>
      </w:r>
      <w:r w:rsidR="00D47456">
        <w:rPr>
          <w:rFonts w:ascii="GHEA Grapalat" w:hAnsi="GHEA Grapalat"/>
          <w:sz w:val="22"/>
          <w:szCs w:val="22"/>
          <w:lang w:val="hy-AM"/>
        </w:rPr>
        <w:t>տասխան</w:t>
      </w:r>
      <w:r w:rsidRPr="00D47456">
        <w:rPr>
          <w:rFonts w:ascii="GHEA Grapalat" w:hAnsi="GHEA Grapalat"/>
          <w:sz w:val="22"/>
          <w:szCs w:val="22"/>
          <w:lang w:val="hy-AM"/>
        </w:rPr>
        <w:t xml:space="preserve"> </w:t>
      </w:r>
      <w:r w:rsidR="00D47456" w:rsidRPr="00D4745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D47456" w:rsidRPr="00D47456">
        <w:rPr>
          <w:rFonts w:ascii="GHEA Grapalat" w:hAnsi="GHEA Grapalat"/>
          <w:sz w:val="22"/>
          <w:szCs w:val="22"/>
          <w:lang w:val="hy-AM"/>
        </w:rPr>
        <w:t>Դոդդ</w:t>
      </w:r>
      <w:proofErr w:type="spellEnd"/>
      <w:r w:rsidR="00D47456" w:rsidRPr="00D47456">
        <w:rPr>
          <w:rFonts w:ascii="GHEA Grapalat" w:hAnsi="GHEA Grapalat"/>
          <w:sz w:val="22"/>
          <w:szCs w:val="22"/>
          <w:lang w:val="hy-AM"/>
        </w:rPr>
        <w:t xml:space="preserve">-Ֆրանկ </w:t>
      </w:r>
      <w:proofErr w:type="spellStart"/>
      <w:r w:rsidR="00D47456" w:rsidRPr="00D47456">
        <w:rPr>
          <w:rFonts w:ascii="GHEA Grapalat" w:hAnsi="GHEA Grapalat"/>
          <w:sz w:val="22"/>
          <w:szCs w:val="22"/>
          <w:lang w:val="hy-AM"/>
        </w:rPr>
        <w:t>Ուոլ</w:t>
      </w:r>
      <w:proofErr w:type="spellEnd"/>
      <w:r w:rsidR="00D47456" w:rsidRPr="00D47456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D47456" w:rsidRPr="00D47456">
        <w:rPr>
          <w:rFonts w:ascii="GHEA Grapalat" w:hAnsi="GHEA Grapalat"/>
          <w:sz w:val="22"/>
          <w:szCs w:val="22"/>
          <w:lang w:val="hy-AM"/>
        </w:rPr>
        <w:t>Սթրիթի</w:t>
      </w:r>
      <w:proofErr w:type="spellEnd"/>
      <w:r w:rsidR="00D47456" w:rsidRPr="00D47456">
        <w:rPr>
          <w:rFonts w:ascii="GHEA Grapalat" w:hAnsi="GHEA Grapalat"/>
          <w:sz w:val="22"/>
          <w:szCs w:val="22"/>
          <w:lang w:val="hy-AM"/>
        </w:rPr>
        <w:t xml:space="preserve"> բարեփոխումների և սպառողների պաշտպանության մասին»</w:t>
      </w:r>
      <w:r w:rsidR="00D47456" w:rsidRPr="00D47456">
        <w:rPr>
          <w:lang w:val="hy-AM"/>
        </w:rPr>
        <w:t xml:space="preserve"> </w:t>
      </w:r>
      <w:r w:rsidR="00D47456">
        <w:rPr>
          <w:rFonts w:ascii="GHEA Grapalat" w:hAnsi="GHEA Grapalat"/>
          <w:sz w:val="22"/>
          <w:szCs w:val="22"/>
          <w:lang w:val="hy-AM"/>
        </w:rPr>
        <w:t>ակտով</w:t>
      </w:r>
      <w:r w:rsidRPr="00D47456">
        <w:footnoteReference w:id="3"/>
      </w:r>
      <w:r w:rsidRPr="00376943">
        <w:rPr>
          <w:rFonts w:ascii="GHEA Grapalat" w:hAnsi="GHEA Grapalat"/>
          <w:sz w:val="22"/>
          <w:szCs w:val="22"/>
          <w:lang w:val="hy-AM"/>
        </w:rPr>
        <w:t>-ով սահմանվ</w:t>
      </w:r>
      <w:bookmarkStart w:id="2" w:name="_GoBack"/>
      <w:bookmarkEnd w:id="2"/>
      <w:r w:rsidRPr="00376943">
        <w:rPr>
          <w:rFonts w:ascii="GHEA Grapalat" w:hAnsi="GHEA Grapalat"/>
          <w:sz w:val="22"/>
          <w:szCs w:val="22"/>
          <w:lang w:val="hy-AM"/>
        </w:rPr>
        <w:t xml:space="preserve">ել է Արժեթղթերի և Բորսաների Հանձնաժողովում (SEC) գրանցման, և դրա հետ կապված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հաշվետվողականության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>, ներքին հսկողության պահանջներ որոշ ոչ հրապարակային ֆոնդերի կառավարիչների նկատմամբ: Մասնավորապես, ոչ հրապարակային ֆոնդերի կառավարիչները, որոնց կառավարման ներքո գտնվող ոչ հրապարակային ֆոնդերի ակտիվները գերազանցում են 150 մլն դոլարը, ենթակա են գրանցման SEC-ում: Դա ենթադրում է հրապարակային ֆոնդերի կառավարիչների նկատմամբ կիրառվող պահանջների տարածում նաև ոչ հրապարակային ֆոնդերի կառավարիչների նկատմամբ, այդ թվում՝ ներքին հսկողության (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compliance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) համակարգի ներդրում, կառավարիչների և ֆոնդերի վերաբերյալ SEC-ին հաշվետվությունների ներկայացում, հաճախորդներին տեղեկությունների բացահայտում և այլն: Այն կառավարիչների համար, որոնք ենթակա չեն գրանցման SEC-ում՝ կառավարման ներքո գտնվող ակտիվների փոքր ծավալների պատճառով, այնուամենայնիվ, սահմանվել են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հաշվետվողականության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պահանջներ (SEC-ն իրավունք ունի նաև իրականացնելու ստուգումներ դրանցում): </w:t>
      </w:r>
    </w:p>
    <w:p w14:paraId="5E501A1F" w14:textId="77777777" w:rsidR="00376943" w:rsidRPr="00376943" w:rsidRDefault="00376943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76943">
        <w:rPr>
          <w:rFonts w:ascii="GHEA Grapalat" w:hAnsi="GHEA Grapalat"/>
          <w:sz w:val="22"/>
          <w:szCs w:val="22"/>
          <w:lang w:val="hy-AM"/>
        </w:rPr>
        <w:lastRenderedPageBreak/>
        <w:t>Այս պահանջների շնորհիվ կարգավորող մարմինները (SEC, FSOC և այլ) ստանում են բավարար տեղեկատվություն գոյություն ունեցող ֆոնդերի և դրանց կառավարիչների մասին՝ համակարգային ռիսկերը գնահատելու, չարաշահումները բացահայտելու և ներդրողների շահերի պաշտպանության գործառույթները կատարելու համար։</w:t>
      </w:r>
    </w:p>
    <w:p w14:paraId="420700E9" w14:textId="77777777" w:rsidR="00376943" w:rsidRDefault="00376943" w:rsidP="00376943">
      <w:pPr>
        <w:spacing w:line="276" w:lineRule="auto"/>
        <w:ind w:firstLine="36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1BAC8D5" w14:textId="77777777" w:rsidR="00376943" w:rsidRPr="00376943" w:rsidRDefault="00376943" w:rsidP="00376943">
      <w:pPr>
        <w:spacing w:line="276" w:lineRule="auto"/>
        <w:ind w:firstLine="36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376943">
        <w:rPr>
          <w:rFonts w:ascii="GHEA Grapalat" w:hAnsi="GHEA Grapalat"/>
          <w:b/>
          <w:sz w:val="22"/>
          <w:szCs w:val="22"/>
          <w:u w:val="single"/>
          <w:lang w:val="hy-AM"/>
        </w:rPr>
        <w:t>ԵՄ</w:t>
      </w:r>
    </w:p>
    <w:p w14:paraId="15B75339" w14:textId="77777777" w:rsidR="00376943" w:rsidRPr="00376943" w:rsidRDefault="007615C0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7615C0">
        <w:rPr>
          <w:rFonts w:ascii="GHEA Grapalat" w:hAnsi="GHEA Grapalat"/>
          <w:sz w:val="22"/>
          <w:szCs w:val="22"/>
          <w:lang w:val="hy-AM"/>
        </w:rPr>
        <w:t>2011/61/</w:t>
      </w:r>
      <w:r>
        <w:rPr>
          <w:rFonts w:ascii="GHEA Grapalat" w:hAnsi="GHEA Grapalat"/>
          <w:sz w:val="22"/>
          <w:szCs w:val="22"/>
          <w:lang w:val="hy-AM"/>
        </w:rPr>
        <w:t>ԵՄ հրահանգով</w:t>
      </w:r>
      <w:r>
        <w:rPr>
          <w:rStyle w:val="FootnoteReference"/>
          <w:rFonts w:ascii="GHEA Grapalat" w:hAnsi="GHEA Grapalat"/>
          <w:sz w:val="22"/>
          <w:szCs w:val="22"/>
          <w:lang w:val="hy-AM"/>
        </w:rPr>
        <w:footnoteReference w:id="4"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376943" w:rsidRPr="00376943">
        <w:rPr>
          <w:rFonts w:ascii="GHEA Grapalat" w:hAnsi="GHEA Grapalat"/>
          <w:sz w:val="22"/>
          <w:szCs w:val="22"/>
          <w:lang w:val="hy-AM"/>
        </w:rPr>
        <w:t xml:space="preserve">սահմանված է ֆոնդերի ընդհանուր ակտիվների նվազագույն ծավալ, որը գերազանցելու դեպքում այդ ֆոնդերի կառավարիչները պետք է </w:t>
      </w:r>
      <w:proofErr w:type="spellStart"/>
      <w:r w:rsidR="00376943" w:rsidRPr="00376943">
        <w:rPr>
          <w:rFonts w:ascii="GHEA Grapalat" w:hAnsi="GHEA Grapalat"/>
          <w:sz w:val="22"/>
          <w:szCs w:val="22"/>
          <w:lang w:val="hy-AM"/>
        </w:rPr>
        <w:t>լիցենզավորվեն</w:t>
      </w:r>
      <w:proofErr w:type="spellEnd"/>
      <w:r w:rsidR="00376943" w:rsidRPr="00376943">
        <w:rPr>
          <w:rFonts w:ascii="GHEA Grapalat" w:hAnsi="GHEA Grapalat"/>
          <w:sz w:val="22"/>
          <w:szCs w:val="22"/>
          <w:lang w:val="hy-AM"/>
        </w:rPr>
        <w:t xml:space="preserve"> կարգավորող մարմնի կողմից։ Մասնավորապես այն կառավարիչները, որոնց կառավարման ներքո գտնվող ֆոնդերի ակտիվները գերազանցում են 100 մլն </w:t>
      </w:r>
      <w:proofErr w:type="spellStart"/>
      <w:r w:rsidR="00376943" w:rsidRPr="00376943">
        <w:rPr>
          <w:rFonts w:ascii="GHEA Grapalat" w:hAnsi="GHEA Grapalat"/>
          <w:sz w:val="22"/>
          <w:szCs w:val="22"/>
          <w:lang w:val="hy-AM"/>
        </w:rPr>
        <w:t>եվրոն</w:t>
      </w:r>
      <w:proofErr w:type="spellEnd"/>
      <w:r w:rsidR="00376943" w:rsidRPr="00376943">
        <w:rPr>
          <w:rFonts w:ascii="GHEA Grapalat" w:hAnsi="GHEA Grapalat"/>
          <w:sz w:val="22"/>
          <w:szCs w:val="22"/>
          <w:lang w:val="hy-AM"/>
        </w:rPr>
        <w:t>, ենթակա են լիցենզավորման (</w:t>
      </w:r>
      <w:proofErr w:type="spellStart"/>
      <w:r w:rsidR="00376943" w:rsidRPr="00376943">
        <w:rPr>
          <w:rFonts w:ascii="GHEA Grapalat" w:hAnsi="GHEA Grapalat"/>
          <w:sz w:val="22"/>
          <w:szCs w:val="22"/>
          <w:lang w:val="hy-AM"/>
        </w:rPr>
        <w:t>authorization</w:t>
      </w:r>
      <w:proofErr w:type="spellEnd"/>
      <w:r w:rsidR="00376943" w:rsidRPr="00376943">
        <w:rPr>
          <w:rFonts w:ascii="GHEA Grapalat" w:hAnsi="GHEA Grapalat"/>
          <w:sz w:val="22"/>
          <w:szCs w:val="22"/>
          <w:lang w:val="hy-AM"/>
        </w:rPr>
        <w:t>) կարգավորող մարմնի կողմից (</w:t>
      </w:r>
      <w:proofErr w:type="spellStart"/>
      <w:r w:rsidR="00376943" w:rsidRPr="00376943">
        <w:rPr>
          <w:rFonts w:ascii="GHEA Grapalat" w:hAnsi="GHEA Grapalat"/>
          <w:sz w:val="22"/>
          <w:szCs w:val="22"/>
          <w:lang w:val="hy-AM"/>
        </w:rPr>
        <w:t>լեվերիջ</w:t>
      </w:r>
      <w:proofErr w:type="spellEnd"/>
      <w:r w:rsidR="00376943" w:rsidRPr="00376943">
        <w:rPr>
          <w:rFonts w:ascii="GHEA Grapalat" w:hAnsi="GHEA Grapalat"/>
          <w:sz w:val="22"/>
          <w:szCs w:val="22"/>
          <w:lang w:val="hy-AM"/>
        </w:rPr>
        <w:t xml:space="preserve"> չունեցող և ներդրողների համար 5 տարվա ներդրման նվազագույն ժամկետ սահմանող ֆոնդերի դեպքում այդ սահմանաչափը 500 մլն </w:t>
      </w:r>
      <w:proofErr w:type="spellStart"/>
      <w:r w:rsidR="00376943" w:rsidRPr="00376943">
        <w:rPr>
          <w:rFonts w:ascii="GHEA Grapalat" w:hAnsi="GHEA Grapalat"/>
          <w:sz w:val="22"/>
          <w:szCs w:val="22"/>
          <w:lang w:val="hy-AM"/>
        </w:rPr>
        <w:t>եվրո</w:t>
      </w:r>
      <w:proofErr w:type="spellEnd"/>
      <w:r w:rsidR="00376943" w:rsidRPr="00376943">
        <w:rPr>
          <w:rFonts w:ascii="GHEA Grapalat" w:hAnsi="GHEA Grapalat"/>
          <w:sz w:val="22"/>
          <w:szCs w:val="22"/>
          <w:lang w:val="hy-AM"/>
        </w:rPr>
        <w:t xml:space="preserve"> է)։</w:t>
      </w:r>
    </w:p>
    <w:p w14:paraId="35005BE5" w14:textId="77777777" w:rsidR="00376943" w:rsidRPr="00376943" w:rsidRDefault="00376943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76943">
        <w:rPr>
          <w:rFonts w:ascii="GHEA Grapalat" w:hAnsi="GHEA Grapalat"/>
          <w:sz w:val="22"/>
          <w:szCs w:val="22"/>
          <w:lang w:val="hy-AM"/>
        </w:rPr>
        <w:t>Ընդհանուր առմամբ, սահմանվել են լիցենզավորման</w:t>
      </w:r>
      <w:r w:rsidR="00381D33">
        <w:rPr>
          <w:rFonts w:ascii="GHEA Grapalat" w:hAnsi="GHEA Grapalat"/>
          <w:sz w:val="22"/>
          <w:szCs w:val="22"/>
          <w:lang w:val="hy-AM"/>
        </w:rPr>
        <w:t xml:space="preserve"> </w:t>
      </w:r>
      <w:r w:rsidR="00381D33" w:rsidRPr="00381D33">
        <w:rPr>
          <w:rFonts w:ascii="GHEA Grapalat" w:hAnsi="GHEA Grapalat"/>
          <w:sz w:val="22"/>
          <w:szCs w:val="22"/>
          <w:lang w:val="hy-AM"/>
        </w:rPr>
        <w:t>(</w:t>
      </w:r>
      <w:r w:rsidRPr="00376943">
        <w:rPr>
          <w:rFonts w:ascii="GHEA Grapalat" w:hAnsi="GHEA Grapalat"/>
          <w:sz w:val="22"/>
          <w:szCs w:val="22"/>
          <w:lang w:val="hy-AM"/>
        </w:rPr>
        <w:t>թույլտվության</w:t>
      </w:r>
      <w:r w:rsidR="00381D33" w:rsidRPr="00381D33">
        <w:rPr>
          <w:rFonts w:ascii="GHEA Grapalat" w:hAnsi="GHEA Grapalat"/>
          <w:sz w:val="22"/>
          <w:szCs w:val="22"/>
          <w:lang w:val="hy-AM"/>
        </w:rPr>
        <w:t>)</w:t>
      </w:r>
      <w:r w:rsidRPr="00376943">
        <w:rPr>
          <w:rFonts w:ascii="GHEA Grapalat" w:hAnsi="GHEA Grapalat"/>
          <w:sz w:val="22"/>
          <w:szCs w:val="22"/>
          <w:lang w:val="hy-AM"/>
        </w:rPr>
        <w:t xml:space="preserve">, նվազագույն կապիտալի, ռիսկերի կառավարման,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պորտֆելի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կառավարման, կառավարման և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պահառության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գործառույթների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պատվիրակման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և այլ պահանջներ:</w:t>
      </w:r>
    </w:p>
    <w:p w14:paraId="69D21DC8" w14:textId="77777777" w:rsidR="00376943" w:rsidRPr="00376943" w:rsidRDefault="00376943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76943">
        <w:rPr>
          <w:rFonts w:ascii="GHEA Grapalat" w:hAnsi="GHEA Grapalat"/>
          <w:sz w:val="22"/>
          <w:szCs w:val="22"/>
          <w:lang w:val="hy-AM"/>
        </w:rPr>
        <w:t xml:space="preserve">Հատկանշական է, որ կարգավորող մարմնի կողմից գրանցման և հաշվետվություններ ներկայացնելու պահանջները տարածվում են նաև ակտիվների ծավալի նվազագույն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սահմանաչափին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չբավարարող (100 մլն </w:t>
      </w:r>
      <w:proofErr w:type="spellStart"/>
      <w:r w:rsidRPr="00376943">
        <w:rPr>
          <w:rFonts w:ascii="GHEA Grapalat" w:hAnsi="GHEA Grapalat"/>
          <w:sz w:val="22"/>
          <w:szCs w:val="22"/>
          <w:lang w:val="hy-AM"/>
        </w:rPr>
        <w:t>եվրոյից</w:t>
      </w:r>
      <w:proofErr w:type="spellEnd"/>
      <w:r w:rsidRPr="00376943">
        <w:rPr>
          <w:rFonts w:ascii="GHEA Grapalat" w:hAnsi="GHEA Grapalat"/>
          <w:sz w:val="22"/>
          <w:szCs w:val="22"/>
          <w:lang w:val="hy-AM"/>
        </w:rPr>
        <w:t xml:space="preserve"> պակաս ակտիվներ կառավարող) ֆոնդերի կառավարիչների նկատմամբ:</w:t>
      </w:r>
    </w:p>
    <w:p w14:paraId="3CCD6756" w14:textId="77777777" w:rsidR="00376943" w:rsidRPr="00750252" w:rsidRDefault="00376943" w:rsidP="00750252">
      <w:pPr>
        <w:tabs>
          <w:tab w:val="left" w:pos="810"/>
        </w:tabs>
        <w:spacing w:line="276" w:lineRule="auto"/>
        <w:ind w:right="23"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2F021460" w14:textId="097A1B0B" w:rsidR="0026553C" w:rsidRPr="00750252" w:rsidRDefault="0026553C" w:rsidP="00750252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ind w:right="23"/>
        <w:jc w:val="both"/>
        <w:rPr>
          <w:rFonts w:ascii="GHEA Grapalat" w:hAnsi="GHEA Grapalat" w:cs="GHEA Mariam"/>
          <w:b/>
          <w:sz w:val="22"/>
          <w:szCs w:val="22"/>
          <w:lang w:val="pt-BR"/>
        </w:rPr>
      </w:pPr>
      <w:r w:rsidRPr="00750252">
        <w:rPr>
          <w:rFonts w:ascii="GHEA Grapalat" w:hAnsi="GHEA Grapalat" w:cs="GHEA Mariam"/>
          <w:b/>
          <w:sz w:val="22"/>
          <w:szCs w:val="22"/>
          <w:lang w:val="hy-AM"/>
        </w:rPr>
        <w:t>Նախագծի մշակման գործընթացում ներգրավված ինստիտուտները և անձինք</w:t>
      </w:r>
    </w:p>
    <w:p w14:paraId="7DD4814F" w14:textId="77777777" w:rsidR="0026553C" w:rsidRPr="00750252" w:rsidRDefault="0026553C" w:rsidP="00E11C92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pt-BR"/>
        </w:rPr>
      </w:pPr>
      <w:proofErr w:type="spellStart"/>
      <w:r w:rsidRPr="00750252">
        <w:rPr>
          <w:rFonts w:ascii="GHEA Grapalat" w:hAnsi="GHEA Grapalat"/>
          <w:bCs/>
          <w:color w:val="000000"/>
          <w:sz w:val="22"/>
          <w:szCs w:val="22"/>
          <w:lang w:val="hy-AM"/>
        </w:rPr>
        <w:t>Նախագ</w:t>
      </w:r>
      <w:r w:rsidRPr="00750252">
        <w:rPr>
          <w:rFonts w:ascii="GHEA Grapalat" w:hAnsi="GHEA Grapalat"/>
          <w:bCs/>
          <w:color w:val="000000"/>
          <w:sz w:val="22"/>
          <w:szCs w:val="22"/>
          <w:lang w:val="en-US"/>
        </w:rPr>
        <w:t>իծ</w:t>
      </w:r>
      <w:proofErr w:type="spellEnd"/>
      <w:r w:rsidRPr="0075025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ը մշակվել </w:t>
      </w:r>
      <w:r w:rsidRPr="00750252">
        <w:rPr>
          <w:rFonts w:ascii="GHEA Grapalat" w:hAnsi="GHEA Grapalat"/>
          <w:bCs/>
          <w:color w:val="000000"/>
          <w:sz w:val="22"/>
          <w:szCs w:val="22"/>
          <w:lang w:val="en-US"/>
        </w:rPr>
        <w:t>է</w:t>
      </w:r>
      <w:r w:rsidRPr="00750252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ՀՀ կենտրոնական բանկի</w:t>
      </w:r>
      <w:r w:rsidRPr="00750252">
        <w:rPr>
          <w:rFonts w:ascii="GHEA Grapalat" w:hAnsi="GHEA Grapalat"/>
          <w:bCs/>
          <w:color w:val="000000"/>
          <w:sz w:val="22"/>
          <w:szCs w:val="22"/>
          <w:lang w:val="pt-BR"/>
        </w:rPr>
        <w:t xml:space="preserve"> </w:t>
      </w:r>
      <w:proofErr w:type="spellStart"/>
      <w:r w:rsidRPr="00750252">
        <w:rPr>
          <w:rFonts w:ascii="GHEA Grapalat" w:hAnsi="GHEA Grapalat" w:cs="Sylfaen"/>
          <w:sz w:val="22"/>
          <w:szCs w:val="22"/>
          <w:lang w:val="en-US"/>
        </w:rPr>
        <w:t>կողմից</w:t>
      </w:r>
      <w:proofErr w:type="spellEnd"/>
      <w:r w:rsidR="005B7F58" w:rsidRPr="00750252">
        <w:rPr>
          <w:rFonts w:ascii="GHEA Grapalat" w:hAnsi="GHEA Grapalat" w:cs="Sylfaen"/>
          <w:sz w:val="22"/>
          <w:szCs w:val="22"/>
          <w:lang w:val="hy-AM"/>
        </w:rPr>
        <w:t>։ Քննարկվել և նկատի են առնվել ներդրումային ֆոնդերի շուկայում ներգրավված անձանց դիտարկումները</w:t>
      </w:r>
      <w:r w:rsidRPr="00750252">
        <w:rPr>
          <w:rFonts w:ascii="GHEA Grapalat" w:hAnsi="GHEA Grapalat" w:cs="Sylfaen"/>
          <w:sz w:val="22"/>
          <w:szCs w:val="22"/>
          <w:lang w:val="pt-BR"/>
        </w:rPr>
        <w:t>:</w:t>
      </w:r>
    </w:p>
    <w:p w14:paraId="5C71BD1E" w14:textId="77777777" w:rsidR="005B7F58" w:rsidRPr="00750252" w:rsidRDefault="005B7F58" w:rsidP="00750252">
      <w:pPr>
        <w:spacing w:line="276" w:lineRule="auto"/>
        <w:ind w:right="23" w:firstLine="709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14:paraId="127106D6" w14:textId="2C6C2879" w:rsidR="0026553C" w:rsidRPr="00750252" w:rsidRDefault="0026553C" w:rsidP="00750252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ind w:right="23"/>
        <w:jc w:val="both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750252">
        <w:rPr>
          <w:rFonts w:ascii="GHEA Grapalat" w:hAnsi="GHEA Grapalat"/>
          <w:b/>
          <w:sz w:val="22"/>
          <w:szCs w:val="22"/>
          <w:lang w:val="pt-BR"/>
        </w:rPr>
        <w:t>Ակնկալվող արդյունքը</w:t>
      </w:r>
    </w:p>
    <w:p w14:paraId="151FF88A" w14:textId="78585D56" w:rsidR="005B7F58" w:rsidRPr="00E11C92" w:rsidRDefault="005B7F58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E11C92">
        <w:rPr>
          <w:rFonts w:ascii="GHEA Grapalat" w:hAnsi="GHEA Grapalat"/>
          <w:sz w:val="22"/>
          <w:szCs w:val="22"/>
          <w:lang w:val="hy-AM"/>
        </w:rPr>
        <w:t xml:space="preserve">Նախագծերի ընդունման արդյունքում ներդրումային ֆոնդերի ոլորտում </w:t>
      </w:r>
      <w:proofErr w:type="spellStart"/>
      <w:r w:rsidRPr="00E11C92">
        <w:rPr>
          <w:rFonts w:ascii="GHEA Grapalat" w:hAnsi="GHEA Grapalat"/>
          <w:sz w:val="22"/>
          <w:szCs w:val="22"/>
          <w:lang w:val="hy-AM"/>
        </w:rPr>
        <w:t>կձևավորվի</w:t>
      </w:r>
      <w:proofErr w:type="spellEnd"/>
      <w:r w:rsidRPr="00E11C92">
        <w:rPr>
          <w:rFonts w:ascii="GHEA Grapalat" w:hAnsi="GHEA Grapalat"/>
          <w:sz w:val="22"/>
          <w:szCs w:val="22"/>
          <w:lang w:val="hy-AM"/>
        </w:rPr>
        <w:t xml:space="preserve"> արդար և հավասար կարգավորման դաշտ, կհստակեցվեն ոչ հրապարակային ֆոնդերի ստեղծման, հետագա գործունեության և լուծարման ընթացակարգերը, կսահմանվեն միջազգային լավագույն փորձին համապատասխան ոչ հրապարակային ֆոնդերի կառավարիչների ստեղծման և գործունեության պայմանները, </w:t>
      </w:r>
      <w:proofErr w:type="spellStart"/>
      <w:r w:rsidRPr="00E11C92">
        <w:rPr>
          <w:rFonts w:ascii="GHEA Grapalat" w:hAnsi="GHEA Grapalat"/>
          <w:sz w:val="22"/>
          <w:szCs w:val="22"/>
          <w:lang w:val="hy-AM"/>
        </w:rPr>
        <w:t>կներդրվեն</w:t>
      </w:r>
      <w:proofErr w:type="spellEnd"/>
      <w:r w:rsidRPr="00E11C92">
        <w:rPr>
          <w:rFonts w:ascii="GHEA Grapalat" w:hAnsi="GHEA Grapalat"/>
          <w:sz w:val="22"/>
          <w:szCs w:val="22"/>
          <w:lang w:val="hy-AM"/>
        </w:rPr>
        <w:t xml:space="preserve"> ներդրողների շահերի պաշտպանության անհրաժեշտ նվազագույն պայմանները՝ բավարար ճկունություն տալով ֆոնդերի կառավարման հարցում և հաշվի առնելով ֆոնդերի տարբեր տեսակների առանձնահատկությունները: </w:t>
      </w:r>
      <w:proofErr w:type="spellStart"/>
      <w:r w:rsidRPr="00E11C92">
        <w:rPr>
          <w:rFonts w:ascii="GHEA Grapalat" w:hAnsi="GHEA Grapalat"/>
          <w:sz w:val="22"/>
          <w:szCs w:val="22"/>
          <w:lang w:val="hy-AM"/>
        </w:rPr>
        <w:t>Միևնույն</w:t>
      </w:r>
      <w:proofErr w:type="spellEnd"/>
      <w:r w:rsidRPr="00E11C92">
        <w:rPr>
          <w:rFonts w:ascii="GHEA Grapalat" w:hAnsi="GHEA Grapalat"/>
          <w:sz w:val="22"/>
          <w:szCs w:val="22"/>
          <w:lang w:val="hy-AM"/>
        </w:rPr>
        <w:t xml:space="preserve"> ժամանակ վերահսկող մարմինը հնարավորություն կունենա իր </w:t>
      </w:r>
      <w:proofErr w:type="spellStart"/>
      <w:r w:rsidRPr="00E11C92">
        <w:rPr>
          <w:rFonts w:ascii="GHEA Grapalat" w:hAnsi="GHEA Grapalat"/>
          <w:sz w:val="22"/>
          <w:szCs w:val="22"/>
          <w:lang w:val="hy-AM"/>
        </w:rPr>
        <w:t>գործիքակազմի</w:t>
      </w:r>
      <w:proofErr w:type="spellEnd"/>
      <w:r w:rsidRPr="00E11C92">
        <w:rPr>
          <w:rFonts w:ascii="GHEA Grapalat" w:hAnsi="GHEA Grapalat"/>
          <w:sz w:val="22"/>
          <w:szCs w:val="22"/>
          <w:lang w:val="hy-AM"/>
        </w:rPr>
        <w:t xml:space="preserve"> կիրառմամբ իրականացնել ոչ հրապարակային ֆոնդերի և դրանց կառավարիչների նկատմամբ արդյունավետ վերահսկողություն՝ նվազեցնելով առկա և հնարավոր ռիսկերը, ինչպես նաև նորմատիվ իրավական ակտեր ընդունելու միջոցով սահմանել լրացուցիչ պահանջներ ոչ հրապարակային ֆոնդերի և դրանց կառավարիչների նկատմամբ՝ ներդրողների շահերի պաշտպանության, ֆինանսական կայունության ապահովման և տարաբնույթ</w:t>
      </w:r>
      <w:r w:rsidR="00027D71">
        <w:rPr>
          <w:rFonts w:ascii="GHEA Grapalat" w:hAnsi="GHEA Grapalat"/>
          <w:sz w:val="22"/>
          <w:szCs w:val="22"/>
          <w:lang w:val="hy-AM"/>
        </w:rPr>
        <w:t xml:space="preserve"> այլ</w:t>
      </w:r>
      <w:r w:rsidRPr="00E11C92">
        <w:rPr>
          <w:rFonts w:ascii="GHEA Grapalat" w:hAnsi="GHEA Grapalat"/>
          <w:sz w:val="22"/>
          <w:szCs w:val="22"/>
          <w:lang w:val="hy-AM"/>
        </w:rPr>
        <w:t xml:space="preserve"> ռիսկերի զսպման նպատակով: Այս ամենը </w:t>
      </w:r>
      <w:r w:rsidRPr="00E11C92">
        <w:rPr>
          <w:rFonts w:ascii="GHEA Grapalat" w:hAnsi="GHEA Grapalat"/>
          <w:sz w:val="22"/>
          <w:szCs w:val="22"/>
          <w:lang w:val="hy-AM"/>
        </w:rPr>
        <w:lastRenderedPageBreak/>
        <w:t>կնպաստի ներդրումային ֆոնդերի ոլորտի զարգացման համար անհրաժեշտ նախապայմանների ստեղծմանը:</w:t>
      </w:r>
    </w:p>
    <w:p w14:paraId="068E93D6" w14:textId="77777777" w:rsidR="005B7F58" w:rsidRPr="00750252" w:rsidRDefault="005B7F58" w:rsidP="00750252">
      <w:pPr>
        <w:pStyle w:val="ListParagraph"/>
        <w:spacing w:line="276" w:lineRule="auto"/>
        <w:ind w:left="900"/>
        <w:jc w:val="both"/>
        <w:rPr>
          <w:rFonts w:ascii="GHEA Grapalat" w:hAnsi="GHEA Grapalat"/>
          <w:sz w:val="22"/>
          <w:szCs w:val="22"/>
          <w:lang w:val="hy-AM"/>
        </w:rPr>
      </w:pPr>
    </w:p>
    <w:p w14:paraId="26CA3A15" w14:textId="4C597BA1" w:rsidR="0026553C" w:rsidRPr="00750252" w:rsidRDefault="0026553C" w:rsidP="00750252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ind w:right="23"/>
        <w:jc w:val="both"/>
        <w:rPr>
          <w:rFonts w:ascii="GHEA Grapalat" w:hAnsi="GHEA Grapalat"/>
          <w:b/>
          <w:sz w:val="22"/>
          <w:szCs w:val="22"/>
          <w:lang w:val="pt-BR"/>
        </w:rPr>
      </w:pPr>
      <w:r w:rsidRPr="00750252">
        <w:rPr>
          <w:rFonts w:ascii="GHEA Grapalat" w:hAnsi="GHEA Grapalat"/>
          <w:b/>
          <w:sz w:val="22"/>
          <w:szCs w:val="22"/>
          <w:lang w:val="pt-BR"/>
        </w:rPr>
        <w:t>Ակտի նորմատիվ բնույթի հիմնավորվածությունը</w:t>
      </w:r>
    </w:p>
    <w:p w14:paraId="3722FA17" w14:textId="7101A938" w:rsidR="0026553C" w:rsidRPr="00681572" w:rsidRDefault="0026553C" w:rsidP="00E11C92">
      <w:pPr>
        <w:spacing w:line="276" w:lineRule="auto"/>
        <w:ind w:firstLine="567"/>
        <w:jc w:val="both"/>
        <w:rPr>
          <w:rFonts w:ascii="GHEA Grapalat" w:hAnsi="GHEA Grapalat"/>
          <w:color w:val="000000"/>
          <w:sz w:val="22"/>
          <w:lang w:val="pt-BR"/>
        </w:rPr>
      </w:pPr>
      <w:r w:rsidRPr="00750252">
        <w:rPr>
          <w:rFonts w:ascii="GHEA Grapalat" w:hAnsi="GHEA Grapalat"/>
          <w:color w:val="000000"/>
          <w:sz w:val="22"/>
          <w:szCs w:val="22"/>
          <w:lang w:val="hy-AM"/>
        </w:rPr>
        <w:t>Ակտ</w:t>
      </w:r>
      <w:r w:rsidR="005B7F58" w:rsidRPr="00750252">
        <w:rPr>
          <w:rFonts w:ascii="GHEA Grapalat" w:hAnsi="GHEA Grapalat"/>
          <w:color w:val="000000"/>
          <w:sz w:val="22"/>
          <w:szCs w:val="22"/>
          <w:lang w:val="hy-AM"/>
        </w:rPr>
        <w:t>երը</w:t>
      </w:r>
      <w:r w:rsidRPr="00750252">
        <w:rPr>
          <w:rFonts w:ascii="GHEA Grapalat" w:hAnsi="GHEA Grapalat"/>
          <w:color w:val="000000"/>
          <w:sz w:val="22"/>
          <w:szCs w:val="22"/>
          <w:lang w:val="hy-AM"/>
        </w:rPr>
        <w:t xml:space="preserve"> նորմատիվ </w:t>
      </w:r>
      <w:r w:rsidR="005B7F58" w:rsidRPr="00750252">
        <w:rPr>
          <w:rFonts w:ascii="GHEA Grapalat" w:hAnsi="GHEA Grapalat"/>
          <w:color w:val="000000"/>
          <w:sz w:val="22"/>
          <w:szCs w:val="22"/>
          <w:lang w:val="hy-AM"/>
        </w:rPr>
        <w:t>բնույթի են</w:t>
      </w:r>
      <w:r w:rsidRPr="00750252">
        <w:rPr>
          <w:rFonts w:ascii="GHEA Grapalat" w:hAnsi="GHEA Grapalat"/>
          <w:color w:val="000000"/>
          <w:sz w:val="22"/>
          <w:szCs w:val="22"/>
          <w:lang w:val="hy-AM"/>
        </w:rPr>
        <w:t xml:space="preserve">, քանի որ </w:t>
      </w:r>
      <w:r w:rsidRPr="00F90EDB">
        <w:rPr>
          <w:rFonts w:ascii="GHEA Grapalat" w:hAnsi="GHEA Grapalat"/>
          <w:color w:val="000000"/>
          <w:sz w:val="22"/>
          <w:lang w:val="hy-AM"/>
        </w:rPr>
        <w:t>Նորմատիվ իրավական ակտի նախագիծը «Նորմատիվ իրավական ակտերի մասին</w:t>
      </w:r>
      <w:r w:rsidRPr="00027D71">
        <w:rPr>
          <w:rFonts w:ascii="GHEA Grapalat" w:hAnsi="GHEA Grapalat"/>
          <w:color w:val="000000"/>
          <w:sz w:val="22"/>
          <w:szCs w:val="22"/>
          <w:lang w:val="hy-AM"/>
        </w:rPr>
        <w:t>» Հայաստանի Հանրապետության օրենքով սահմանված պահանջների համաձայն մշակված գրավոր ակտ է և պարունակում</w:t>
      </w:r>
      <w:r w:rsidRPr="00027D71">
        <w:rPr>
          <w:rFonts w:ascii="GHEA Grapalat" w:hAnsi="GHEA Grapalat"/>
          <w:sz w:val="22"/>
          <w:szCs w:val="22"/>
          <w:lang w:val="hy-AM"/>
        </w:rPr>
        <w:t xml:space="preserve"> է </w:t>
      </w:r>
      <w:r w:rsidRPr="00027D71">
        <w:rPr>
          <w:rFonts w:ascii="GHEA Grapalat" w:hAnsi="GHEA Grapalat"/>
          <w:color w:val="000000"/>
          <w:sz w:val="22"/>
          <w:szCs w:val="22"/>
          <w:lang w:val="hy-AM"/>
        </w:rPr>
        <w:t>վարքագծի պարտադիր կանոններ անորոշ թվով անձանց համար:</w:t>
      </w:r>
      <w:r w:rsidRPr="00F90EDB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 </w:t>
      </w:r>
    </w:p>
    <w:p w14:paraId="53E1229D" w14:textId="1C580AEB" w:rsidR="0026553C" w:rsidRPr="00750252" w:rsidRDefault="0026553C" w:rsidP="00750252">
      <w:pPr>
        <w:tabs>
          <w:tab w:val="left" w:pos="90"/>
        </w:tabs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7EF9CE34" w14:textId="1FE8A8E1" w:rsidR="0026553C" w:rsidRPr="00750252" w:rsidRDefault="0026553C" w:rsidP="00750252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ind w:right="23"/>
        <w:jc w:val="both"/>
        <w:rPr>
          <w:rFonts w:ascii="GHEA Grapalat" w:eastAsia="MS Gothic" w:hAnsi="GHEA Grapalat" w:cs="MS Gothic"/>
          <w:color w:val="FF0000"/>
          <w:sz w:val="22"/>
          <w:szCs w:val="22"/>
          <w:lang w:val="hy-AM"/>
        </w:rPr>
      </w:pPr>
      <w:r w:rsidRPr="00750252">
        <w:rPr>
          <w:rFonts w:ascii="GHEA Grapalat" w:hAnsi="GHEA Grapalat"/>
          <w:b/>
          <w:sz w:val="22"/>
          <w:szCs w:val="22"/>
          <w:lang w:val="hy-AM"/>
        </w:rPr>
        <w:t>Օ</w:t>
      </w:r>
      <w:r w:rsidRPr="00750252">
        <w:rPr>
          <w:rFonts w:ascii="GHEA Grapalat" w:hAnsi="GHEA Grapalat" w:cs="Sylfaen"/>
          <w:b/>
          <w:sz w:val="22"/>
          <w:szCs w:val="22"/>
          <w:lang w:val="hy-AM"/>
        </w:rPr>
        <w:t>րենքների</w:t>
      </w:r>
      <w:r w:rsidRPr="007502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noProof/>
          <w:sz w:val="22"/>
          <w:szCs w:val="22"/>
          <w:lang w:val="hy-AM"/>
        </w:rPr>
        <w:t>ընդունման</w:t>
      </w:r>
      <w:r w:rsidRPr="00750252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կապակցությամբ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պետական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կամ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տեղական</w:t>
      </w:r>
      <w:r w:rsidR="00EF213D" w:rsidRPr="0098250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ինքնակառավարման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մարմնի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բյուջեում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եկամուտների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և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ծախսերի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էական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ավելացման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կամ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նվազեցման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մասին</w:t>
      </w:r>
    </w:p>
    <w:p w14:paraId="506893AE" w14:textId="0419BA57" w:rsidR="0026553C" w:rsidRDefault="0026553C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750252">
        <w:rPr>
          <w:rFonts w:ascii="GHEA Grapalat" w:hAnsi="GHEA Grapalat" w:cs="Sylfaen"/>
          <w:sz w:val="22"/>
          <w:szCs w:val="22"/>
          <w:lang w:val="hy-AM"/>
        </w:rPr>
        <w:t>Նախագծ</w:t>
      </w:r>
      <w:r w:rsidR="005B7F58" w:rsidRPr="00750252">
        <w:rPr>
          <w:rFonts w:ascii="GHEA Grapalat" w:hAnsi="GHEA Grapalat" w:cs="Sylfaen"/>
          <w:sz w:val="22"/>
          <w:szCs w:val="22"/>
          <w:lang w:val="hy-AM"/>
        </w:rPr>
        <w:t>եր</w:t>
      </w:r>
      <w:r w:rsidRPr="00750252">
        <w:rPr>
          <w:rFonts w:ascii="GHEA Grapalat" w:hAnsi="GHEA Grapalat" w:cs="Sylfaen"/>
          <w:sz w:val="22"/>
          <w:szCs w:val="22"/>
          <w:lang w:val="hy-AM"/>
        </w:rPr>
        <w:t>ի</w:t>
      </w:r>
      <w:r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sz w:val="22"/>
          <w:szCs w:val="22"/>
          <w:lang w:val="hy-AM"/>
        </w:rPr>
        <w:t>կապակցությամբ</w:t>
      </w:r>
      <w:r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sz w:val="22"/>
          <w:szCs w:val="22"/>
          <w:lang w:val="hy-AM"/>
        </w:rPr>
        <w:t>ֆինանսական</w:t>
      </w:r>
      <w:r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sz w:val="22"/>
          <w:szCs w:val="22"/>
          <w:lang w:val="hy-AM"/>
        </w:rPr>
        <w:t>անհրաժեշտությունը</w:t>
      </w:r>
      <w:r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sz w:val="22"/>
          <w:szCs w:val="22"/>
          <w:lang w:val="hy-AM"/>
        </w:rPr>
        <w:t>է</w:t>
      </w:r>
      <w:r w:rsidRPr="00750252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0E58AB" w14:textId="77777777" w:rsidR="00EF213D" w:rsidRPr="00750252" w:rsidRDefault="00EF213D" w:rsidP="00982502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56F65E8A" w14:textId="41D39EFB" w:rsidR="0026553C" w:rsidRPr="00750252" w:rsidRDefault="0026553C" w:rsidP="00982502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ind w:right="23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50252">
        <w:rPr>
          <w:rFonts w:ascii="GHEA Grapalat" w:hAnsi="GHEA Grapalat"/>
          <w:b/>
          <w:sz w:val="22"/>
          <w:szCs w:val="22"/>
          <w:lang w:val="hy-AM"/>
        </w:rPr>
        <w:t>Օ</w:t>
      </w:r>
      <w:r w:rsidRPr="00750252">
        <w:rPr>
          <w:rFonts w:ascii="GHEA Grapalat" w:hAnsi="GHEA Grapalat" w:cs="Sylfaen"/>
          <w:b/>
          <w:sz w:val="22"/>
          <w:szCs w:val="22"/>
          <w:lang w:val="hy-AM"/>
        </w:rPr>
        <w:t>րենքների</w:t>
      </w:r>
      <w:r w:rsidRPr="007502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noProof/>
          <w:sz w:val="22"/>
          <w:szCs w:val="22"/>
          <w:lang w:val="hy-AM"/>
        </w:rPr>
        <w:t>ընդունման</w:t>
      </w:r>
      <w:r w:rsidRPr="00750252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կապակցությամբ</w:t>
      </w:r>
      <w:r w:rsidRPr="00750252">
        <w:rPr>
          <w:rFonts w:ascii="GHEA Grapalat" w:hAnsi="GHEA Grapalat"/>
          <w:b/>
          <w:bCs/>
          <w:iCs/>
          <w:noProof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bCs/>
          <w:iCs/>
          <w:noProof/>
          <w:sz w:val="22"/>
          <w:szCs w:val="22"/>
          <w:lang w:val="hy-AM"/>
        </w:rPr>
        <w:t>այլ իրավական ակտերի ընդունման անհրաժեշտությունը</w:t>
      </w:r>
    </w:p>
    <w:p w14:paraId="4495B64A" w14:textId="77777777" w:rsidR="0026553C" w:rsidRPr="00750252" w:rsidRDefault="005B7F58" w:rsidP="00E11C92">
      <w:pPr>
        <w:spacing w:line="276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pt-BR"/>
        </w:rPr>
      </w:pPr>
      <w:r w:rsidRPr="00750252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Ն</w:t>
      </w:r>
      <w:r w:rsidR="0026553C" w:rsidRPr="00750252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ախագծ</w:t>
      </w:r>
      <w:r w:rsidRPr="00750252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եր</w:t>
      </w:r>
      <w:r w:rsidR="0026553C" w:rsidRPr="00750252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ի</w:t>
      </w:r>
      <w:r w:rsidR="0026553C" w:rsidRPr="00750252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26553C" w:rsidRPr="00750252">
        <w:rPr>
          <w:rFonts w:ascii="GHEA Grapalat" w:hAnsi="GHEA Grapalat" w:cs="Sylfaen"/>
          <w:color w:val="000000"/>
          <w:sz w:val="22"/>
          <w:szCs w:val="22"/>
          <w:lang w:val="hy-AM"/>
        </w:rPr>
        <w:t>ընդունման</w:t>
      </w:r>
      <w:r w:rsidR="0026553C" w:rsidRPr="00750252"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r w:rsidR="0026553C" w:rsidRPr="00750252">
        <w:rPr>
          <w:rFonts w:ascii="GHEA Grapalat" w:hAnsi="GHEA Grapalat" w:cs="Sylfaen"/>
          <w:bCs/>
          <w:iCs/>
          <w:noProof/>
          <w:sz w:val="22"/>
          <w:szCs w:val="22"/>
          <w:lang w:val="hy-AM"/>
        </w:rPr>
        <w:t>կապակցությամբ</w:t>
      </w:r>
      <w:r w:rsidR="0026553C"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="0026553C" w:rsidRPr="00750252">
        <w:rPr>
          <w:rFonts w:ascii="GHEA Grapalat" w:hAnsi="GHEA Grapalat" w:cs="Sylfaen"/>
          <w:sz w:val="22"/>
          <w:szCs w:val="22"/>
          <w:lang w:val="hy-AM"/>
        </w:rPr>
        <w:t>այլ</w:t>
      </w:r>
      <w:r w:rsidR="0026553C"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="0026553C" w:rsidRPr="00750252">
        <w:rPr>
          <w:rFonts w:ascii="GHEA Grapalat" w:hAnsi="GHEA Grapalat" w:cs="Sylfaen"/>
          <w:sz w:val="22"/>
          <w:szCs w:val="22"/>
          <w:lang w:val="hy-AM"/>
        </w:rPr>
        <w:t>նորմատիվ</w:t>
      </w:r>
      <w:r w:rsidR="0026553C"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="0026553C" w:rsidRPr="00750252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="0026553C"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="0026553C" w:rsidRPr="00750252">
        <w:rPr>
          <w:rFonts w:ascii="GHEA Grapalat" w:hAnsi="GHEA Grapalat" w:cs="Sylfaen"/>
          <w:sz w:val="22"/>
          <w:szCs w:val="22"/>
          <w:lang w:val="hy-AM"/>
        </w:rPr>
        <w:t>ակտերի</w:t>
      </w:r>
      <w:r w:rsidR="0026553C"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="0026553C" w:rsidRPr="00750252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="0026553C"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="0026553C" w:rsidRPr="00750252">
        <w:rPr>
          <w:rFonts w:ascii="GHEA Grapalat" w:hAnsi="GHEA Grapalat" w:cs="Sylfaen"/>
          <w:sz w:val="22"/>
          <w:szCs w:val="22"/>
          <w:lang w:val="hy-AM"/>
        </w:rPr>
        <w:t>անհրաժեշտություն</w:t>
      </w:r>
      <w:r w:rsidR="0026553C"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="0026553C" w:rsidRPr="00750252">
        <w:rPr>
          <w:rFonts w:ascii="GHEA Grapalat" w:hAnsi="GHEA Grapalat" w:cs="Sylfaen"/>
          <w:sz w:val="22"/>
          <w:szCs w:val="22"/>
          <w:lang w:val="hy-AM"/>
        </w:rPr>
        <w:t>առկա</w:t>
      </w:r>
      <w:r w:rsidR="0026553C" w:rsidRPr="00750252">
        <w:rPr>
          <w:rFonts w:ascii="GHEA Grapalat" w:hAnsi="GHEA Grapalat"/>
          <w:sz w:val="22"/>
          <w:szCs w:val="22"/>
          <w:lang w:val="hy-AM"/>
        </w:rPr>
        <w:t xml:space="preserve"> </w:t>
      </w:r>
      <w:r w:rsidR="0026553C" w:rsidRPr="00750252">
        <w:rPr>
          <w:rFonts w:ascii="GHEA Grapalat" w:hAnsi="GHEA Grapalat" w:cs="Sylfaen"/>
          <w:sz w:val="22"/>
          <w:szCs w:val="22"/>
          <w:lang w:val="hy-AM"/>
        </w:rPr>
        <w:t>չէ</w:t>
      </w:r>
      <w:r w:rsidR="0026553C" w:rsidRPr="00750252">
        <w:rPr>
          <w:rFonts w:ascii="GHEA Grapalat" w:hAnsi="GHEA Grapalat"/>
          <w:sz w:val="22"/>
          <w:szCs w:val="22"/>
          <w:lang w:val="hy-AM"/>
        </w:rPr>
        <w:t>:</w:t>
      </w:r>
    </w:p>
    <w:p w14:paraId="3E7F0CC6" w14:textId="77777777" w:rsidR="0026553C" w:rsidRPr="00750252" w:rsidRDefault="0026553C" w:rsidP="00750252">
      <w:pPr>
        <w:spacing w:line="276" w:lineRule="auto"/>
        <w:ind w:right="23" w:firstLine="540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pt-BR"/>
        </w:rPr>
      </w:pPr>
    </w:p>
    <w:p w14:paraId="2B19E43E" w14:textId="3EBBC4BA" w:rsidR="0026553C" w:rsidRPr="00750252" w:rsidRDefault="0026553C" w:rsidP="00982502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ind w:right="23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50252">
        <w:rPr>
          <w:rFonts w:ascii="GHEA Grapalat" w:hAnsi="GHEA Grapalat"/>
          <w:b/>
          <w:sz w:val="22"/>
          <w:szCs w:val="22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 (կամ) այլ </w:t>
      </w:r>
      <w:proofErr w:type="spellStart"/>
      <w:r w:rsidRPr="00750252">
        <w:rPr>
          <w:rFonts w:ascii="GHEA Grapalat" w:hAnsi="GHEA Grapalat"/>
          <w:b/>
          <w:sz w:val="22"/>
          <w:szCs w:val="22"/>
          <w:lang w:val="hy-AM"/>
        </w:rPr>
        <w:t>ռազմավարություններ</w:t>
      </w:r>
      <w:proofErr w:type="spellEnd"/>
    </w:p>
    <w:p w14:paraId="1B55EFF9" w14:textId="77777777" w:rsidR="004A76A0" w:rsidRPr="00F90EDB" w:rsidRDefault="00750252" w:rsidP="00E11C92">
      <w:pPr>
        <w:spacing w:line="276" w:lineRule="auto"/>
        <w:ind w:firstLine="567"/>
        <w:jc w:val="both"/>
        <w:rPr>
          <w:rFonts w:ascii="GHEA Grapalat" w:hAnsi="GHEA Grapalat"/>
          <w:sz w:val="22"/>
          <w:lang w:val="hy-AM"/>
        </w:rPr>
      </w:pPr>
      <w:r w:rsidRPr="00982502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«Կապիտալի շուկայի զարգացման ծրագրի»</w:t>
      </w:r>
      <w:r w:rsidRPr="00982502">
        <w:rPr>
          <w:bCs/>
          <w:color w:val="000000"/>
          <w:shd w:val="clear" w:color="auto" w:fill="FFFFFF"/>
        </w:rPr>
        <w:footnoteReference w:id="5"/>
      </w:r>
      <w:r w:rsidRPr="00982502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 xml:space="preserve"> 4</w:t>
      </w:r>
      <w:r w:rsidRPr="00982502">
        <w:rPr>
          <w:rFonts w:ascii="Cambria Math" w:hAnsi="Cambria Math" w:cs="Cambria Math"/>
          <w:bCs/>
          <w:color w:val="000000"/>
          <w:sz w:val="22"/>
          <w:szCs w:val="22"/>
          <w:shd w:val="clear" w:color="auto" w:fill="FFFFFF"/>
          <w:lang w:val="hy-AM"/>
        </w:rPr>
        <w:t>․</w:t>
      </w:r>
      <w:r w:rsidRPr="00982502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 xml:space="preserve">4 </w:t>
      </w:r>
      <w:proofErr w:type="spellStart"/>
      <w:r w:rsidRPr="00982502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կետում</w:t>
      </w:r>
      <w:proofErr w:type="spellEnd"/>
      <w:r w:rsidRPr="00982502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 xml:space="preserve"> նշվում է, որ ՀՀ ներդրումային</w:t>
      </w:r>
      <w:r w:rsidRPr="00750252">
        <w:rPr>
          <w:rFonts w:ascii="GHEA Grapalat" w:hAnsi="GHEA Grapalat" w:cs="GHEA Grapalat"/>
          <w:b/>
          <w:i/>
          <w:color w:val="222222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i/>
          <w:color w:val="222222"/>
          <w:sz w:val="22"/>
          <w:szCs w:val="22"/>
          <w:lang w:val="hy-AM"/>
        </w:rPr>
        <w:t>ֆոնդերի</w:t>
      </w:r>
      <w:r w:rsidRPr="00750252">
        <w:rPr>
          <w:rFonts w:ascii="GHEA Grapalat" w:hAnsi="GHEA Grapalat" w:cs="GHEA Grapalat"/>
          <w:b/>
          <w:i/>
          <w:color w:val="222222"/>
          <w:sz w:val="22"/>
          <w:szCs w:val="22"/>
          <w:lang w:val="hy-AM"/>
        </w:rPr>
        <w:t xml:space="preserve"> </w:t>
      </w:r>
      <w:proofErr w:type="spellStart"/>
      <w:r w:rsidRPr="00750252">
        <w:rPr>
          <w:rFonts w:ascii="GHEA Grapalat" w:hAnsi="GHEA Grapalat" w:cs="Sylfaen"/>
          <w:b/>
          <w:i/>
          <w:color w:val="222222"/>
          <w:sz w:val="22"/>
          <w:szCs w:val="22"/>
          <w:lang w:val="hy-AM"/>
        </w:rPr>
        <w:t>ինդուստրիան</w:t>
      </w:r>
      <w:proofErr w:type="spellEnd"/>
      <w:r w:rsidRPr="00750252">
        <w:rPr>
          <w:rFonts w:ascii="GHEA Grapalat" w:hAnsi="GHEA Grapalat" w:cs="GHEA Grapalat"/>
          <w:b/>
          <w:i/>
          <w:color w:val="222222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i/>
          <w:color w:val="222222"/>
          <w:sz w:val="22"/>
          <w:szCs w:val="22"/>
          <w:lang w:val="hy-AM"/>
        </w:rPr>
        <w:t>գտնվում</w:t>
      </w:r>
      <w:r w:rsidRPr="00750252">
        <w:rPr>
          <w:rFonts w:ascii="GHEA Grapalat" w:hAnsi="GHEA Grapalat" w:cs="GHEA Grapalat"/>
          <w:b/>
          <w:i/>
          <w:color w:val="222222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i/>
          <w:color w:val="222222"/>
          <w:sz w:val="22"/>
          <w:szCs w:val="22"/>
          <w:lang w:val="hy-AM"/>
        </w:rPr>
        <w:t>է</w:t>
      </w:r>
      <w:r w:rsidRPr="00750252">
        <w:rPr>
          <w:rFonts w:ascii="GHEA Grapalat" w:hAnsi="GHEA Grapalat" w:cs="GHEA Grapalat"/>
          <w:b/>
          <w:i/>
          <w:color w:val="222222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i/>
          <w:color w:val="222222"/>
          <w:sz w:val="22"/>
          <w:szCs w:val="22"/>
          <w:lang w:val="hy-AM"/>
        </w:rPr>
        <w:t>զարգացման</w:t>
      </w:r>
      <w:r w:rsidRPr="00750252">
        <w:rPr>
          <w:rFonts w:ascii="GHEA Grapalat" w:hAnsi="GHEA Grapalat" w:cs="GHEA Grapalat"/>
          <w:b/>
          <w:i/>
          <w:color w:val="222222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i/>
          <w:color w:val="222222"/>
          <w:sz w:val="22"/>
          <w:szCs w:val="22"/>
          <w:lang w:val="hy-AM"/>
        </w:rPr>
        <w:t>սաղմնային</w:t>
      </w:r>
      <w:r w:rsidRPr="00750252">
        <w:rPr>
          <w:rFonts w:ascii="GHEA Grapalat" w:hAnsi="GHEA Grapalat" w:cs="GHEA Grapalat"/>
          <w:b/>
          <w:i/>
          <w:color w:val="222222"/>
          <w:sz w:val="22"/>
          <w:szCs w:val="22"/>
          <w:lang w:val="hy-AM"/>
        </w:rPr>
        <w:t xml:space="preserve"> </w:t>
      </w:r>
      <w:r w:rsidRPr="00750252">
        <w:rPr>
          <w:rFonts w:ascii="GHEA Grapalat" w:hAnsi="GHEA Grapalat" w:cs="Sylfaen"/>
          <w:b/>
          <w:i/>
          <w:color w:val="222222"/>
          <w:sz w:val="22"/>
          <w:szCs w:val="22"/>
          <w:lang w:val="hy-AM"/>
        </w:rPr>
        <w:t xml:space="preserve">փուլում և կապիտալի շուկայում որպես ներդրող </w:t>
      </w:r>
      <w:proofErr w:type="spellStart"/>
      <w:r w:rsidRPr="00750252">
        <w:rPr>
          <w:rFonts w:ascii="GHEA Grapalat" w:hAnsi="GHEA Grapalat" w:cs="Sylfaen"/>
          <w:b/>
          <w:i/>
          <w:color w:val="222222"/>
          <w:sz w:val="22"/>
          <w:szCs w:val="22"/>
          <w:lang w:val="hy-AM"/>
        </w:rPr>
        <w:t>դեռևս</w:t>
      </w:r>
      <w:proofErr w:type="spellEnd"/>
      <w:r w:rsidRPr="00750252">
        <w:rPr>
          <w:rFonts w:ascii="GHEA Grapalat" w:hAnsi="GHEA Grapalat" w:cs="Sylfaen"/>
          <w:b/>
          <w:i/>
          <w:color w:val="222222"/>
          <w:sz w:val="22"/>
          <w:szCs w:val="22"/>
          <w:lang w:val="hy-AM"/>
        </w:rPr>
        <w:t xml:space="preserve"> մեծ նշանակություն չունի։ </w:t>
      </w:r>
      <w:r w:rsidRPr="00750252">
        <w:rPr>
          <w:rFonts w:ascii="GHEA Grapalat" w:hAnsi="GHEA Grapalat" w:cs="Sylfaen"/>
          <w:color w:val="222222"/>
          <w:sz w:val="22"/>
          <w:szCs w:val="22"/>
          <w:lang w:val="hy-AM"/>
        </w:rPr>
        <w:t xml:space="preserve">Կատարվող փոփոխությունները կնպաստեն ներդրումային ֆոնդերի ինդուստրիայի զարգացմանը։ </w:t>
      </w:r>
    </w:p>
    <w:sectPr w:rsidR="004A76A0" w:rsidRPr="00F90EDB" w:rsidSect="00666C29">
      <w:headerReference w:type="default" r:id="rId8"/>
      <w:footerReference w:type="even" r:id="rId9"/>
      <w:footerReference w:type="default" r:id="rId10"/>
      <w:pgSz w:w="11906" w:h="16838"/>
      <w:pgMar w:top="993" w:right="849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F409" w14:textId="77777777" w:rsidR="00D3173D" w:rsidRDefault="00D3173D" w:rsidP="007F35E3">
      <w:r>
        <w:separator/>
      </w:r>
    </w:p>
  </w:endnote>
  <w:endnote w:type="continuationSeparator" w:id="0">
    <w:p w14:paraId="4E6C8B97" w14:textId="77777777" w:rsidR="00D3173D" w:rsidRDefault="00D3173D" w:rsidP="007F35E3">
      <w:r>
        <w:continuationSeparator/>
      </w:r>
    </w:p>
  </w:endnote>
  <w:endnote w:type="continuationNotice" w:id="1">
    <w:p w14:paraId="26E4E8FE" w14:textId="77777777" w:rsidR="00D3173D" w:rsidRDefault="00D3173D" w:rsidP="007F3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BE03E" w14:textId="77777777" w:rsidR="000568D8" w:rsidRDefault="00381D33" w:rsidP="006461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68424" w14:textId="77777777" w:rsidR="000568D8" w:rsidRDefault="0020282D" w:rsidP="009825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80028"/>
      <w:docPartObj>
        <w:docPartGallery w:val="Page Numbers (Bottom of Page)"/>
        <w:docPartUnique/>
      </w:docPartObj>
    </w:sdtPr>
    <w:sdtEndPr/>
    <w:sdtContent>
      <w:p w14:paraId="640AE538" w14:textId="77777777" w:rsidR="00960BF4" w:rsidRDefault="00381D3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28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0888D0" w14:textId="77777777" w:rsidR="000568D8" w:rsidRDefault="0020282D" w:rsidP="009825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8BA12" w14:textId="77777777" w:rsidR="00D3173D" w:rsidRDefault="00D3173D" w:rsidP="007F35E3">
      <w:r>
        <w:separator/>
      </w:r>
    </w:p>
  </w:footnote>
  <w:footnote w:type="continuationSeparator" w:id="0">
    <w:p w14:paraId="092C506F" w14:textId="77777777" w:rsidR="00D3173D" w:rsidRDefault="00D3173D" w:rsidP="007F35E3">
      <w:r>
        <w:continuationSeparator/>
      </w:r>
    </w:p>
  </w:footnote>
  <w:footnote w:type="continuationNotice" w:id="1">
    <w:p w14:paraId="699A0329" w14:textId="77777777" w:rsidR="00D3173D" w:rsidRDefault="00D3173D" w:rsidP="007F35E3"/>
  </w:footnote>
  <w:footnote w:id="2">
    <w:p w14:paraId="3A54F388" w14:textId="749ADC45" w:rsidR="00681572" w:rsidRPr="00D30FE1" w:rsidRDefault="0068157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="0020282D">
        <w:rPr>
          <w:lang w:val="hy-AM"/>
        </w:rPr>
        <w:t>14․12․2022 Կենտրոնական բանկի խորհրդի թիվ 2 պաշտոնական պարզաբանում</w:t>
      </w:r>
    </w:p>
  </w:footnote>
  <w:footnote w:id="3">
    <w:p w14:paraId="01E444DE" w14:textId="77777777" w:rsidR="00376943" w:rsidRPr="00376943" w:rsidRDefault="0037694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376943">
        <w:t>https://www.congress.gov/111/plaws/publ203/PLAW-111publ203.pdf</w:t>
      </w:r>
    </w:p>
  </w:footnote>
  <w:footnote w:id="4">
    <w:p w14:paraId="2D32B544" w14:textId="77777777" w:rsidR="007615C0" w:rsidRPr="007615C0" w:rsidRDefault="007615C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615C0">
        <w:rPr>
          <w:lang w:val="en-US"/>
        </w:rPr>
        <w:t xml:space="preserve"> </w:t>
      </w:r>
      <w:r w:rsidRPr="00BA5F99">
        <w:rPr>
          <w:lang w:val="en-US"/>
        </w:rPr>
        <w:t>Directive 2011/61/EU of the European Parliament and of the Council of 8 June 2011 on Alternative Investment Fund Managers and amending Directives 2003/41/EC and 2009/65/EC and Regulations (EC) No 1060/2009 and (EU) No 1095/2010</w:t>
      </w:r>
      <w:r w:rsidRPr="007615C0">
        <w:rPr>
          <w:rFonts w:ascii="Segoe UI" w:hAnsi="Segoe UI" w:cs="Segoe UI"/>
          <w:b/>
          <w:bCs/>
          <w:color w:val="333333"/>
          <w:sz w:val="21"/>
          <w:szCs w:val="21"/>
          <w:shd w:val="clear" w:color="auto" w:fill="FFFFFF"/>
          <w:lang w:val="en-US"/>
        </w:rPr>
        <w:t> </w:t>
      </w:r>
    </w:p>
  </w:footnote>
  <w:footnote w:id="5">
    <w:p w14:paraId="0D60C986" w14:textId="77777777" w:rsidR="00750252" w:rsidRPr="00750252" w:rsidRDefault="00750252" w:rsidP="0075025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7615C0">
        <w:rPr>
          <w:lang w:val="en-US"/>
        </w:rPr>
        <w:t xml:space="preserve"> </w:t>
      </w:r>
      <w:r>
        <w:rPr>
          <w:lang w:val="hy-AM"/>
        </w:rPr>
        <w:t>ՀՀ կառավարության 16․07․2020 թիվ 1202 Լ որոշում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D0F4" w14:textId="77777777" w:rsidR="007F35E3" w:rsidRDefault="007F35E3" w:rsidP="009825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7148"/>
    <w:multiLevelType w:val="hybridMultilevel"/>
    <w:tmpl w:val="6476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29D"/>
    <w:multiLevelType w:val="hybridMultilevel"/>
    <w:tmpl w:val="CD5E10C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F04217"/>
    <w:multiLevelType w:val="hybridMultilevel"/>
    <w:tmpl w:val="7FF8F054"/>
    <w:lvl w:ilvl="0" w:tplc="DCC292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156B6111"/>
    <w:multiLevelType w:val="hybridMultilevel"/>
    <w:tmpl w:val="E3F02284"/>
    <w:lvl w:ilvl="0" w:tplc="D96A4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54725"/>
    <w:multiLevelType w:val="hybridMultilevel"/>
    <w:tmpl w:val="160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57A9"/>
    <w:multiLevelType w:val="hybridMultilevel"/>
    <w:tmpl w:val="D0586B98"/>
    <w:lvl w:ilvl="0" w:tplc="030660E6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825252"/>
    <w:multiLevelType w:val="hybridMultilevel"/>
    <w:tmpl w:val="A44A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A780C"/>
    <w:multiLevelType w:val="hybridMultilevel"/>
    <w:tmpl w:val="7D049F0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08D25D2"/>
    <w:multiLevelType w:val="hybridMultilevel"/>
    <w:tmpl w:val="5B147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C1BAF"/>
    <w:multiLevelType w:val="hybridMultilevel"/>
    <w:tmpl w:val="9104B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E6F20"/>
    <w:multiLevelType w:val="hybridMultilevel"/>
    <w:tmpl w:val="E278ADB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53454A22"/>
    <w:multiLevelType w:val="hybridMultilevel"/>
    <w:tmpl w:val="6E72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B08AD"/>
    <w:multiLevelType w:val="hybridMultilevel"/>
    <w:tmpl w:val="20D4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71D8A"/>
    <w:multiLevelType w:val="hybridMultilevel"/>
    <w:tmpl w:val="D550F47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5B093185"/>
    <w:multiLevelType w:val="hybridMultilevel"/>
    <w:tmpl w:val="FB1C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A2EF1"/>
    <w:multiLevelType w:val="hybridMultilevel"/>
    <w:tmpl w:val="FC2C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C5C3F"/>
    <w:multiLevelType w:val="hybridMultilevel"/>
    <w:tmpl w:val="282EC3D0"/>
    <w:lvl w:ilvl="0" w:tplc="DCC292D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3333F0"/>
    <w:multiLevelType w:val="hybridMultilevel"/>
    <w:tmpl w:val="76F072A0"/>
    <w:lvl w:ilvl="0" w:tplc="CBE46D12">
      <w:start w:val="1"/>
      <w:numFmt w:val="decimal"/>
      <w:lvlText w:val="%1."/>
      <w:lvlJc w:val="left"/>
      <w:pPr>
        <w:ind w:left="810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68B0717"/>
    <w:multiLevelType w:val="hybridMultilevel"/>
    <w:tmpl w:val="592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833A5"/>
    <w:multiLevelType w:val="hybridMultilevel"/>
    <w:tmpl w:val="F3D855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9F6DB3"/>
    <w:multiLevelType w:val="hybridMultilevel"/>
    <w:tmpl w:val="7B1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625ED"/>
    <w:multiLevelType w:val="hybridMultilevel"/>
    <w:tmpl w:val="48AEB59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DB6028F"/>
    <w:multiLevelType w:val="hybridMultilevel"/>
    <w:tmpl w:val="A3C07412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9"/>
  </w:num>
  <w:num w:numId="5">
    <w:abstractNumId w:val="7"/>
  </w:num>
  <w:num w:numId="6">
    <w:abstractNumId w:val="13"/>
  </w:num>
  <w:num w:numId="7">
    <w:abstractNumId w:val="14"/>
  </w:num>
  <w:num w:numId="8">
    <w:abstractNumId w:val="18"/>
  </w:num>
  <w:num w:numId="9">
    <w:abstractNumId w:val="11"/>
  </w:num>
  <w:num w:numId="10">
    <w:abstractNumId w:val="20"/>
  </w:num>
  <w:num w:numId="11">
    <w:abstractNumId w:val="15"/>
  </w:num>
  <w:num w:numId="12">
    <w:abstractNumId w:val="9"/>
  </w:num>
  <w:num w:numId="13">
    <w:abstractNumId w:val="8"/>
  </w:num>
  <w:num w:numId="14">
    <w:abstractNumId w:val="12"/>
  </w:num>
  <w:num w:numId="15">
    <w:abstractNumId w:val="10"/>
  </w:num>
  <w:num w:numId="16">
    <w:abstractNumId w:val="1"/>
  </w:num>
  <w:num w:numId="17">
    <w:abstractNumId w:val="22"/>
  </w:num>
  <w:num w:numId="18">
    <w:abstractNumId w:val="2"/>
  </w:num>
  <w:num w:numId="19">
    <w:abstractNumId w:val="4"/>
  </w:num>
  <w:num w:numId="20">
    <w:abstractNumId w:val="16"/>
  </w:num>
  <w:num w:numId="21">
    <w:abstractNumId w:val="21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3C"/>
    <w:rsid w:val="00014AEE"/>
    <w:rsid w:val="0002615C"/>
    <w:rsid w:val="00027D71"/>
    <w:rsid w:val="000417BA"/>
    <w:rsid w:val="00056379"/>
    <w:rsid w:val="00070715"/>
    <w:rsid w:val="0007278C"/>
    <w:rsid w:val="000920C6"/>
    <w:rsid w:val="00094630"/>
    <w:rsid w:val="000C7738"/>
    <w:rsid w:val="000E0DBC"/>
    <w:rsid w:val="00130098"/>
    <w:rsid w:val="00142A64"/>
    <w:rsid w:val="00146317"/>
    <w:rsid w:val="00146CE8"/>
    <w:rsid w:val="0015150E"/>
    <w:rsid w:val="0015318E"/>
    <w:rsid w:val="00160D48"/>
    <w:rsid w:val="00172585"/>
    <w:rsid w:val="001763DB"/>
    <w:rsid w:val="001A1E22"/>
    <w:rsid w:val="001B7810"/>
    <w:rsid w:val="0020282D"/>
    <w:rsid w:val="0020738F"/>
    <w:rsid w:val="002155A3"/>
    <w:rsid w:val="00215E1C"/>
    <w:rsid w:val="002264BC"/>
    <w:rsid w:val="00260ADB"/>
    <w:rsid w:val="0026553C"/>
    <w:rsid w:val="002A2089"/>
    <w:rsid w:val="002B32CD"/>
    <w:rsid w:val="002E37C7"/>
    <w:rsid w:val="002E5112"/>
    <w:rsid w:val="002F56E8"/>
    <w:rsid w:val="003227F3"/>
    <w:rsid w:val="00322CE8"/>
    <w:rsid w:val="00326B4E"/>
    <w:rsid w:val="00327ED6"/>
    <w:rsid w:val="003312B0"/>
    <w:rsid w:val="00374F27"/>
    <w:rsid w:val="00376943"/>
    <w:rsid w:val="00381D33"/>
    <w:rsid w:val="003A37E2"/>
    <w:rsid w:val="003C4C41"/>
    <w:rsid w:val="003C7035"/>
    <w:rsid w:val="003F2774"/>
    <w:rsid w:val="00425554"/>
    <w:rsid w:val="00434213"/>
    <w:rsid w:val="00440229"/>
    <w:rsid w:val="00445F70"/>
    <w:rsid w:val="0044704D"/>
    <w:rsid w:val="0046179C"/>
    <w:rsid w:val="00466129"/>
    <w:rsid w:val="00485E5D"/>
    <w:rsid w:val="00491DCE"/>
    <w:rsid w:val="004A5C2F"/>
    <w:rsid w:val="004A76A0"/>
    <w:rsid w:val="004B5B07"/>
    <w:rsid w:val="004D7B9F"/>
    <w:rsid w:val="004E4C6C"/>
    <w:rsid w:val="004E73FB"/>
    <w:rsid w:val="00507D64"/>
    <w:rsid w:val="005419EB"/>
    <w:rsid w:val="00545538"/>
    <w:rsid w:val="00550663"/>
    <w:rsid w:val="0056141D"/>
    <w:rsid w:val="0057266F"/>
    <w:rsid w:val="00574B3E"/>
    <w:rsid w:val="00576FDE"/>
    <w:rsid w:val="005840A5"/>
    <w:rsid w:val="00596285"/>
    <w:rsid w:val="0059759B"/>
    <w:rsid w:val="00597D50"/>
    <w:rsid w:val="005A203A"/>
    <w:rsid w:val="005A5748"/>
    <w:rsid w:val="005B7F58"/>
    <w:rsid w:val="005C18A1"/>
    <w:rsid w:val="005D39C8"/>
    <w:rsid w:val="00600B49"/>
    <w:rsid w:val="00605C9E"/>
    <w:rsid w:val="00611E65"/>
    <w:rsid w:val="00666C29"/>
    <w:rsid w:val="006729E6"/>
    <w:rsid w:val="00681572"/>
    <w:rsid w:val="006C7E48"/>
    <w:rsid w:val="006D0587"/>
    <w:rsid w:val="006E7881"/>
    <w:rsid w:val="0070521C"/>
    <w:rsid w:val="00712498"/>
    <w:rsid w:val="00712D09"/>
    <w:rsid w:val="00730A42"/>
    <w:rsid w:val="00731332"/>
    <w:rsid w:val="00750252"/>
    <w:rsid w:val="00760D74"/>
    <w:rsid w:val="007615C0"/>
    <w:rsid w:val="0077549A"/>
    <w:rsid w:val="0078067D"/>
    <w:rsid w:val="00796735"/>
    <w:rsid w:val="007A7CBC"/>
    <w:rsid w:val="007A7EB0"/>
    <w:rsid w:val="007B54F9"/>
    <w:rsid w:val="007E55A9"/>
    <w:rsid w:val="007E7756"/>
    <w:rsid w:val="007E7B34"/>
    <w:rsid w:val="007F029D"/>
    <w:rsid w:val="007F2A47"/>
    <w:rsid w:val="007F35E3"/>
    <w:rsid w:val="007F4695"/>
    <w:rsid w:val="00800834"/>
    <w:rsid w:val="008039A2"/>
    <w:rsid w:val="00826B5A"/>
    <w:rsid w:val="0083241D"/>
    <w:rsid w:val="00835B1F"/>
    <w:rsid w:val="008423B7"/>
    <w:rsid w:val="008454EA"/>
    <w:rsid w:val="0085732A"/>
    <w:rsid w:val="00872220"/>
    <w:rsid w:val="00873859"/>
    <w:rsid w:val="008939AE"/>
    <w:rsid w:val="00897CDD"/>
    <w:rsid w:val="008A4EFF"/>
    <w:rsid w:val="008B23EE"/>
    <w:rsid w:val="008B51C2"/>
    <w:rsid w:val="008B66CE"/>
    <w:rsid w:val="008C6E52"/>
    <w:rsid w:val="008D24EF"/>
    <w:rsid w:val="008F2683"/>
    <w:rsid w:val="0090176D"/>
    <w:rsid w:val="00905D03"/>
    <w:rsid w:val="009111A8"/>
    <w:rsid w:val="00923A73"/>
    <w:rsid w:val="00927D4B"/>
    <w:rsid w:val="0095427E"/>
    <w:rsid w:val="00974F30"/>
    <w:rsid w:val="00981789"/>
    <w:rsid w:val="00982502"/>
    <w:rsid w:val="009D04C8"/>
    <w:rsid w:val="009E1A29"/>
    <w:rsid w:val="009F168D"/>
    <w:rsid w:val="00A37CAD"/>
    <w:rsid w:val="00A43F0F"/>
    <w:rsid w:val="00A643A5"/>
    <w:rsid w:val="00A75657"/>
    <w:rsid w:val="00A82F62"/>
    <w:rsid w:val="00AC162E"/>
    <w:rsid w:val="00AE5FDA"/>
    <w:rsid w:val="00B20825"/>
    <w:rsid w:val="00B4611F"/>
    <w:rsid w:val="00B56892"/>
    <w:rsid w:val="00B56BE3"/>
    <w:rsid w:val="00B931A8"/>
    <w:rsid w:val="00BA5F99"/>
    <w:rsid w:val="00BB58E2"/>
    <w:rsid w:val="00BC3425"/>
    <w:rsid w:val="00BC706C"/>
    <w:rsid w:val="00BC7A1D"/>
    <w:rsid w:val="00BD0E76"/>
    <w:rsid w:val="00BF4076"/>
    <w:rsid w:val="00C1650B"/>
    <w:rsid w:val="00C26E4D"/>
    <w:rsid w:val="00C2737E"/>
    <w:rsid w:val="00C565F0"/>
    <w:rsid w:val="00C65460"/>
    <w:rsid w:val="00C93D05"/>
    <w:rsid w:val="00CB2FA1"/>
    <w:rsid w:val="00CC303E"/>
    <w:rsid w:val="00CE6C91"/>
    <w:rsid w:val="00CE74CA"/>
    <w:rsid w:val="00CF4303"/>
    <w:rsid w:val="00CF555F"/>
    <w:rsid w:val="00D02D74"/>
    <w:rsid w:val="00D1708D"/>
    <w:rsid w:val="00D30FE1"/>
    <w:rsid w:val="00D3173D"/>
    <w:rsid w:val="00D32E20"/>
    <w:rsid w:val="00D44858"/>
    <w:rsid w:val="00D47456"/>
    <w:rsid w:val="00D504D6"/>
    <w:rsid w:val="00D5138D"/>
    <w:rsid w:val="00D701C8"/>
    <w:rsid w:val="00D7695E"/>
    <w:rsid w:val="00DC7B38"/>
    <w:rsid w:val="00E05AC1"/>
    <w:rsid w:val="00E11C92"/>
    <w:rsid w:val="00E200B6"/>
    <w:rsid w:val="00E269B8"/>
    <w:rsid w:val="00E720E6"/>
    <w:rsid w:val="00E77AE5"/>
    <w:rsid w:val="00E85EC6"/>
    <w:rsid w:val="00EB6145"/>
    <w:rsid w:val="00EF213D"/>
    <w:rsid w:val="00EF3711"/>
    <w:rsid w:val="00F0238B"/>
    <w:rsid w:val="00F15C35"/>
    <w:rsid w:val="00F24924"/>
    <w:rsid w:val="00F6096F"/>
    <w:rsid w:val="00F74295"/>
    <w:rsid w:val="00F90BDE"/>
    <w:rsid w:val="00F90EDB"/>
    <w:rsid w:val="00F91919"/>
    <w:rsid w:val="00F94AAF"/>
    <w:rsid w:val="00FD4017"/>
    <w:rsid w:val="00FF4B4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DAFD"/>
  <w15:chartTrackingRefBased/>
  <w15:docId w15:val="{B464F3BE-C3E1-4A5B-A690-1F074AE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55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6553C"/>
  </w:style>
  <w:style w:type="character" w:styleId="CommentReference">
    <w:name w:val="annotation reference"/>
    <w:uiPriority w:val="99"/>
    <w:rsid w:val="007F3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3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53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aliases w:val="List Paragraph 1,NUMBERED PARAGRAPH,List Paragraph (numbered (a)),Use Case List Paragraph,References,ReferencesCxSpLast,lp1,Bullets,Akapit z listą BS,Numbered Paragraph,Main numbered paragraph,Numbered List Paragraph,123 List Paragraph"/>
    <w:basedOn w:val="Normal"/>
    <w:link w:val="ListParagraphChar"/>
    <w:uiPriority w:val="34"/>
    <w:qFormat/>
    <w:rsid w:val="007F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3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List Paragraph 1 Char,NUMBERED PARAGRAPH Char,List Paragraph (numbered (a)) Char,Use Case List Paragraph Char,References Char,ReferencesCxSpLast Char,lp1 Char,Bullets Char,Akapit z listą BS Char,Numbered Paragraph Char"/>
    <w:link w:val="ListParagraph"/>
    <w:uiPriority w:val="34"/>
    <w:rsid w:val="002655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2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2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75025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3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9111A8"/>
    <w:rPr>
      <w:b/>
      <w:bCs/>
    </w:rPr>
  </w:style>
  <w:style w:type="paragraph" w:styleId="NormalWeb">
    <w:name w:val="Normal (Web)"/>
    <w:basedOn w:val="Normal"/>
    <w:uiPriority w:val="99"/>
    <w:unhideWhenUsed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listparagraph">
    <w:name w:val="x_xmsolistparagraph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customStyle="1" w:styleId="xxmsonormal">
    <w:name w:val="x_xmsonormal"/>
    <w:basedOn w:val="Normal"/>
    <w:rsid w:val="007F35E3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F35E3"/>
    <w:pPr>
      <w:spacing w:after="120" w:line="480" w:lineRule="auto"/>
      <w:ind w:left="36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F35E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F35E3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7F3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E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8219-C6E7-425C-93A5-97315D0F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Ղարաջյան</dc:creator>
  <cp:keywords/>
  <dc:description/>
  <cp:lastModifiedBy>Անի Ղարաջյան</cp:lastModifiedBy>
  <cp:revision>41</cp:revision>
  <dcterms:created xsi:type="dcterms:W3CDTF">2023-10-12T06:51:00Z</dcterms:created>
  <dcterms:modified xsi:type="dcterms:W3CDTF">2023-10-27T06:51:00Z</dcterms:modified>
</cp:coreProperties>
</file>