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9272B" w14:textId="77777777" w:rsidR="004B6F0A" w:rsidRPr="00142EE2" w:rsidRDefault="004B6F0A" w:rsidP="00142EE2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26CA96B9" w:rsidR="004B6F0A" w:rsidRDefault="004B6F0A" w:rsidP="00142EE2">
      <w:pPr>
        <w:spacing w:line="360" w:lineRule="auto"/>
        <w:ind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«</w:t>
      </w:r>
      <w:r w:rsidR="00B03C89"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ՀԱՆՐԱՊԵՏՈՒԹՅԱՆ 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ԿԱՌԱՎԱՐՈՒԹՅԱՆ 2019 ԹՎԱԿԱՆԻ </w:t>
      </w:r>
      <w:r w:rsidR="0053545D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ՕԳՈՍՏՈՍԻ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 </w:t>
      </w:r>
      <w:r w:rsidR="0053545D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8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-Ի N </w:t>
      </w:r>
      <w:r w:rsidR="0053545D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1025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-Ն </w:t>
      </w:r>
      <w:r w:rsidR="006C0C8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ՈՐՈՇ</w:t>
      </w:r>
      <w:r w:rsidR="00E96BAF" w:rsidRPr="00E96BA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="006C0C8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ԱՆ ՄԵՋ</w:t>
      </w:r>
      <w:r w:rsidR="00E96BAF" w:rsidRPr="00E96BA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30D45" w:rsidRPr="00E96BAF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ՓՈՓՈԽՈՒԹՅՈՒՆՆԵՐ ԵՎ ԼՐԱՑՈՒՄ</w:t>
      </w:r>
      <w:r w:rsidR="006C0C8B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ՆԵՐ</w:t>
      </w:r>
      <w:r w:rsidR="00830D45" w:rsidRPr="00E96BAF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 ԿԱՏԱՐԵԼՈՒ ՄԱՍԻՆ</w:t>
      </w:r>
      <w:r w:rsidRPr="00E96BA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Pr="00E96BA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</w:t>
      </w:r>
      <w:r w:rsidR="00A15A05" w:rsidRPr="00E96BA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A15A05" w:rsidRPr="00E96BA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14:paraId="478626B1" w14:textId="77777777" w:rsidR="00006E33" w:rsidRPr="00142EE2" w:rsidRDefault="00006E33" w:rsidP="00142EE2">
      <w:pPr>
        <w:spacing w:line="360" w:lineRule="auto"/>
        <w:ind w:firstLine="72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14:paraId="7A35E331" w14:textId="1E60C1D3" w:rsidR="004B6F0A" w:rsidRPr="00142EE2" w:rsidRDefault="00983456" w:rsidP="00142EE2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1. </w:t>
      </w:r>
      <w:r w:rsidR="00473BDF"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62375BD0" w14:textId="25A9D951" w:rsidR="00F841D8" w:rsidRPr="00085B74" w:rsidRDefault="00095F40" w:rsidP="00F841D8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  <w:r w:rsidR="00E76D92" w:rsidRPr="00085B74">
        <w:rPr>
          <w:rFonts w:ascii="Arian AMU" w:hAnsi="Arian AMU" w:cs="Arian AMU"/>
          <w:shd w:val="clear" w:color="auto" w:fill="FFFFFF"/>
          <w:lang w:val="hy-AM"/>
        </w:rPr>
        <w:t>«</w:t>
      </w:r>
      <w:r w:rsidR="00E76D92"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Հայաստանի Հանրապետության կառավարության </w:t>
      </w:r>
      <w:r w:rsidR="00567CDF"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2019 թվականի օգոստոսի 8-ի N 1025-Ն </w:t>
      </w:r>
      <w:r w:rsidR="00E76D92"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որոշման մեջ փոփոխություններ և լրացումներ կատարելու մասին» Կառավարության որոշման նախագծի (այսուհետ՝ Նախագիծ) մշակումը պայմանավորված է այն հանգամանքով, որ </w:t>
      </w:r>
      <w:r w:rsidR="00567CDF"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Քաղաքաշինության, տեխնիկական և հրդեհային անվտանգության տեսչական մարմն</w:t>
      </w:r>
      <w:r w:rsidR="00E76D92"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 (այսուհետև՝ Տեսչական մարմին) գործող ստուգաթերթերում ամրագրված են իրավական ակտերի մասեր, կետեր, ենթակետեր, որոնք արդեն ուժը կորցրած են ճանաչվել կամ փոփոխության են ենթարկվել։ Հետևաբար, որպեսզի վերահսկողական գործառ</w:t>
      </w:r>
      <w:r w:rsidR="00A252F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ույթների իրականացման ընթացքում Տ</w:t>
      </w:r>
      <w:r w:rsidR="00E76D92"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եսչական մարմինը ունենա վարչական ակտի կայացման հնարավորություն, ինչպես նաև իր գործունեության չխոչընդոտող այլ հանգամանքներ իրավական դաշտում, անհրաժեշտություն է առաջացել կատարել փոփոխություններ և լրացումներ </w:t>
      </w:r>
      <w:r w:rsidR="00567CDF"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տեխնիկական և հրդեհային անվտանգության</w:t>
      </w:r>
      <w:r w:rsidR="00E76D92"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ոլորտի ստուգաթերթերում։</w:t>
      </w:r>
    </w:p>
    <w:p w14:paraId="6D65884F" w14:textId="77777777" w:rsidR="00F841D8" w:rsidRPr="00085B74" w:rsidRDefault="00F841D8" w:rsidP="00F841D8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085B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ab/>
      </w:r>
      <w:r w:rsidRPr="00085B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2019 թվականի օգոս</w:t>
      </w:r>
      <w:r w:rsidRPr="00085B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տոսի 8-ին </w:t>
      </w:r>
      <w:r w:rsidRPr="00085B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ընդունված ՀՀ կառավարության N 1025-Ն որոշման N 8-րդ, N 9-րդ, N 10-րդ, N 11-րդ, N 12-րդ, N 13-րդ, N 14-րդ, N 15-րդ, N 16-րդ, N 17-րդ, N 18-րդ, N 19-րդ, N 20-րդ, N 21-րդ, N 22-րդ, N 23-րդ, N 24-րդ, N 25-րդ, N 26-րդ, N 27-րդ, N 28-րդ, N 29-րդ և N 30-րդ հավելվածներով հաստատված </w:t>
      </w:r>
      <w:proofErr w:type="spellStart"/>
      <w:r w:rsidRPr="00085B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ստուգաթերթերի</w:t>
      </w:r>
      <w:proofErr w:type="spellEnd"/>
      <w:r w:rsidRPr="00085B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085B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կիրարկման</w:t>
      </w:r>
      <w:proofErr w:type="spellEnd"/>
      <w:r w:rsidRPr="00085B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ընթացքում բացահայտվել են մի շարք խնդիրներ՝ կապված ինչպես օրենսդրական տեխնիկայի կանոնների խախտման (հղում է կատարվել իրավական ակտի ոչ համապատասխան հոդվածի մասին), այնպես էլ վերահսկողությունից դուրս մնացած օրենսդրական պահանջների վերահսկման հետ</w:t>
      </w:r>
      <w:r w:rsidRPr="00085B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։</w:t>
      </w:r>
      <w:r w:rsidRPr="00085B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ab/>
      </w:r>
      <w:r w:rsidRPr="00085B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ab/>
      </w:r>
      <w:r w:rsidRPr="00085B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ab/>
      </w:r>
      <w:r w:rsidRPr="00085B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ab/>
      </w:r>
    </w:p>
    <w:p w14:paraId="143487AE" w14:textId="45C27546" w:rsidR="0013162F" w:rsidRPr="00085B74" w:rsidRDefault="00F841D8" w:rsidP="0013162F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085B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ab/>
      </w:r>
      <w:r w:rsidR="0013162F" w:rsidRPr="00085B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Միաժամանակ, </w:t>
      </w:r>
      <w:r w:rsidR="0013162F" w:rsidRPr="00085B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ՀՀ կառավարության 2021 թվականի ապրիլի 22-ի N 634-Ն որոշման 2-րդ կետի համաձայն՝ 2023 թվականի</w:t>
      </w:r>
      <w:r w:rsidR="0013162F"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ապրիլի 23-ից ուժը կորցրած են ճանաչվելու մի շարք </w:t>
      </w:r>
      <w:r w:rsidR="0013162F"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lastRenderedPageBreak/>
        <w:t xml:space="preserve">տեխնիկական կանոնակարգեր, այդ թվում՝ Կառավարության 2005 թվականի դեկտեմբերի 22-ի «Անվտանգության կանոնները գազի տնտեսությունում» տեխնիկական կանոնակարգը հաստատելու մասին» N 2399-Ն </w:t>
      </w:r>
      <w:r w:rsidR="0013162F" w:rsidRPr="00085B74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որոշումով </w:t>
      </w:r>
      <w:r w:rsidR="0013162F"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սահանված կանոնակարգը:</w:t>
      </w:r>
    </w:p>
    <w:p w14:paraId="3E45D80E" w14:textId="04CB3552" w:rsidR="0013162F" w:rsidRPr="0013162F" w:rsidRDefault="0013162F" w:rsidP="0013162F">
      <w:pPr>
        <w:tabs>
          <w:tab w:val="left" w:pos="-180"/>
          <w:tab w:val="left" w:pos="-142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  <w:r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Տեսչական մարմինը վերոհիշյալ տեխնիկական կանոնակարգով սահմանված պահանջների մասերով ստուգումները, մասնավորապես՝ իրականացնում է Կառավարության 2019 թվականի օգոստոսի 8-ի N 1025-Ն որոշման N 16-րդ հավելվածով սահմանված ստուգաթերթի հիման վրա, այդ կանոնակարգի ուժը կորցրած ճանաչելու արդյունքում ուժը կորցրած կճանաչվեն նաև նշված ստուգաթերթ</w:t>
      </w:r>
      <w:bookmarkStart w:id="0" w:name="_GoBack"/>
      <w:bookmarkEnd w:id="0"/>
      <w:r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 հարցաշարում նորմատիվ իրավական ակտերին սահմանված հղումները, ինչի արդյունքում անհնարին կդառնան  իրականացնել 2023 թվականի Տեսչական մարմնի ստուգումների տարեկան ծրագրով</w:t>
      </w:r>
      <w:r w:rsidRPr="0013162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նախատեսված </w:t>
      </w:r>
      <w:r w:rsidRP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տեխնիկական և հրդեհային անվտանգության</w:t>
      </w:r>
      <w:r w:rsidRPr="0013162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ոլորտի պալանային ստուգումներ։ </w:t>
      </w:r>
    </w:p>
    <w:p w14:paraId="187E739F" w14:textId="617062AF" w:rsidR="0013162F" w:rsidRPr="0013162F" w:rsidRDefault="0013162F" w:rsidP="0013162F">
      <w:pPr>
        <w:tabs>
          <w:tab w:val="left" w:pos="-142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13162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  <w:r w:rsidRPr="0013162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Նշվածի մասով հարկ է նշել, որ ՀՀ կառավարության կողմից 13.04.2023 թ. հաստավել է «Գազաբաշխման համակարգի անվտանգության և շահագործման կանոնները հաստատելու մասին» N 539-Ն որոշումը, որով փոխարինվել են ուժը կորցրած վերոհիշյալ կանոնակարգը:</w:t>
      </w:r>
    </w:p>
    <w:p w14:paraId="462648C5" w14:textId="28583B9F" w:rsidR="0013162F" w:rsidRDefault="0013162F" w:rsidP="0013162F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13162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  <w:r w:rsidRPr="0013162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Ներկայումս անհրաժետշություն է առաջացել Կառավարության 2019 թվականի օգոստոսի 8-ի N 1025-Ն որոշման N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</w:t>
      </w:r>
      <w:r w:rsidRPr="0013162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6-րդ հավելվածով սահմանված ստուգաթերթի հարցերը և համապատասխան հղումները համապատասխանեցնել Կառավարության կողմից ընդունված նոր որոշման պահանջներին:</w:t>
      </w:r>
    </w:p>
    <w:p w14:paraId="5BF41BC6" w14:textId="77777777" w:rsidR="00BA0B64" w:rsidRPr="0013162F" w:rsidRDefault="00BA0B64" w:rsidP="0013162F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14:paraId="1F84F39E" w14:textId="32990D2A" w:rsidR="00E75571" w:rsidRDefault="004B6F0A" w:rsidP="00142EE2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="00E75571" w:rsidRPr="00142EE2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 w:rsidRPr="00142EE2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349AD94D" w14:textId="62A57551" w:rsidR="00BA0B64" w:rsidRPr="00A316CB" w:rsidRDefault="00BA0B64" w:rsidP="00142EE2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BA0B64">
        <w:rPr>
          <w:rFonts w:ascii="Arian AMU" w:hAnsi="Arian AMU" w:cs="Arian AMU"/>
          <w:color w:val="4B5C6A"/>
          <w:shd w:val="clear" w:color="auto" w:fill="FFFFFF"/>
          <w:lang w:val="hy-AM"/>
        </w:rPr>
        <w:t>«</w:t>
      </w:r>
      <w:r w:rsidRPr="00A316C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Հայաստանի Հանրապետությունում ստուգումների կազմակերպման և անցկացման մասին» օրենքի 3-րդ հոդվածի 1.1-ին մասի համաձայն՝ </w:t>
      </w:r>
      <w:proofErr w:type="spellStart"/>
      <w:r w:rsidRPr="00A316C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ստուգաթերթերի</w:t>
      </w:r>
      <w:proofErr w:type="spellEnd"/>
      <w:r w:rsidRPr="00A316C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հարցերը </w:t>
      </w:r>
      <w:proofErr w:type="spellStart"/>
      <w:r w:rsidRPr="00A316C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ձևավորվում</w:t>
      </w:r>
      <w:proofErr w:type="spellEnd"/>
      <w:r w:rsidRPr="00A316C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են նվազագույն բավարարության սկզբունքի համաձայն և չեն ընդգրկում այն պահանջները, որոնց պահպանումը չի նպաստում տնտեսավարող սուբյեկտի գործունեությունից առաջացող ռիսկերի նվազեցմանը: Սույն Նախագծի ընդունումը նպատակ է հետապնդում կատարելագործել գործող </w:t>
      </w:r>
      <w:proofErr w:type="spellStart"/>
      <w:r w:rsidRPr="00A316C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ստուգաթերթերը</w:t>
      </w:r>
      <w:proofErr w:type="spellEnd"/>
      <w:r w:rsidRPr="00A316C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և առավել արդյունավետ դարձնել իրականացվող ստուգումները</w:t>
      </w:r>
      <w:r w:rsidR="00A316CB" w:rsidRPr="00A316C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։</w:t>
      </w:r>
    </w:p>
    <w:p w14:paraId="69A05F74" w14:textId="5F274753" w:rsidR="00A316CB" w:rsidRDefault="00085B74" w:rsidP="00A316CB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13162F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Միաժամանակ,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A316C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Նախագծի </w:t>
      </w:r>
      <w:r w:rsidR="00A316CB" w:rsidRPr="00142EE2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ընդունման նպատակն է </w:t>
      </w:r>
      <w:proofErr w:type="spellStart"/>
      <w:r w:rsidR="00A316C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լրամշակել</w:t>
      </w:r>
      <w:proofErr w:type="spellEnd"/>
      <w:r w:rsidR="00A316C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A316C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Տ</w:t>
      </w:r>
      <w:r w:rsidR="00A316C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եսչական </w:t>
      </w:r>
      <w:r w:rsidR="00A316C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մարմնի </w:t>
      </w:r>
      <w:r w:rsidR="00A316C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կողմից </w:t>
      </w:r>
      <w:r w:rsidR="00A316CB" w:rsidRP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տեխնիկական և հրդեհային անվտանգության</w:t>
      </w:r>
      <w:r w:rsidR="00A316CB" w:rsidRPr="0013162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A316C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բնագավառում իրականացվող </w:t>
      </w:r>
      <w:r w:rsidR="00A316CB">
        <w:rPr>
          <w:rFonts w:ascii="GHEA Grapalat" w:eastAsia="Times New Roman" w:hAnsi="GHEA Grapalat"/>
          <w:bCs/>
          <w:iCs/>
          <w:sz w:val="24"/>
          <w:szCs w:val="24"/>
          <w:lang w:val="hy-AM"/>
        </w:rPr>
        <w:lastRenderedPageBreak/>
        <w:t xml:space="preserve">ստուգումների համար անհրաժեշտ </w:t>
      </w:r>
      <w:proofErr w:type="spellStart"/>
      <w:r w:rsidR="00A316C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ստուգաթերթերը</w:t>
      </w:r>
      <w:proofErr w:type="spellEnd"/>
      <w:r w:rsidR="00A316C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՝ </w:t>
      </w:r>
      <w:proofErr w:type="spellStart"/>
      <w:r w:rsidR="00A316C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ստուգաթերթերում</w:t>
      </w:r>
      <w:proofErr w:type="spellEnd"/>
      <w:r w:rsidR="00A316C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տեղ գտած մի շարք հարցերի բովանդակությունը համապատասխանեցնելով գործող օրենքներում առկա պահանջներին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, ի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նչպես նաև </w:t>
      </w:r>
      <w:r w:rsidR="00454F72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խմբագրել </w:t>
      </w:r>
      <w:r w:rsidRPr="0013162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N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</w:t>
      </w:r>
      <w:r w:rsidRPr="0013162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6-րդ հավելվածով սահմանված ստուգաթերթ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ը</w:t>
      </w:r>
      <w:r w:rsidR="00A316C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՝ այն համապատասխանեցնելով Կառավարության կողմից նոր հաստատված </w:t>
      </w:r>
      <w:r w:rsidR="00A316CB" w:rsidRPr="0013162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Գազաբաշխման համակարգի անվտանգության և շահագործման</w:t>
      </w:r>
      <w:r w:rsidR="00A316C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մասով սահամնված պահանջներին:</w:t>
      </w:r>
    </w:p>
    <w:p w14:paraId="543F7D5F" w14:textId="00E82E06" w:rsidR="00A316CB" w:rsidRPr="00A316CB" w:rsidRDefault="00A316CB" w:rsidP="00A316CB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A316C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Հարկ է նշել, որ վերոգրյալ </w:t>
      </w:r>
      <w:r w:rsidRPr="00F841D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հավելվածներով հաստատված </w:t>
      </w:r>
      <w:r w:rsidRPr="00A316C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գործող ստուգաթերթերում առկա են մի շարք տեխնիկական խնդիրներ, ինչպես նաև օրենքի պահանջների անհարկի հղումներ, վերախմբագրման ենթակա ձևակերպումներ, ինչը նվազեցնում է ոլորտի նկատմամբ արդյունավետ վերահսկողություն իրականացնելու հնարավորությունը։</w:t>
      </w:r>
      <w:r w:rsidR="00085B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</w:p>
    <w:p w14:paraId="7A5DDFA0" w14:textId="2AA7276E" w:rsidR="00CE27AF" w:rsidRPr="00A316CB" w:rsidRDefault="00CE27AF" w:rsidP="00CE27AF">
      <w:pPr>
        <w:tabs>
          <w:tab w:val="left" w:pos="993"/>
          <w:tab w:val="left" w:pos="1276"/>
        </w:tabs>
        <w:spacing w:after="0" w:line="360" w:lineRule="auto"/>
        <w:ind w:left="-720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</w:p>
    <w:p w14:paraId="1FC88AB0" w14:textId="7372B3DA" w:rsidR="004B6F0A" w:rsidRPr="00142EE2" w:rsidRDefault="000D1140" w:rsidP="00142EE2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7E7A3D92" w14:textId="43C6802D" w:rsidR="00BA0B64" w:rsidRPr="00142EE2" w:rsidRDefault="00BA0B64" w:rsidP="00085B74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BA0B6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 ընդունման արդյունքում ակնկալվում է ապահովել «Հայաստանի Հանրապետությունում ստուգումների կազմակերպման և անցկացման մասին» օրենքի 3-րդ հոդվածի 1.1-ին մասով սահմանված պահանջի կատարումը՝ ապահովելով համապատասխան ոլորտում</w:t>
      </w:r>
      <w:r w:rsidRPr="00BA0B64">
        <w:rPr>
          <w:rFonts w:ascii="Arian AMU" w:hAnsi="Arian AMU" w:cs="Arian AMU"/>
          <w:color w:val="4B5C6A"/>
          <w:shd w:val="clear" w:color="auto" w:fill="FFFFFF"/>
          <w:lang w:val="hy-AM"/>
        </w:rPr>
        <w:t xml:space="preserve"> </w:t>
      </w:r>
      <w:r w:rsidRPr="00BA0B6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ստուգում իրականացնելու համար անհրաժեշտ և արդիական ստուգաթերթերի հաստատումը</w:t>
      </w:r>
      <w:r w:rsid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։</w:t>
      </w:r>
    </w:p>
    <w:p w14:paraId="1B094D6E" w14:textId="77777777" w:rsidR="00155381" w:rsidRPr="00142EE2" w:rsidRDefault="00155381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3F1D822B" w14:textId="161309FC" w:rsidR="004B6F0A" w:rsidRPr="00142EE2" w:rsidRDefault="000D1140" w:rsidP="00142EE2">
      <w:pPr>
        <w:spacing w:after="0" w:line="360" w:lineRule="auto"/>
        <w:ind w:left="-72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 w:rsidRPr="00142EE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 w:rsidRPr="00142EE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184112D7" w:rsidR="004B6F0A" w:rsidRPr="00142EE2" w:rsidRDefault="004B6F0A" w:rsidP="00142EE2">
      <w:pPr>
        <w:spacing w:after="0" w:line="360" w:lineRule="auto"/>
        <w:ind w:left="-72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142EE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 w:rsidRPr="00142EE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 w:rsidRPr="00142EE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արչապետի աշխատակազմի տեսչական մարմինների աշխատանքների համակարգման գրասենյակի </w:t>
      </w:r>
      <w:r w:rsidR="00454F72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>կողմից:</w:t>
      </w:r>
    </w:p>
    <w:p w14:paraId="5889D7CF" w14:textId="77777777" w:rsidR="00155381" w:rsidRPr="00142EE2" w:rsidRDefault="00155381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48D045A" w14:textId="4EEC4116" w:rsidR="00A15A05" w:rsidRPr="00142EE2" w:rsidRDefault="00A15A05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5. Այլ իրավական ակտերում փոփոխությունների և/կամ լրացումների անհրաժեշտությունը.</w:t>
      </w:r>
    </w:p>
    <w:p w14:paraId="50ECA55F" w14:textId="77777777" w:rsidR="00A15A05" w:rsidRPr="00142EE2" w:rsidRDefault="00A15A05" w:rsidP="00142EE2">
      <w:pPr>
        <w:spacing w:after="0" w:line="360" w:lineRule="auto"/>
        <w:ind w:left="-720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142EE2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Pr="00142EE2" w:rsidRDefault="00155381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3B2912D7" w:rsidR="00A15A05" w:rsidRPr="00142EE2" w:rsidRDefault="00A15A05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6. Պետական կամ տեղական ինքնակառավարման մարմնի բյուջեում ծախսերի և եկամուտների էական ավելացման կամ նվազեցման մասին.</w:t>
      </w:r>
    </w:p>
    <w:p w14:paraId="52108DAC" w14:textId="3C25AD8B" w:rsidR="00A15A05" w:rsidRPr="00142EE2" w:rsidRDefault="00A15A05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42EE2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0C7F7103" w14:textId="77777777" w:rsidR="00614B3D" w:rsidRPr="00142EE2" w:rsidRDefault="00614B3D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017D3B4" w14:textId="101F2675" w:rsidR="00C95195" w:rsidRPr="00142EE2" w:rsidRDefault="00C95195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7. 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7D80DC" w14:textId="7A511805" w:rsidR="004B6F0A" w:rsidRPr="00142EE2" w:rsidRDefault="00E60EE1" w:rsidP="00142EE2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  <w:r w:rsidRPr="00142EE2">
        <w:rPr>
          <w:rFonts w:ascii="GHEA Grapalat" w:hAnsi="GHEA Grapalat"/>
          <w:sz w:val="24"/>
          <w:lang w:val="hy-AM"/>
        </w:rPr>
        <w:t xml:space="preserve">Նախագիծը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Pr="00142EE2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Pr="00142EE2">
        <w:rPr>
          <w:rFonts w:ascii="GHEA Grapalat" w:hAnsi="GHEA Grapalat"/>
          <w:sz w:val="24"/>
          <w:lang w:val="hy-AM"/>
        </w:rPr>
        <w:t>։</w:t>
      </w:r>
    </w:p>
    <w:sectPr w:rsidR="004B6F0A" w:rsidRPr="00142EE2" w:rsidSect="00614B3D">
      <w:pgSz w:w="12240" w:h="15840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355683F"/>
    <w:multiLevelType w:val="hybridMultilevel"/>
    <w:tmpl w:val="DC184748"/>
    <w:lvl w:ilvl="0" w:tplc="A22C0CB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12"/>
  </w:num>
  <w:num w:numId="7">
    <w:abstractNumId w:val="0"/>
  </w:num>
  <w:num w:numId="8">
    <w:abstractNumId w:val="11"/>
  </w:num>
  <w:num w:numId="9">
    <w:abstractNumId w:val="9"/>
  </w:num>
  <w:num w:numId="10">
    <w:abstractNumId w:val="14"/>
  </w:num>
  <w:num w:numId="11">
    <w:abstractNumId w:val="1"/>
  </w:num>
  <w:num w:numId="12">
    <w:abstractNumId w:val="13"/>
  </w:num>
  <w:num w:numId="13">
    <w:abstractNumId w:val="8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06E33"/>
    <w:rsid w:val="0001022F"/>
    <w:rsid w:val="0004330F"/>
    <w:rsid w:val="00052EBE"/>
    <w:rsid w:val="00054F08"/>
    <w:rsid w:val="00085B74"/>
    <w:rsid w:val="00095F40"/>
    <w:rsid w:val="0009748B"/>
    <w:rsid w:val="000A7804"/>
    <w:rsid w:val="000B27B1"/>
    <w:rsid w:val="000D1140"/>
    <w:rsid w:val="000D1BFE"/>
    <w:rsid w:val="000D6E33"/>
    <w:rsid w:val="000E7E81"/>
    <w:rsid w:val="00102B81"/>
    <w:rsid w:val="0011213E"/>
    <w:rsid w:val="001222C1"/>
    <w:rsid w:val="001249BC"/>
    <w:rsid w:val="0013162F"/>
    <w:rsid w:val="00132DD0"/>
    <w:rsid w:val="00142EE2"/>
    <w:rsid w:val="00154130"/>
    <w:rsid w:val="00155381"/>
    <w:rsid w:val="001640F8"/>
    <w:rsid w:val="00173EDB"/>
    <w:rsid w:val="00175B3B"/>
    <w:rsid w:val="001D0111"/>
    <w:rsid w:val="001D543F"/>
    <w:rsid w:val="001F2C9C"/>
    <w:rsid w:val="00204BA0"/>
    <w:rsid w:val="002223A9"/>
    <w:rsid w:val="00250385"/>
    <w:rsid w:val="002621AC"/>
    <w:rsid w:val="002856EE"/>
    <w:rsid w:val="002C665A"/>
    <w:rsid w:val="002D24F2"/>
    <w:rsid w:val="00312216"/>
    <w:rsid w:val="00353C0A"/>
    <w:rsid w:val="00360346"/>
    <w:rsid w:val="00383BD8"/>
    <w:rsid w:val="003B6405"/>
    <w:rsid w:val="003D7D3D"/>
    <w:rsid w:val="003F1CF6"/>
    <w:rsid w:val="003F2193"/>
    <w:rsid w:val="003F66B9"/>
    <w:rsid w:val="00412D31"/>
    <w:rsid w:val="00412F93"/>
    <w:rsid w:val="004220A2"/>
    <w:rsid w:val="004231C5"/>
    <w:rsid w:val="00425E8A"/>
    <w:rsid w:val="00443CBC"/>
    <w:rsid w:val="004450B4"/>
    <w:rsid w:val="00451EE7"/>
    <w:rsid w:val="00453C84"/>
    <w:rsid w:val="00454F72"/>
    <w:rsid w:val="0046524C"/>
    <w:rsid w:val="00471F2A"/>
    <w:rsid w:val="00473735"/>
    <w:rsid w:val="00473BDF"/>
    <w:rsid w:val="004814F2"/>
    <w:rsid w:val="00494A01"/>
    <w:rsid w:val="00495257"/>
    <w:rsid w:val="004A1A4D"/>
    <w:rsid w:val="004B039A"/>
    <w:rsid w:val="004B35C5"/>
    <w:rsid w:val="004B6F0A"/>
    <w:rsid w:val="004C725C"/>
    <w:rsid w:val="004E230E"/>
    <w:rsid w:val="004E4B69"/>
    <w:rsid w:val="004E500F"/>
    <w:rsid w:val="005106B7"/>
    <w:rsid w:val="005330CD"/>
    <w:rsid w:val="0053545D"/>
    <w:rsid w:val="005474E0"/>
    <w:rsid w:val="00567CDF"/>
    <w:rsid w:val="00580A33"/>
    <w:rsid w:val="005C1789"/>
    <w:rsid w:val="005D19CD"/>
    <w:rsid w:val="005E3CE0"/>
    <w:rsid w:val="005E4272"/>
    <w:rsid w:val="005F4DD3"/>
    <w:rsid w:val="00601E68"/>
    <w:rsid w:val="00606A3A"/>
    <w:rsid w:val="00614B3D"/>
    <w:rsid w:val="00616624"/>
    <w:rsid w:val="0063182D"/>
    <w:rsid w:val="00641304"/>
    <w:rsid w:val="0065531F"/>
    <w:rsid w:val="0065583E"/>
    <w:rsid w:val="00662B06"/>
    <w:rsid w:val="006968C9"/>
    <w:rsid w:val="00696ABF"/>
    <w:rsid w:val="006B4940"/>
    <w:rsid w:val="006C0C8B"/>
    <w:rsid w:val="006C3CC4"/>
    <w:rsid w:val="006C7173"/>
    <w:rsid w:val="006D4664"/>
    <w:rsid w:val="006D5F10"/>
    <w:rsid w:val="006D7E9C"/>
    <w:rsid w:val="006E14A2"/>
    <w:rsid w:val="00714BE0"/>
    <w:rsid w:val="00715BA5"/>
    <w:rsid w:val="007215E5"/>
    <w:rsid w:val="00747F8F"/>
    <w:rsid w:val="0075170A"/>
    <w:rsid w:val="00765AF0"/>
    <w:rsid w:val="00792122"/>
    <w:rsid w:val="00792BFE"/>
    <w:rsid w:val="007B4A33"/>
    <w:rsid w:val="007C0377"/>
    <w:rsid w:val="007C5A56"/>
    <w:rsid w:val="007D581D"/>
    <w:rsid w:val="007F50CE"/>
    <w:rsid w:val="007F6485"/>
    <w:rsid w:val="007F693B"/>
    <w:rsid w:val="00800634"/>
    <w:rsid w:val="00801FD3"/>
    <w:rsid w:val="008137A8"/>
    <w:rsid w:val="00824803"/>
    <w:rsid w:val="00830D45"/>
    <w:rsid w:val="00833476"/>
    <w:rsid w:val="00841359"/>
    <w:rsid w:val="00854099"/>
    <w:rsid w:val="008572C8"/>
    <w:rsid w:val="008A4464"/>
    <w:rsid w:val="008A564D"/>
    <w:rsid w:val="008E5805"/>
    <w:rsid w:val="009056A1"/>
    <w:rsid w:val="009138BA"/>
    <w:rsid w:val="00925DD8"/>
    <w:rsid w:val="00942AA1"/>
    <w:rsid w:val="009464BF"/>
    <w:rsid w:val="00954E18"/>
    <w:rsid w:val="0096628E"/>
    <w:rsid w:val="0097389F"/>
    <w:rsid w:val="00983456"/>
    <w:rsid w:val="009852EE"/>
    <w:rsid w:val="00995F39"/>
    <w:rsid w:val="009B2386"/>
    <w:rsid w:val="009B2965"/>
    <w:rsid w:val="009B3D97"/>
    <w:rsid w:val="009E23C0"/>
    <w:rsid w:val="009F6C3B"/>
    <w:rsid w:val="00A01F81"/>
    <w:rsid w:val="00A15A05"/>
    <w:rsid w:val="00A23F41"/>
    <w:rsid w:val="00A252F8"/>
    <w:rsid w:val="00A316CB"/>
    <w:rsid w:val="00A317DB"/>
    <w:rsid w:val="00A43EA1"/>
    <w:rsid w:val="00A53872"/>
    <w:rsid w:val="00A61CD8"/>
    <w:rsid w:val="00AA4580"/>
    <w:rsid w:val="00AC51CB"/>
    <w:rsid w:val="00AD4F21"/>
    <w:rsid w:val="00AE1E8A"/>
    <w:rsid w:val="00AF16E0"/>
    <w:rsid w:val="00AF259E"/>
    <w:rsid w:val="00B03C89"/>
    <w:rsid w:val="00B10D00"/>
    <w:rsid w:val="00B1324F"/>
    <w:rsid w:val="00B21D11"/>
    <w:rsid w:val="00B22629"/>
    <w:rsid w:val="00B2440A"/>
    <w:rsid w:val="00B35BAF"/>
    <w:rsid w:val="00B70074"/>
    <w:rsid w:val="00BA0B64"/>
    <w:rsid w:val="00BD258A"/>
    <w:rsid w:val="00BD7CD7"/>
    <w:rsid w:val="00C209B4"/>
    <w:rsid w:val="00C21520"/>
    <w:rsid w:val="00C22D77"/>
    <w:rsid w:val="00C25091"/>
    <w:rsid w:val="00C63A67"/>
    <w:rsid w:val="00C75A55"/>
    <w:rsid w:val="00C94D63"/>
    <w:rsid w:val="00C95195"/>
    <w:rsid w:val="00CA43D0"/>
    <w:rsid w:val="00CA54E0"/>
    <w:rsid w:val="00CD78A8"/>
    <w:rsid w:val="00CE27AF"/>
    <w:rsid w:val="00CE5C24"/>
    <w:rsid w:val="00CE79AD"/>
    <w:rsid w:val="00CF6BB2"/>
    <w:rsid w:val="00D252A4"/>
    <w:rsid w:val="00D25A13"/>
    <w:rsid w:val="00D30AE5"/>
    <w:rsid w:val="00D40E35"/>
    <w:rsid w:val="00D42A30"/>
    <w:rsid w:val="00DA1A6D"/>
    <w:rsid w:val="00DB607E"/>
    <w:rsid w:val="00DC7454"/>
    <w:rsid w:val="00DD4F1F"/>
    <w:rsid w:val="00DF78EB"/>
    <w:rsid w:val="00E267F1"/>
    <w:rsid w:val="00E32830"/>
    <w:rsid w:val="00E47FBD"/>
    <w:rsid w:val="00E510FC"/>
    <w:rsid w:val="00E56523"/>
    <w:rsid w:val="00E60EE1"/>
    <w:rsid w:val="00E75571"/>
    <w:rsid w:val="00E76D92"/>
    <w:rsid w:val="00E8144F"/>
    <w:rsid w:val="00E84817"/>
    <w:rsid w:val="00E85DCA"/>
    <w:rsid w:val="00E87960"/>
    <w:rsid w:val="00E87F3C"/>
    <w:rsid w:val="00E96BAF"/>
    <w:rsid w:val="00EA5FA3"/>
    <w:rsid w:val="00EB0FBD"/>
    <w:rsid w:val="00EC2154"/>
    <w:rsid w:val="00F125BA"/>
    <w:rsid w:val="00F161CF"/>
    <w:rsid w:val="00F25BA7"/>
    <w:rsid w:val="00F2700B"/>
    <w:rsid w:val="00F536B7"/>
    <w:rsid w:val="00F57540"/>
    <w:rsid w:val="00F60EA0"/>
    <w:rsid w:val="00F647E7"/>
    <w:rsid w:val="00F65215"/>
    <w:rsid w:val="00F841D8"/>
    <w:rsid w:val="00F84366"/>
    <w:rsid w:val="00F85DB6"/>
    <w:rsid w:val="00F94625"/>
    <w:rsid w:val="00FA5AF2"/>
    <w:rsid w:val="00FD1534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Arusyak Aghajanyan</cp:lastModifiedBy>
  <cp:revision>24</cp:revision>
  <dcterms:created xsi:type="dcterms:W3CDTF">2023-01-12T12:24:00Z</dcterms:created>
  <dcterms:modified xsi:type="dcterms:W3CDTF">2023-07-24T08:25:00Z</dcterms:modified>
</cp:coreProperties>
</file>