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4A" w:rsidRPr="000F2B84" w:rsidRDefault="005B724A" w:rsidP="00DA5936">
      <w:pPr>
        <w:spacing w:line="360" w:lineRule="auto"/>
        <w:jc w:val="center"/>
        <w:rPr>
          <w:rFonts w:ascii="GHEA Grapalat" w:hAnsi="GHEA Grapalat"/>
          <w:b/>
          <w:sz w:val="24"/>
          <w:szCs w:val="24"/>
          <w:lang w:val="hy-AM"/>
        </w:rPr>
      </w:pPr>
      <w:r w:rsidRPr="000F2B84">
        <w:rPr>
          <w:rFonts w:ascii="GHEA Grapalat" w:hAnsi="GHEA Grapalat"/>
          <w:b/>
          <w:sz w:val="24"/>
          <w:szCs w:val="24"/>
          <w:lang w:val="hy-AM"/>
        </w:rPr>
        <w:t>ՀԻՄՆԱՎՈՐՈՒՄ</w:t>
      </w:r>
    </w:p>
    <w:p w:rsidR="001F4399" w:rsidRPr="000F2B84" w:rsidRDefault="001F4399" w:rsidP="0016788B">
      <w:pPr>
        <w:pStyle w:val="NormalWeb"/>
        <w:spacing w:after="0" w:line="360" w:lineRule="auto"/>
        <w:jc w:val="center"/>
        <w:rPr>
          <w:rFonts w:ascii="GHEA Grapalat" w:hAnsi="GHEA Grapalat"/>
          <w:b/>
          <w:bCs/>
          <w:color w:val="000000"/>
          <w:shd w:val="clear" w:color="auto" w:fill="FFFFFF"/>
          <w:lang w:val="hy-AM"/>
        </w:rPr>
      </w:pPr>
      <w:r w:rsidRPr="000F2B84">
        <w:rPr>
          <w:rFonts w:ascii="GHEA Grapalat" w:eastAsia="GHEA Grapalat" w:hAnsi="GHEA Grapalat" w:cs="GHEA Grapalat"/>
          <w:b/>
          <w:color w:val="000000"/>
          <w:lang w:val="hy-AM"/>
        </w:rPr>
        <w:t>«ՀԱՅԱՍՏԱՆԻ ՀԱՆՐԱՊԵՏՈՒԹՅԱՆ ՎԱՐՉԱԿԱՆ ԴԱՏԱՎԱՐՈՒԹՅԱՆ ՕՐԵՆՍԳՐՔՈՒՄ ԼՐԱՑՈՒՄՆԵՐ ԵՎ ՓՈՓՈԽՈՒԹՅՈՒՆՆԵՐ ԿԱՏԱՐԵԼՈՒ ՄԱՍԻՆ»</w:t>
      </w:r>
      <w:r w:rsidR="0016788B" w:rsidRPr="0016788B">
        <w:rPr>
          <w:rFonts w:ascii="GHEA Grapalat" w:eastAsia="GHEA Grapalat" w:hAnsi="GHEA Grapalat" w:cs="GHEA Grapalat"/>
          <w:b/>
          <w:color w:val="000000"/>
          <w:lang w:val="hy-AM"/>
        </w:rPr>
        <w:t>,</w:t>
      </w:r>
      <w:r w:rsidRPr="000F2B84">
        <w:rPr>
          <w:rFonts w:ascii="GHEA Grapalat" w:eastAsia="GHEA Grapalat" w:hAnsi="GHEA Grapalat" w:cs="GHEA Grapalat"/>
          <w:b/>
          <w:color w:val="000000"/>
          <w:lang w:val="hy-AM"/>
        </w:rPr>
        <w:t xml:space="preserve"> «</w:t>
      </w:r>
      <w:r w:rsidRPr="000F2B84">
        <w:rPr>
          <w:rFonts w:ascii="GHEA Grapalat" w:hAnsi="GHEA Grapalat"/>
          <w:b/>
          <w:bCs/>
          <w:color w:val="000000"/>
          <w:shd w:val="clear" w:color="auto" w:fill="FFFFFF"/>
          <w:lang w:val="hy-AM"/>
        </w:rPr>
        <w:t>ՎԱՐՉԱԿԱՆ ԻՐԱՎԱԽԱԽՏՈՒՄՆԵՐԻ ՎԵՐԱԲԵՐՅԱԼ ՀԱՅԱՍՏԱՆԻ ՀԱՆՐԱՊԵՏՈՒԹՅԱՆ ՕՐԵՆՍԳՐՔՈՒՄ ՓՈՓՈԽՈՒԹՅՈՒՆՆԵՐ ԵՎ ԼՐԱՑՈՒՄՆԵՐ ԿԱՏԱՐԵԼՈՒ ՄԱՍԻՆ»</w:t>
      </w:r>
      <w:r w:rsidR="0016788B" w:rsidRPr="0016788B">
        <w:rPr>
          <w:rFonts w:ascii="GHEA Grapalat" w:hAnsi="GHEA Grapalat"/>
          <w:b/>
          <w:bCs/>
          <w:color w:val="000000"/>
          <w:shd w:val="clear" w:color="auto" w:fill="FFFFFF"/>
          <w:lang w:val="hy-AM"/>
        </w:rPr>
        <w:t xml:space="preserve"> </w:t>
      </w:r>
      <w:r w:rsidR="0016788B" w:rsidRPr="000F2B84">
        <w:rPr>
          <w:rFonts w:ascii="GHEA Grapalat" w:eastAsia="GHEA Grapalat" w:hAnsi="GHEA Grapalat" w:cs="GHEA Grapalat"/>
          <w:b/>
          <w:color w:val="000000"/>
          <w:lang w:val="hy-AM"/>
        </w:rPr>
        <w:t xml:space="preserve">ԵՎ </w:t>
      </w:r>
      <w:r w:rsidR="0016788B" w:rsidRPr="00DF30D4">
        <w:rPr>
          <w:rFonts w:ascii="GHEA Grapalat" w:hAnsi="GHEA Grapalat"/>
          <w:b/>
          <w:bCs/>
          <w:color w:val="000000"/>
          <w:shd w:val="clear" w:color="auto" w:fill="FFFFFF"/>
          <w:lang w:val="hy-AM"/>
        </w:rPr>
        <w:t>«ԴԱՏԱԿԱՆ ԱԿՏԵՐԻ ՀԱՐԿԱԴԻՐ ԿԱՏԱՐՄԱՆ ՄԱՍԻՆ» ՕՐԵՆՔՈՒՄ ԼՐԱՑՈՒՄ ԿԱՏԱՐԵԼՈՒ ՄԱՍԻՆ</w:t>
      </w:r>
      <w:r w:rsidR="0016788B" w:rsidRPr="0016788B">
        <w:rPr>
          <w:rFonts w:ascii="GHEA Grapalat" w:hAnsi="GHEA Grapalat"/>
          <w:b/>
          <w:bCs/>
          <w:color w:val="000000"/>
          <w:shd w:val="clear" w:color="auto" w:fill="FFFFFF"/>
          <w:lang w:val="hy-AM"/>
        </w:rPr>
        <w:t xml:space="preserve"> </w:t>
      </w:r>
      <w:r w:rsidRPr="000F2B84">
        <w:rPr>
          <w:rFonts w:ascii="GHEA Grapalat" w:hAnsi="GHEA Grapalat"/>
          <w:b/>
          <w:bCs/>
          <w:color w:val="000000"/>
          <w:shd w:val="clear" w:color="auto" w:fill="FFFFFF"/>
          <w:lang w:val="hy-AM"/>
        </w:rPr>
        <w:t xml:space="preserve"> ՕՐԵՆՔՆԵՐԻ ՆԱԽԱԳԾԵՐԻ</w:t>
      </w:r>
    </w:p>
    <w:p w:rsidR="001F4399" w:rsidRPr="000F2B84" w:rsidRDefault="001F4399" w:rsidP="0016788B">
      <w:pPr>
        <w:jc w:val="center"/>
        <w:rPr>
          <w:rFonts w:ascii="GHEA Grapalat" w:hAnsi="GHEA Grapalat"/>
          <w:b/>
          <w:sz w:val="24"/>
          <w:szCs w:val="24"/>
          <w:lang w:val="hy-AM"/>
        </w:rPr>
      </w:pPr>
    </w:p>
    <w:p w:rsidR="005B724A" w:rsidRPr="000F2B84" w:rsidRDefault="005B724A" w:rsidP="00DA5936">
      <w:pPr>
        <w:pStyle w:val="ListParagraph"/>
        <w:numPr>
          <w:ilvl w:val="0"/>
          <w:numId w:val="1"/>
        </w:numPr>
        <w:spacing w:line="360" w:lineRule="auto"/>
        <w:jc w:val="both"/>
        <w:rPr>
          <w:rFonts w:ascii="GHEA Grapalat" w:hAnsi="GHEA Grapalat"/>
          <w:b/>
          <w:sz w:val="24"/>
          <w:szCs w:val="24"/>
          <w:lang w:val="hy-AM"/>
        </w:rPr>
      </w:pPr>
      <w:r w:rsidRPr="000F2B84">
        <w:rPr>
          <w:rFonts w:ascii="GHEA Grapalat" w:hAnsi="GHEA Grapalat" w:cs="Sylfaen"/>
          <w:b/>
          <w:sz w:val="24"/>
          <w:szCs w:val="24"/>
          <w:lang w:val="hy-AM"/>
        </w:rPr>
        <w:t>Կարգավորման</w:t>
      </w:r>
      <w:r w:rsidRPr="000F2B84">
        <w:rPr>
          <w:rFonts w:ascii="GHEA Grapalat" w:hAnsi="GHEA Grapalat"/>
          <w:b/>
          <w:sz w:val="24"/>
          <w:szCs w:val="24"/>
          <w:lang w:val="hy-AM"/>
        </w:rPr>
        <w:t xml:space="preserve"> ենթակա խնդիրը </w:t>
      </w:r>
    </w:p>
    <w:p w:rsidR="005B724A" w:rsidRPr="000F2B84" w:rsidRDefault="00C249B5" w:rsidP="00DA5936">
      <w:pPr>
        <w:pStyle w:val="ListParagraph"/>
        <w:spacing w:line="360" w:lineRule="auto"/>
        <w:ind w:left="0" w:firstLine="720"/>
        <w:jc w:val="both"/>
        <w:rPr>
          <w:rFonts w:ascii="GHEA Grapalat" w:hAnsi="GHEA Grapalat"/>
          <w:sz w:val="24"/>
          <w:szCs w:val="24"/>
          <w:lang w:val="hy-AM"/>
        </w:rPr>
      </w:pPr>
      <w:r w:rsidRPr="00C249B5">
        <w:rPr>
          <w:rFonts w:ascii="GHEA Grapalat" w:hAnsi="GHEA Grapalat"/>
          <w:sz w:val="24"/>
          <w:szCs w:val="24"/>
          <w:lang w:val="hy-AM"/>
        </w:rPr>
        <w:t>«Հայաստանի Հանրապետության վարչական դատավարության օրենսգրքում լրացումներ և փոփոխություններ կատարելու մասին</w:t>
      </w:r>
      <w:r w:rsidR="00416349">
        <w:rPr>
          <w:rFonts w:ascii="GHEA Grapalat" w:hAnsi="GHEA Grapalat"/>
          <w:sz w:val="24"/>
          <w:szCs w:val="24"/>
          <w:lang w:val="hy-AM"/>
        </w:rPr>
        <w:t>»</w:t>
      </w:r>
      <w:r w:rsidR="00416349" w:rsidRPr="00416349">
        <w:rPr>
          <w:rFonts w:ascii="GHEA Grapalat" w:hAnsi="GHEA Grapalat"/>
          <w:sz w:val="24"/>
          <w:szCs w:val="24"/>
          <w:lang w:val="hy-AM"/>
        </w:rPr>
        <w:t xml:space="preserve">, </w:t>
      </w:r>
      <w:r w:rsidRPr="00C249B5">
        <w:rPr>
          <w:rFonts w:ascii="GHEA Grapalat" w:hAnsi="GHEA Grapalat"/>
          <w:sz w:val="24"/>
          <w:szCs w:val="24"/>
          <w:lang w:val="hy-AM"/>
        </w:rPr>
        <w:t>«Վարչական իրավախախտումների վերաբերյալ Հայաստանի Հանրապետության օրենսգրքում փոփոխություններ և լրացումներ կատարելու մասին»</w:t>
      </w:r>
      <w:r w:rsidR="00416349" w:rsidRPr="00416349">
        <w:rPr>
          <w:rFonts w:ascii="GHEA Grapalat" w:hAnsi="GHEA Grapalat"/>
          <w:sz w:val="24"/>
          <w:szCs w:val="24"/>
          <w:lang w:val="hy-AM"/>
        </w:rPr>
        <w:t xml:space="preserve"> և «Դատական ակտերի հարկադիր կատարման մասին» օրենքում լրացում կատարելու մասին»</w:t>
      </w:r>
      <w:r w:rsidR="00416349" w:rsidRPr="000F2B84">
        <w:rPr>
          <w:rFonts w:ascii="GHEA Grapalat" w:hAnsi="GHEA Grapalat"/>
          <w:b/>
          <w:bCs/>
          <w:color w:val="000000"/>
          <w:shd w:val="clear" w:color="auto" w:fill="FFFFFF"/>
          <w:lang w:val="hy-AM"/>
        </w:rPr>
        <w:t xml:space="preserve"> </w:t>
      </w:r>
      <w:r w:rsidRPr="00C249B5">
        <w:rPr>
          <w:rFonts w:ascii="GHEA Grapalat" w:hAnsi="GHEA Grapalat"/>
          <w:sz w:val="24"/>
          <w:szCs w:val="24"/>
          <w:lang w:val="hy-AM"/>
        </w:rPr>
        <w:t xml:space="preserve">օրենքների նախագծերի (այսուհետ միասին՝ </w:t>
      </w:r>
      <w:r>
        <w:rPr>
          <w:rFonts w:ascii="GHEA Grapalat" w:hAnsi="GHEA Grapalat"/>
          <w:sz w:val="24"/>
          <w:szCs w:val="24"/>
          <w:lang w:val="hy-AM"/>
        </w:rPr>
        <w:t>Նախագ</w:t>
      </w:r>
      <w:r w:rsidRPr="00C249B5">
        <w:rPr>
          <w:rFonts w:ascii="GHEA Grapalat" w:hAnsi="GHEA Grapalat"/>
          <w:sz w:val="24"/>
          <w:szCs w:val="24"/>
          <w:lang w:val="hy-AM"/>
        </w:rPr>
        <w:t>ծեր)</w:t>
      </w:r>
      <w:r w:rsidR="005B724A" w:rsidRPr="000F2B84">
        <w:rPr>
          <w:rFonts w:ascii="GHEA Grapalat" w:hAnsi="GHEA Grapalat"/>
          <w:sz w:val="24"/>
          <w:szCs w:val="24"/>
          <w:lang w:val="hy-AM"/>
        </w:rPr>
        <w:t xml:space="preserve"> մշակումը բխում է </w:t>
      </w:r>
      <w:r w:rsidR="001F4399" w:rsidRPr="000F2B84">
        <w:rPr>
          <w:rFonts w:ascii="GHEA Grapalat" w:hAnsi="GHEA Grapalat"/>
          <w:sz w:val="24"/>
          <w:szCs w:val="24"/>
          <w:lang w:val="hy-AM"/>
        </w:rPr>
        <w:t>վարչական դատարանի ծանրաբեռնվածության թեթևացման, ինչպես նաև վարչական դատարանի իրավակիրառ պրակտիկայում առաջացած խնդիրների լուծման անհրաժեշտությունից</w:t>
      </w:r>
      <w:r w:rsidR="00885748" w:rsidRPr="000F2B84">
        <w:rPr>
          <w:rFonts w:ascii="GHEA Grapalat" w:hAnsi="GHEA Grapalat"/>
          <w:sz w:val="24"/>
          <w:szCs w:val="24"/>
          <w:lang w:val="hy-AM"/>
        </w:rPr>
        <w:t>:</w:t>
      </w:r>
    </w:p>
    <w:p w:rsidR="005B724A" w:rsidRPr="000F2B84" w:rsidRDefault="005B724A" w:rsidP="00DA5936">
      <w:pPr>
        <w:pStyle w:val="ListParagraph"/>
        <w:spacing w:line="360" w:lineRule="auto"/>
        <w:ind w:left="0" w:firstLine="720"/>
        <w:jc w:val="both"/>
        <w:rPr>
          <w:rFonts w:ascii="GHEA Grapalat" w:hAnsi="GHEA Grapalat"/>
          <w:sz w:val="24"/>
          <w:szCs w:val="24"/>
          <w:lang w:val="hy-AM"/>
        </w:rPr>
      </w:pPr>
    </w:p>
    <w:p w:rsidR="005B724A" w:rsidRPr="000F2B84" w:rsidRDefault="005B724A" w:rsidP="00DA5936">
      <w:pPr>
        <w:pStyle w:val="ListParagraph"/>
        <w:numPr>
          <w:ilvl w:val="0"/>
          <w:numId w:val="1"/>
        </w:numPr>
        <w:spacing w:after="0" w:line="360" w:lineRule="auto"/>
        <w:jc w:val="both"/>
        <w:rPr>
          <w:rFonts w:ascii="GHEA Grapalat" w:hAnsi="GHEA Grapalat" w:cs="Sylfaen"/>
          <w:b/>
          <w:sz w:val="24"/>
          <w:szCs w:val="24"/>
          <w:lang w:val="hy-AM"/>
        </w:rPr>
      </w:pPr>
      <w:r w:rsidRPr="000F2B84">
        <w:rPr>
          <w:rFonts w:ascii="GHEA Grapalat" w:hAnsi="GHEA Grapalat" w:cs="Sylfaen"/>
          <w:b/>
          <w:sz w:val="24"/>
          <w:szCs w:val="24"/>
          <w:lang w:val="hy-AM"/>
        </w:rPr>
        <w:t>Առկա իրավիճակը</w:t>
      </w:r>
    </w:p>
    <w:p w:rsidR="001145C2" w:rsidRPr="000F2B84" w:rsidRDefault="001F4399" w:rsidP="00DA5936">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արչական դատավարության օրենսգ</w:t>
      </w:r>
      <w:r w:rsidR="00AC5DE8" w:rsidRPr="000F2B84">
        <w:rPr>
          <w:rFonts w:ascii="GHEA Grapalat" w:eastAsia="Calibri" w:hAnsi="GHEA Grapalat" w:cs="Sylfaen"/>
          <w:b/>
          <w:sz w:val="24"/>
          <w:szCs w:val="24"/>
          <w:lang w:val="hy-AM"/>
        </w:rPr>
        <w:t>րքում</w:t>
      </w:r>
      <w:r w:rsidRPr="000F2B84">
        <w:rPr>
          <w:rFonts w:ascii="GHEA Grapalat" w:eastAsia="Calibri" w:hAnsi="GHEA Grapalat" w:cs="Sylfaen"/>
          <w:b/>
          <w:sz w:val="24"/>
          <w:szCs w:val="24"/>
          <w:lang w:val="hy-AM"/>
        </w:rPr>
        <w:t xml:space="preserve"> </w:t>
      </w:r>
      <w:r w:rsidRPr="000F2B84">
        <w:rPr>
          <w:rFonts w:ascii="GHEA Grapalat" w:hAnsi="GHEA Grapalat" w:cs="Sylfaen"/>
          <w:b/>
          <w:sz w:val="24"/>
          <w:szCs w:val="24"/>
          <w:lang w:val="hy-AM"/>
        </w:rPr>
        <w:t>փոփոխությունների մասով.</w:t>
      </w:r>
    </w:p>
    <w:p w:rsidR="00487453"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Վարչական դատավարության օ</w:t>
      </w:r>
      <w:r w:rsidR="00487453" w:rsidRPr="000F2B84">
        <w:rPr>
          <w:rFonts w:ascii="GHEA Grapalat" w:hAnsi="GHEA Grapalat"/>
          <w:sz w:val="24"/>
          <w:szCs w:val="24"/>
          <w:lang w:val="hy-AM"/>
        </w:rPr>
        <w:t>րենսգրքով</w:t>
      </w:r>
      <w:r w:rsidRPr="000F2B84">
        <w:rPr>
          <w:rFonts w:ascii="GHEA Grapalat" w:hAnsi="GHEA Grapalat"/>
          <w:sz w:val="24"/>
          <w:szCs w:val="24"/>
          <w:lang w:val="hy-AM"/>
        </w:rPr>
        <w:t xml:space="preserve"> (այսուհետ՝ Օրենսգիրք</w:t>
      </w:r>
      <w:r w:rsidR="00487453" w:rsidRPr="000F2B84">
        <w:rPr>
          <w:rFonts w:ascii="GHEA Grapalat" w:hAnsi="GHEA Grapalat"/>
          <w:sz w:val="24"/>
          <w:szCs w:val="24"/>
          <w:lang w:val="hy-AM"/>
        </w:rPr>
        <w:t xml:space="preserve">), ի տարբերություն քաղաքացիական դատավարության օրենսգրքի, նախատեսված չէ </w:t>
      </w:r>
      <w:r w:rsidR="00487453" w:rsidRPr="000F2B84">
        <w:rPr>
          <w:rFonts w:ascii="GHEA Grapalat" w:hAnsi="GHEA Grapalat"/>
          <w:sz w:val="24"/>
          <w:szCs w:val="24"/>
          <w:lang w:val="hy-AM"/>
        </w:rPr>
        <w:lastRenderedPageBreak/>
        <w:t>դատավարական իրավունքների չարաշահման դեպքում վարչական դատարան</w:t>
      </w:r>
      <w:r w:rsidR="004F0EFC" w:rsidRPr="004F0EFC">
        <w:rPr>
          <w:rFonts w:ascii="GHEA Grapalat" w:hAnsi="GHEA Grapalat"/>
          <w:sz w:val="24"/>
          <w:szCs w:val="24"/>
          <w:lang w:val="hy-AM"/>
        </w:rPr>
        <w:t>ի կողմից</w:t>
      </w:r>
      <w:r w:rsidR="00487453" w:rsidRPr="000F2B84">
        <w:rPr>
          <w:rFonts w:ascii="GHEA Grapalat" w:hAnsi="GHEA Grapalat"/>
          <w:sz w:val="24"/>
          <w:szCs w:val="24"/>
          <w:lang w:val="hy-AM"/>
        </w:rPr>
        <w:t xml:space="preserve"> հակազ</w:t>
      </w:r>
      <w:r w:rsidR="0082453C" w:rsidRPr="000F2B84">
        <w:rPr>
          <w:rFonts w:ascii="GHEA Grapalat" w:hAnsi="GHEA Grapalat"/>
          <w:sz w:val="24"/>
          <w:szCs w:val="24"/>
          <w:lang w:val="hy-AM"/>
        </w:rPr>
        <w:t>դ</w:t>
      </w:r>
      <w:r w:rsidR="00487453" w:rsidRPr="000F2B84">
        <w:rPr>
          <w:rFonts w:ascii="GHEA Grapalat" w:hAnsi="GHEA Grapalat"/>
          <w:sz w:val="24"/>
          <w:szCs w:val="24"/>
          <w:lang w:val="hy-AM"/>
        </w:rPr>
        <w:t xml:space="preserve">ման որևէ </w:t>
      </w:r>
      <w:r w:rsidR="004F0EFC">
        <w:rPr>
          <w:rFonts w:ascii="GHEA Grapalat" w:hAnsi="GHEA Grapalat"/>
          <w:sz w:val="24"/>
          <w:szCs w:val="24"/>
          <w:lang w:val="hy-AM"/>
        </w:rPr>
        <w:t>մեխանիզմ</w:t>
      </w:r>
      <w:r w:rsidR="00487453" w:rsidRPr="000F2B84">
        <w:rPr>
          <w:rFonts w:ascii="GHEA Grapalat" w:hAnsi="GHEA Grapalat"/>
          <w:sz w:val="24"/>
          <w:szCs w:val="24"/>
          <w:lang w:val="hy-AM"/>
        </w:rPr>
        <w:t>:</w:t>
      </w:r>
    </w:p>
    <w:p w:rsidR="00487453" w:rsidRPr="000F2B84" w:rsidRDefault="0048745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Օրենգրքում որպես ապացույցի տեսակ նախատեսված չէ մասնագետի բացատրությունը: Մինչդեռ, վարչական դատավարության ընթացքում հաճախ անհրաժեշտություն է առաջանում ներգրավել մասնագետի՝ տեսական կամ կիրառական գիտելիքներ ունեցող ֆիզիկական անձի՝ գործի քննության համար նշանակություն ունեցող հարցերի վերաբերյալ առանց նախնական հետազոտությունների իրականացման մասնագիտական բացատրություններ տալու համար:</w:t>
      </w:r>
    </w:p>
    <w:p w:rsidR="001F4399" w:rsidRPr="000F2B84" w:rsidRDefault="0048745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Օրենսգրքի </w:t>
      </w:r>
      <w:r w:rsidR="001F4399" w:rsidRPr="000F2B84">
        <w:rPr>
          <w:rFonts w:ascii="GHEA Grapalat" w:hAnsi="GHEA Grapalat"/>
          <w:sz w:val="24"/>
          <w:szCs w:val="24"/>
          <w:lang w:val="hy-AM"/>
        </w:rPr>
        <w:t>57-րդ հոդվածի համաձայն՝ պետական տուրքի չափի, դրա վճարումից ազատելու, պետական տուրքի վճարումը հետաձգելու կամ տարաժամկետելու և դրա չափը նվազեցնելու հետ կապված հարաբերությունները կարգավորվում են «Պետական տուրքի մասին» Հայաստանի Հանրապետության օրենքով։</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Սակայն հոդվածում մանրամասն կարգավորված չեն պետական տուրքի հետ կապված որոշակի հարցերը: Մասնավորապես, կարգավորված չեն դատական ակտը միայն դատական ծախսերի մասով բողոքարկելու, հիմնական պահանջից բացի, ածանցյալ պահանջներ ներկայացնելու դեպքում պետական տուրքի գանձնման հարցերը:</w:t>
      </w:r>
    </w:p>
    <w:p w:rsidR="00E97008" w:rsidRPr="000F2B84" w:rsidRDefault="00E97008"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3-րդ հոդվածի 3-րդ մասի համաձայն՝ վարչական դատարան կարող են դիմել նաև պետական և տեղական ինքնակառավարման մարմինները կամ պաշտոնատար անձինք` ընդդեմ վարչական մարմնի, եթե համարում են, որ այդ մարմնի վարչական ակտով, գործողությամբ կամ անգործությամբ խախտվել կամ անմիջականորեն կարող են խախտվել պետության կամ համայնքի այն իրավունքները, որոնց պաշտպանության լիազորությունը դրված է իրենց վրա, եթե այդ վեճը ենթակա չէ լուծման վերադասության կարգով։</w:t>
      </w:r>
    </w:p>
    <w:p w:rsidR="00E97008" w:rsidRPr="000F2B84" w:rsidRDefault="00E97008" w:rsidP="00DA5936">
      <w:pPr>
        <w:pStyle w:val="NoSpacing"/>
        <w:spacing w:line="360" w:lineRule="auto"/>
        <w:ind w:firstLine="567"/>
        <w:jc w:val="both"/>
        <w:rPr>
          <w:rFonts w:ascii="GHEA Grapalat" w:hAnsi="GHEA Grapalat"/>
          <w:sz w:val="24"/>
          <w:szCs w:val="24"/>
          <w:lang w:val="hy-AM"/>
        </w:rPr>
      </w:pPr>
      <w:r w:rsidRPr="000F2B84">
        <w:rPr>
          <w:rFonts w:ascii="GHEA Grapalat" w:hAnsi="GHEA Grapalat"/>
          <w:sz w:val="24"/>
          <w:szCs w:val="24"/>
          <w:lang w:val="hy-AM"/>
        </w:rPr>
        <w:lastRenderedPageBreak/>
        <w:t>Փաստորեն Օրենսգրքի 3-րդ հոդվածի 3-րդ մասում նշված սուբյեկտների կողմից հայց հարուցելու համար օրենսդիրը սահմանել է նախապայմաններ, որոնք հետևյալն են.</w:t>
      </w:r>
    </w:p>
    <w:p w:rsidR="00E97008" w:rsidRPr="000F2B84" w:rsidRDefault="00E97008" w:rsidP="00DA5936">
      <w:pPr>
        <w:pStyle w:val="NoSpacing"/>
        <w:numPr>
          <w:ilvl w:val="0"/>
          <w:numId w:val="12"/>
        </w:numPr>
        <w:spacing w:line="360" w:lineRule="auto"/>
        <w:ind w:left="0" w:firstLine="360"/>
        <w:jc w:val="both"/>
        <w:rPr>
          <w:rFonts w:ascii="GHEA Grapalat" w:hAnsi="GHEA Grapalat"/>
          <w:sz w:val="24"/>
          <w:szCs w:val="24"/>
          <w:lang w:val="hy-AM"/>
        </w:rPr>
      </w:pPr>
      <w:r w:rsidRPr="000F2B84">
        <w:rPr>
          <w:rFonts w:ascii="GHEA Grapalat" w:hAnsi="GHEA Grapalat"/>
          <w:sz w:val="24"/>
          <w:szCs w:val="24"/>
          <w:lang w:val="hy-AM"/>
        </w:rPr>
        <w:t xml:space="preserve">պետք է համարեն, որ պետական և տեղական ինքնակառավարման մարմինների կամ պաշտոնատար անձանց վարչական ակտով, գործողությամբ կամ անգործությամբ խախտվել կամ անմիջականորեն կարող են խախտվել պետության կամ համայնքի իրավունքները, </w:t>
      </w:r>
    </w:p>
    <w:p w:rsidR="00E97008" w:rsidRPr="000F2B84" w:rsidRDefault="00E97008" w:rsidP="00DA5936">
      <w:pPr>
        <w:pStyle w:val="NoSpacing"/>
        <w:numPr>
          <w:ilvl w:val="0"/>
          <w:numId w:val="12"/>
        </w:numPr>
        <w:spacing w:line="360" w:lineRule="auto"/>
        <w:ind w:left="0" w:firstLine="360"/>
        <w:jc w:val="both"/>
        <w:rPr>
          <w:rFonts w:ascii="GHEA Grapalat" w:hAnsi="GHEA Grapalat"/>
          <w:sz w:val="24"/>
          <w:szCs w:val="24"/>
          <w:lang w:val="hy-AM"/>
        </w:rPr>
      </w:pPr>
      <w:r w:rsidRPr="000F2B84">
        <w:rPr>
          <w:rFonts w:ascii="GHEA Grapalat" w:hAnsi="GHEA Grapalat"/>
          <w:sz w:val="24"/>
          <w:szCs w:val="24"/>
          <w:lang w:val="hy-AM"/>
        </w:rPr>
        <w:t>այդ իրավունքների պաշտպանության լիազորությունը դրված է իրենց վրա և,</w:t>
      </w:r>
    </w:p>
    <w:p w:rsidR="00E97008" w:rsidRPr="000F2B84" w:rsidRDefault="00E97008" w:rsidP="00DA5936">
      <w:pPr>
        <w:pStyle w:val="NoSpacing"/>
        <w:numPr>
          <w:ilvl w:val="0"/>
          <w:numId w:val="12"/>
        </w:numPr>
        <w:spacing w:line="360" w:lineRule="auto"/>
        <w:ind w:left="0" w:firstLine="360"/>
        <w:jc w:val="both"/>
        <w:rPr>
          <w:rFonts w:ascii="GHEA Grapalat" w:hAnsi="GHEA Grapalat"/>
          <w:sz w:val="24"/>
          <w:szCs w:val="24"/>
          <w:lang w:val="hy-AM"/>
        </w:rPr>
      </w:pPr>
      <w:r w:rsidRPr="000F2B84">
        <w:rPr>
          <w:rFonts w:ascii="GHEA Grapalat" w:hAnsi="GHEA Grapalat"/>
          <w:sz w:val="24"/>
          <w:szCs w:val="24"/>
          <w:lang w:val="hy-AM"/>
        </w:rPr>
        <w:t>այդ վեճը ենթակա չէ լուծման վերադասության կարգով։</w:t>
      </w:r>
    </w:p>
    <w:p w:rsidR="00E97008" w:rsidRPr="000F2B84" w:rsidRDefault="00E97008" w:rsidP="00DA5936">
      <w:pPr>
        <w:pStyle w:val="NoSpacing"/>
        <w:spacing w:line="360" w:lineRule="auto"/>
        <w:ind w:firstLine="567"/>
        <w:jc w:val="both"/>
        <w:rPr>
          <w:rFonts w:ascii="GHEA Grapalat" w:hAnsi="GHEA Grapalat"/>
          <w:sz w:val="24"/>
          <w:szCs w:val="24"/>
          <w:lang w:val="hy-AM"/>
        </w:rPr>
      </w:pPr>
      <w:r w:rsidRPr="000F2B84">
        <w:rPr>
          <w:rFonts w:ascii="GHEA Grapalat" w:hAnsi="GHEA Grapalat"/>
          <w:sz w:val="24"/>
          <w:szCs w:val="24"/>
          <w:lang w:val="hy-AM"/>
        </w:rPr>
        <w:t>Այսինքն՝</w:t>
      </w:r>
      <w:r w:rsidRPr="000F2B84">
        <w:rPr>
          <w:rFonts w:ascii="GHEA Grapalat" w:hAnsi="GHEA Grapalat"/>
          <w:b/>
          <w:sz w:val="24"/>
          <w:szCs w:val="24"/>
          <w:lang w:val="hy-AM"/>
        </w:rPr>
        <w:t xml:space="preserve"> </w:t>
      </w:r>
      <w:r w:rsidRPr="000F2B84">
        <w:rPr>
          <w:rFonts w:ascii="GHEA Grapalat" w:hAnsi="GHEA Grapalat"/>
          <w:sz w:val="24"/>
          <w:szCs w:val="24"/>
          <w:lang w:val="hy-AM"/>
        </w:rPr>
        <w:t xml:space="preserve">Օրենսգրքի 3-րդ հոդվածի 3-րդ մասում նշված սուբյեկտների կողմից ներկայացված հարցի վարույթ ընդունելու հարցի լուծումը պայմանավորված է վերոգրյալ հանգամքների պարզմամբ, ուստի անհրաժեշտ է հայցադիմումին ներկայացվող պահանջների մեջ ավելացնել պահանջ առ այն, որ Օրենսգրքի 3-րդ հոդվածի 3-րդ մասում նշված սուբյեկտների կողմից ներկայացված հայցադիմումը պետք է պարունակի նաև վերոգրյալ տեղեկությունները: </w:t>
      </w:r>
    </w:p>
    <w:p w:rsidR="00E97008" w:rsidRPr="000F2B84" w:rsidRDefault="00E97008"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Օրենգքրի 80-րդ հոդվածի 4-րդ մասի համաձայն՝ հայցադիմումի ընդունումը մերժելու մասին որոշումը բողոքարկվելու և վերացվելու դեպքում հայցադիմումը համարվում է վարույթ ընդունված սկզբնական ներկայացման օրը։ Մինչդեռ, գործնականում լինում են դեպքեր, երբ վերաքննիչ վարչական դատարանն ընդունում է հայցադիմումի ընդունումը մերժելու մասին որոշումը վերացվելու մասին որոշում, սակայն առկա են լինում հայցադիմումը վերադարձնելու հիմքեր:</w:t>
      </w:r>
    </w:p>
    <w:p w:rsidR="001F4399"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123-րդ հոդվածի համաձայն՝ վարչական դատարանի (...) դատական ակտում առկա վրիպակների, գրասխալների և թվաբանական սխալների ուղղման, լրացուցիչ վճռի կայացման, վճռի պարզաբանման վրա տարածվում են Հայաստանի Հանրապետության քաղաքացիական դատավարության օրենսգրքի համապատասխան կանոնները:</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lastRenderedPageBreak/>
        <w:t>09.04.2018 թվականից ուժի մեջ մտած նոր Քաղաքացիական դատավարության օրենսգրքով վճռի պարզաբանման հնարավորություն նախատեսված չէ:</w:t>
      </w:r>
    </w:p>
    <w:p w:rsidR="00E97008"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Օրենսգրքով սահմանված չէ </w:t>
      </w:r>
      <w:r w:rsidR="0082453C" w:rsidRPr="000F2B84">
        <w:rPr>
          <w:rFonts w:ascii="GHEA Grapalat" w:hAnsi="GHEA Grapalat"/>
          <w:sz w:val="24"/>
          <w:szCs w:val="24"/>
          <w:lang w:val="hy-AM"/>
        </w:rPr>
        <w:t>վ</w:t>
      </w:r>
      <w:r w:rsidRPr="000F2B84">
        <w:rPr>
          <w:rFonts w:ascii="GHEA Grapalat" w:hAnsi="GHEA Grapalat"/>
          <w:sz w:val="24"/>
          <w:szCs w:val="24"/>
          <w:lang w:val="hy-AM"/>
        </w:rPr>
        <w:t>երաքննիչ և Վճռաբեկ դատարանների  որոշումների մեջ առկա վրիպակների, գրասխալների և թվաբանական սխալների ուղղման, լրացուցիչ որոշում կայացնելու հնարավորություն:</w:t>
      </w:r>
    </w:p>
    <w:p w:rsidR="00E97008" w:rsidRPr="000F2B84" w:rsidRDefault="00E97008"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152-րդ հոդվածի 1-ին մասով սահմանված է, որ դատավարական իրավունքի նորմերի խախտումը կամ սխալ կիրառումը դատական ակտի բեկանման հիմք է, եթե հանգեցրել է կամ կարող էր հանգեցնել գործի սխալ լուծման։ Դատարանի` ըստ էության ճիշտ դատական ակտը չի կարող բեկանվել միայն ձևական նկատառումներով։</w:t>
      </w:r>
    </w:p>
    <w:p w:rsidR="00E97008" w:rsidRPr="000F2B84" w:rsidRDefault="00E97008"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Նույն հոդվածի 2-րդ մասում թվարկված են այն հիմքերը, որոնց առկայության դեպքում դատական ակտը բոլոր դեպքերում ենթակա է բեկանման:</w:t>
      </w:r>
    </w:p>
    <w:p w:rsidR="00E97008" w:rsidRPr="000F2B84" w:rsidRDefault="00E97008"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Համանման կարգավորում նախատեսող ՀՀ քաղաքացիական դատավարության օրենսգրքի 365-րդ հոդվածում սահմանվել է որոշ հիմքերի առկայության պարագայում դատական ակտը՝ անկախ բողոքի հիմքերից և հիմնավորումներից անվերապահ բեկանելու կանոն, որպիսի կարգավորում առկա չէ Օրենսգրքում:</w:t>
      </w:r>
      <w:r w:rsidR="0082453C" w:rsidRPr="000F2B84">
        <w:rPr>
          <w:rFonts w:ascii="GHEA Grapalat" w:hAnsi="GHEA Grapalat"/>
          <w:sz w:val="24"/>
          <w:szCs w:val="24"/>
          <w:lang w:val="hy-AM"/>
        </w:rPr>
        <w:t xml:space="preserve"> </w:t>
      </w:r>
      <w:r w:rsidR="0082453C" w:rsidRPr="008752F7">
        <w:rPr>
          <w:rFonts w:ascii="GHEA Grapalat" w:hAnsi="GHEA Grapalat"/>
          <w:sz w:val="24"/>
          <w:szCs w:val="24"/>
          <w:lang w:val="hy-AM"/>
        </w:rPr>
        <w:t>Մինչդեռ, դատական ակտի անվերապահ բեկանման որոշ հիմքերի առկայության դեպքում անկախ բողոքի հիմքերից և հիմնավորումներից դատական ակտը պետք է բեկանվի:</w:t>
      </w:r>
    </w:p>
    <w:p w:rsidR="001F4399"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160-րդ հոդվածի 1-ին մասի 1-ին կետի համաձայն՝ վճռաբեկ բողոքը թողնվում է առանց քննության, եթե վճռաբեկ բողոքը բերվել է սահմանված ժամկետը լրանալուց հետո, և բաց թողած ժամկետը վերականգնելու մասին միջնորդությունը բացակայում է կամ մերժվել է:</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 xml:space="preserve">Սահմանված ժամկետը լրանալուց հետո բերված լինելու և բաց թողած ժամկետը վերականգնելու մասին միջնորդություն ներկայացված չլինելու պարագայում, առանց բողոք բերող անձին բաց թողած ժամկետը վերականգնելու </w:t>
      </w:r>
      <w:r w:rsidRPr="000F2B84">
        <w:rPr>
          <w:rFonts w:ascii="GHEA Grapalat" w:hAnsi="GHEA Grapalat"/>
          <w:sz w:val="24"/>
          <w:szCs w:val="24"/>
          <w:lang w:val="hy-AM"/>
        </w:rPr>
        <w:lastRenderedPageBreak/>
        <w:t xml:space="preserve">մասին միջնորդություն ներկայացնելու հնարավորություն ընձեռելու վճռաբեկ բողոքն առանց քննության թողնելն անհամաչափ սահմանափակում է բողոք բերած անձի դատարանի մատչելիության և դատական պաշտպանության իրավունքը: </w:t>
      </w:r>
    </w:p>
    <w:p w:rsidR="009D2A13"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Այսպես, օրինակ, Քաղաքացիական դատավարության օրենսգրքով բաց թողնված ժամկետը վերականգնելու մասին միջնորդության բացակայությամբ վճռաբեկ բողոքը սահմանված ժամկետը լրանալուց հետո բերված լինելը հանդիսանում է վճռաբեկ բողոքը վերադարձնելու հիմք:</w:t>
      </w:r>
    </w:p>
    <w:p w:rsidR="009D2A13"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Օրենսգրքով սահմանված չէ, թե ինչ որոշում պետք է կայացնի Վճռաբեկ դատարանն այն դեպքում, երբ բողոք բերող անձը չի վերացրել վճռաբեկ բողոքը վերադարձնելու մասին որոշման մեջ նշված թերությունները, կամ բողոքը կրկին ներկայացնելու դեպքում թույլ են տրվել նոր խախտումներ:</w:t>
      </w:r>
    </w:p>
    <w:p w:rsidR="001F4399"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Օրենսգրքով սահմանված չէ, թե ինչ որոշում պետք է կայացնի Վճռաբեկ դատարանն այն դեպքում, երբ մերժել է պետական տուրքի արտոնություն կիրառելու մասին միջնորդությունը:</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Նշվածը հաշվի առնելով, ինչպես  նաև սահմանված ժամկետը լրանալուց հետո վճռաբեկ բողոք բերած անձին բաց թողած ժամկետը վերականգնելու մասին միջնորդություն ներկայացնելու հնարավորություն  ընձեռելու  համար անհրաժեշտ է Օրենսգրքի 160-րդ հոդվածի 2-րդ մասը փոփոխել:</w:t>
      </w:r>
    </w:p>
    <w:p w:rsidR="009D2A13" w:rsidRPr="000F2B84" w:rsidRDefault="009D2A1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Օրենսգրքի </w:t>
      </w:r>
      <w:r w:rsidRPr="000F2B84">
        <w:rPr>
          <w:rFonts w:ascii="GHEA Grapalat" w:hAnsi="GHEA Grapalat"/>
          <w:b/>
          <w:sz w:val="24"/>
          <w:szCs w:val="24"/>
          <w:lang w:val="hy-AM"/>
        </w:rPr>
        <w:t>«Վճռաբեկ բողոքի քննությունը դատական նիստում»</w:t>
      </w:r>
      <w:r w:rsidRPr="000F2B84">
        <w:rPr>
          <w:rFonts w:ascii="GHEA Grapalat" w:hAnsi="GHEA Grapalat"/>
          <w:sz w:val="24"/>
          <w:szCs w:val="24"/>
          <w:lang w:val="hy-AM"/>
        </w:rPr>
        <w:t xml:space="preserve"> վերտառությամբ </w:t>
      </w:r>
      <w:r w:rsidRPr="000F2B84">
        <w:rPr>
          <w:rFonts w:ascii="GHEA Grapalat" w:hAnsi="GHEA Grapalat"/>
          <w:b/>
          <w:sz w:val="24"/>
          <w:szCs w:val="24"/>
          <w:lang w:val="hy-AM"/>
        </w:rPr>
        <w:t xml:space="preserve">166.1-րդ </w:t>
      </w:r>
      <w:r w:rsidRPr="000F2B84">
        <w:rPr>
          <w:rFonts w:ascii="GHEA Grapalat" w:hAnsi="GHEA Grapalat"/>
          <w:sz w:val="24"/>
          <w:szCs w:val="24"/>
          <w:lang w:val="hy-AM"/>
        </w:rPr>
        <w:t xml:space="preserve">հոդվածն ամբողջությամբ չի կարգավորում դատական նիստում վճռաբեկ բողոքի քննությունն իրականացնելու հարցերը: </w:t>
      </w:r>
    </w:p>
    <w:p w:rsidR="00487453" w:rsidRPr="000F2B84" w:rsidRDefault="009D2A1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 </w:t>
      </w:r>
      <w:r w:rsidR="00487453" w:rsidRPr="000F2B84">
        <w:rPr>
          <w:rFonts w:ascii="GHEA Grapalat" w:hAnsi="GHEA Grapalat"/>
          <w:sz w:val="24"/>
          <w:szCs w:val="24"/>
          <w:lang w:val="hy-AM"/>
        </w:rPr>
        <w:t>Նոր երևան եկած կամ նոր հանգամանքներով դատական ակտերի վերանայման դատավարական կանոնները սահմանված են Օրենսգրքի 4-րդ բաժնում (գլուխ 25, հոդվածներ 180-190):</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 xml:space="preserve">Նշված բաժնի իրավակարգավորումների համաձայն՝ նոր երևան եկած կամ նոր հանգամանքներով դատական ակտի վերանայման համար ներկայացվում է դիմում, այլ ոչ թե բողոք: </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lastRenderedPageBreak/>
        <w:t>Ընդ որում նույն բաժնում ներառված հոդվածներով են սահմանված նաև նոր երևան եկած և նոր հանգամանքներով դատական ակտի վերանայման հիմքերը, այդ հիմքերով դատական ակտի վերանայման դիմում ներկայացնելու իրավունք ունեցող սուբյեկտները, ժամկետները, դիմումի ձևին և բովանդակության ներկայացվող պահանջները, դիմում ներկայացնելու, դիմումը վարույթ ընդունելու, վերադարձնելու կարգը:</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Միևնույն ժամանակ Օրենսգրքի 153-րդ հոդվածի համաձայն՝ Վճռաբեկ դատարանը վերաքննիչ դատարանի դատական ակտերը վերանայում է բողոքի հիման վրա:</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Բացի այդ</w:t>
      </w:r>
      <w:r w:rsidR="000F2B84" w:rsidRPr="000F2B84">
        <w:rPr>
          <w:rFonts w:ascii="GHEA Grapalat" w:eastAsia="Calibri" w:hAnsi="GHEA Grapalat" w:cs="Times New Roman"/>
          <w:sz w:val="24"/>
          <w:szCs w:val="24"/>
          <w:lang w:val="hy-AM"/>
        </w:rPr>
        <w:t>,</w:t>
      </w:r>
      <w:r w:rsidRPr="000F2B84">
        <w:rPr>
          <w:rFonts w:ascii="GHEA Grapalat" w:eastAsia="Calibri" w:hAnsi="GHEA Grapalat" w:cs="Times New Roman"/>
          <w:sz w:val="24"/>
          <w:szCs w:val="24"/>
          <w:lang w:val="hy-AM"/>
        </w:rPr>
        <w:t xml:space="preserve"> Օրենսգրքի 158-րդ հոդվածի 4-րդ մասի համաձայն՝ վճռաբեկ բողոքում, ի թիվս այլնի, նշվում են նաև նոր երևան եկած կամ նոր հանգամանքների հետևանքով գործի վերանայման հիմքերը և դրանց հիմնավորումները, իսկ </w:t>
      </w:r>
      <w:r w:rsidRPr="000F2B84">
        <w:rPr>
          <w:rFonts w:ascii="Calibri" w:eastAsia="Calibri" w:hAnsi="Calibri" w:cs="Calibri"/>
          <w:sz w:val="24"/>
          <w:szCs w:val="24"/>
          <w:lang w:val="hy-AM"/>
        </w:rPr>
        <w:t> </w:t>
      </w:r>
      <w:r w:rsidRPr="000F2B84">
        <w:rPr>
          <w:rFonts w:ascii="GHEA Grapalat" w:eastAsia="Calibri" w:hAnsi="GHEA Grapalat" w:cs="Times New Roman"/>
          <w:sz w:val="24"/>
          <w:szCs w:val="24"/>
          <w:lang w:val="hy-AM"/>
        </w:rPr>
        <w:t xml:space="preserve">վճռաբեկ բողոքը 158-րդ հոդվածի պահանջներին չհամապատասխանելը, Օրենսգրքի 160-րդ հոդվածի 2-րդ մասի համաձայն, վճռաբեկ բողոքը վերադարձնելու հիմք է հանդիսանում: </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Վճռաբեկ բողոքը վարույթ ընդունելու հիմքերը սահմանված են Օրենսգրքի 161-րդ հոդվածի 1-ին մասում, որի 2-րդ կետի համաձայն՝ վճռաբեկ բողոքն ընդունվում է քննության, եթե վճռաբեկ դատարանը գտնում է, որ` առերևույթ առկա է մարդու իրավունքների և ազատությունների հիմնարար խախտում:  Նույն հոդվածի 3-րդ մասի համաձայն, մարդու իրավունքների և ազատությունների հիմնարար խախտման առերևույթ առկայություն է նաև նոր կամ նոր երևան եկած հանգամանքը:</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 xml:space="preserve">Փաստորեն մի կողմից վերաքննիչ դատարանի դատական ակտերը Վճռաբեկ դատարանը վերանայում է միայն բողոքի հիման վրա և նոր երևան եկած կամ նոր հանգամանքների հետևանքով գործի վերանայման հիմքերը և դրանց հիմնավորումները պետք է նշվեն վճռաբեկ բողոքում, իսկ դրանք չնշելը, հիմք է վճռաբեկ բողոքը վերադարձնելու համար, մյուս կողմից նոր երևան եկած կամ նոր </w:t>
      </w:r>
      <w:r w:rsidRPr="000F2B84">
        <w:rPr>
          <w:rFonts w:ascii="GHEA Grapalat" w:eastAsia="Calibri" w:hAnsi="GHEA Grapalat" w:cs="Times New Roman"/>
          <w:sz w:val="24"/>
          <w:szCs w:val="24"/>
          <w:lang w:val="hy-AM"/>
        </w:rPr>
        <w:lastRenderedPageBreak/>
        <w:t>հանգամանքներով դատական ակտի վերանայման համար ներկայացվում է դիմում, այլ ոչ թե բողոք, իսկ Օրենսգրքի 188-րդ հոդվածով սահմանված են դիմումը վերադարձնելու ինքնուրույն, Օրենսգրքի 160-րդ հոդվածից տարբերվող հիմքեր: Այսպես օրինակ, Օրենսգրքի 160-րդ հոդվածի համաձայն՝  վճռաբեկ բողոքը վերադարձվում է, եթե այն չի համապատասխանում սույն օրենսգրքի 158-րդ հոդվածի պահանջներին, իսկ Օրենսգրքի 158-րդ հոդվածի պահանջներից է նաև վճռաբեկ բողոքի էլեկտրոնային տարբերակը (էլեկտրոնային կրիչը) վճռաբեկ բողոքին կցելը,  մինչդեռ նոր երևան եկած կամ նոր հանգամանքներով դատական ակտի վերանայման դիմումին վճռաբեկ բողոքի էլեկտրոնային տարբերակը (էլեկտրոնային կրիչը) կցելու կանոն Օրենսգրքի 186-րդ հոդվածով նախատեսված չէ, հետևաբար Օրենսգրքի 188-րդ հոդվածի կիրառմամբ ենթակա չէ վերադարձման:</w:t>
      </w:r>
    </w:p>
    <w:p w:rsidR="00487453" w:rsidRPr="000F2B84" w:rsidRDefault="00487453" w:rsidP="00DA5936">
      <w:pPr>
        <w:shd w:val="clear" w:color="auto" w:fill="FFFFFF"/>
        <w:spacing w:after="0" w:line="360" w:lineRule="auto"/>
        <w:ind w:firstLine="567"/>
        <w:jc w:val="both"/>
        <w:rPr>
          <w:rFonts w:ascii="GHEA Grapalat" w:hAnsi="GHEA Grapalat"/>
          <w:sz w:val="24"/>
          <w:szCs w:val="24"/>
          <w:lang w:val="hy-AM"/>
        </w:rPr>
      </w:pPr>
      <w:r w:rsidRPr="000F2B84">
        <w:rPr>
          <w:rFonts w:ascii="GHEA Grapalat" w:hAnsi="GHEA Grapalat"/>
          <w:sz w:val="24"/>
          <w:szCs w:val="24"/>
          <w:lang w:val="hy-AM"/>
        </w:rPr>
        <w:t>Ուստի</w:t>
      </w:r>
      <w:r w:rsidRPr="000F2B84">
        <w:rPr>
          <w:rFonts w:ascii="GHEA Grapalat" w:eastAsia="Calibri" w:hAnsi="GHEA Grapalat" w:cs="Times New Roman"/>
          <w:sz w:val="24"/>
          <w:szCs w:val="24"/>
          <w:lang w:val="hy-AM"/>
        </w:rPr>
        <w:t xml:space="preserve"> անհրաժեշտ է Օրենսգրքում կատարել համապատասխան փոփոխություններ՝ բացառելու համար միևնույն հարցի վերաբերյալ իրարից տարբերվող իրավակարգավորումները: </w:t>
      </w:r>
    </w:p>
    <w:p w:rsidR="00487453" w:rsidRPr="000F2B84" w:rsidRDefault="009D2A13" w:rsidP="00DA5936">
      <w:pPr>
        <w:pStyle w:val="ListParagraph"/>
        <w:numPr>
          <w:ilvl w:val="0"/>
          <w:numId w:val="10"/>
        </w:numPr>
        <w:shd w:val="clear" w:color="auto" w:fill="FFFFFF"/>
        <w:spacing w:after="0" w:line="360" w:lineRule="auto"/>
        <w:ind w:left="0" w:firstLine="720"/>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Օրենսգրքի նորմատիվ իրավական ակտերի իրավաչափությունը վիճարկելու վերաբերյալ հատուկ վարույթի կարգավորմանը նվիրված 26-րդ գլխում կան կարգավորումներ, որոնք «հին» են և չեն համապատասխանում օրենսդրական գործող կարգավարորումների տրամաբանությանը:</w:t>
      </w:r>
    </w:p>
    <w:p w:rsidR="00575AF2" w:rsidRPr="000F2B84" w:rsidRDefault="00575AF2" w:rsidP="00575AF2">
      <w:pPr>
        <w:spacing w:after="0" w:line="360" w:lineRule="auto"/>
        <w:ind w:firstLine="720"/>
        <w:jc w:val="both"/>
        <w:rPr>
          <w:rFonts w:ascii="GHEA Grapalat" w:hAnsi="GHEA Grapalat" w:cs="Sylfaen"/>
          <w:b/>
          <w:sz w:val="24"/>
          <w:szCs w:val="24"/>
          <w:lang w:val="hy-AM"/>
        </w:rPr>
      </w:pPr>
    </w:p>
    <w:p w:rsidR="00575AF2" w:rsidRPr="000F2B84" w:rsidRDefault="00575AF2" w:rsidP="00575AF2">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 xml:space="preserve">արչական իրավախախտումների վերաբերյալ օրենսգրքում </w:t>
      </w:r>
      <w:r w:rsidRPr="000F2B84">
        <w:rPr>
          <w:rFonts w:ascii="GHEA Grapalat" w:hAnsi="GHEA Grapalat" w:cs="Sylfaen"/>
          <w:b/>
          <w:sz w:val="24"/>
          <w:szCs w:val="24"/>
          <w:lang w:val="hy-AM"/>
        </w:rPr>
        <w:t>փոփոխությունների մասով.</w:t>
      </w:r>
    </w:p>
    <w:p w:rsidR="005A307B" w:rsidRPr="000F2B84" w:rsidRDefault="00575AF2" w:rsidP="005A307B">
      <w:pPr>
        <w:pStyle w:val="NoSpacing"/>
        <w:spacing w:line="360" w:lineRule="auto"/>
        <w:jc w:val="both"/>
        <w:rPr>
          <w:rFonts w:ascii="GHEA Grapalat" w:hAnsi="GHEA Grapalat"/>
          <w:sz w:val="24"/>
          <w:szCs w:val="24"/>
          <w:lang w:val="hy-AM"/>
        </w:rPr>
      </w:pPr>
      <w:r w:rsidRPr="000F2B84">
        <w:rPr>
          <w:rFonts w:ascii="GHEA Grapalat" w:hAnsi="GHEA Grapalat"/>
          <w:sz w:val="24"/>
          <w:szCs w:val="24"/>
          <w:lang w:val="hy-AM"/>
        </w:rPr>
        <w:tab/>
      </w:r>
      <w:r w:rsidR="005A307B" w:rsidRPr="000F2B84">
        <w:rPr>
          <w:rFonts w:ascii="GHEA Grapalat" w:hAnsi="GHEA Grapalat"/>
          <w:sz w:val="24"/>
          <w:szCs w:val="24"/>
          <w:lang w:val="hy-AM"/>
        </w:rPr>
        <w:t xml:space="preserve">Վարչական իրավախախտումների վերաբերյալ օրենսգրքի ուսումնասիրությունից բխում է, որ նշված օրենսգրքով նախատեսված է անձանց վարչական պատասխանատվության ենթարկելու երկու կարգ` արտադատարանական, որն իրականացվում է նույն օրենսգրքով սահմանված` կոնկրետ պետական և տեղական ինքնակառավարման մարմինների ու դրանց պաշտոնատար անձանց կողմից, և դատական, որն իրականացվում է </w:t>
      </w:r>
      <w:r w:rsidR="005A307B" w:rsidRPr="000F2B84">
        <w:rPr>
          <w:rFonts w:ascii="GHEA Grapalat" w:hAnsi="GHEA Grapalat"/>
          <w:sz w:val="24"/>
          <w:szCs w:val="24"/>
          <w:lang w:val="hy-AM"/>
        </w:rPr>
        <w:lastRenderedPageBreak/>
        <w:t>դատարանների կողմից:</w:t>
      </w:r>
      <w:r w:rsidR="005A307B" w:rsidRPr="000F2B84">
        <w:rPr>
          <w:rFonts w:ascii="Arial Unicode" w:hAnsi="Arial Unicode"/>
          <w:b/>
          <w:bCs/>
          <w:color w:val="000000"/>
          <w:sz w:val="21"/>
          <w:szCs w:val="21"/>
          <w:shd w:val="clear" w:color="auto" w:fill="FFFFFF"/>
          <w:lang w:val="hy-AM"/>
        </w:rPr>
        <w:t xml:space="preserve"> </w:t>
      </w:r>
      <w:r w:rsidR="003500F7" w:rsidRPr="000F2B84">
        <w:rPr>
          <w:rFonts w:ascii="GHEA Grapalat" w:hAnsi="GHEA Grapalat"/>
          <w:sz w:val="24"/>
          <w:szCs w:val="24"/>
          <w:lang w:val="hy-AM"/>
        </w:rPr>
        <w:t xml:space="preserve">Վարչական կարգով վարչական պատասխանատվությունը կիրառվում է Վարչական իրավախախտումների վերաբերյալ օրենսգրքով սահմանված կարգով՝ այդ օրենսգրքով նախատեսված ենթակայությանը համապատասխան: Դատական կարգով վարչական պատասխանատվության ենթարկում է վարչական դատարանը </w:t>
      </w:r>
      <w:r w:rsidR="004F0EFC" w:rsidRPr="008752F7">
        <w:rPr>
          <w:rFonts w:ascii="GHEA Grapalat" w:hAnsi="GHEA Grapalat"/>
          <w:sz w:val="24"/>
          <w:szCs w:val="24"/>
          <w:lang w:val="hy-AM"/>
        </w:rPr>
        <w:t>Վ</w:t>
      </w:r>
      <w:r w:rsidR="003500F7" w:rsidRPr="000F2B84">
        <w:rPr>
          <w:rFonts w:ascii="GHEA Grapalat" w:hAnsi="GHEA Grapalat"/>
          <w:sz w:val="24"/>
          <w:szCs w:val="24"/>
          <w:lang w:val="hy-AM"/>
        </w:rPr>
        <w:t xml:space="preserve">արչական դատավարության օրենսգրքով նախատեսված կարգով: </w:t>
      </w:r>
    </w:p>
    <w:p w:rsidR="00216152" w:rsidRPr="000F2B84" w:rsidRDefault="00216152" w:rsidP="005A307B">
      <w:pPr>
        <w:pStyle w:val="NoSpacing"/>
        <w:spacing w:line="360" w:lineRule="auto"/>
        <w:ind w:firstLine="375"/>
        <w:jc w:val="both"/>
        <w:rPr>
          <w:rFonts w:ascii="GHEA Grapalat" w:hAnsi="GHEA Grapalat"/>
          <w:sz w:val="24"/>
          <w:szCs w:val="24"/>
          <w:lang w:val="hy-AM"/>
        </w:rPr>
      </w:pPr>
      <w:r w:rsidRPr="000F2B84">
        <w:rPr>
          <w:rFonts w:ascii="GHEA Grapalat" w:hAnsi="GHEA Grapalat"/>
          <w:sz w:val="24"/>
          <w:szCs w:val="24"/>
          <w:lang w:val="hy-AM"/>
        </w:rPr>
        <w:t xml:space="preserve">Վարչական իրավախախտումների վերաբերյալ օրենսգրքով վարչական դատարանի և համապատասխան վարչական մարմիների քննությանը վերապահված վարչական իրավախախտումների շրջանակների ուսումնասիրությունը ցույց է տալիս, որ երբեմն նման տարբերակումը տրամաբանական հիմնավորում չունի, և վարչական դատարանին </w:t>
      </w:r>
      <w:r w:rsidR="005A307B" w:rsidRPr="000F2B84">
        <w:rPr>
          <w:rFonts w:ascii="GHEA Grapalat" w:hAnsi="GHEA Grapalat"/>
          <w:sz w:val="24"/>
          <w:szCs w:val="24"/>
          <w:lang w:val="hy-AM"/>
        </w:rPr>
        <w:t>է</w:t>
      </w:r>
      <w:r w:rsidRPr="000F2B84">
        <w:rPr>
          <w:rFonts w:ascii="GHEA Grapalat" w:hAnsi="GHEA Grapalat"/>
          <w:sz w:val="24"/>
          <w:szCs w:val="24"/>
          <w:lang w:val="hy-AM"/>
        </w:rPr>
        <w:t xml:space="preserve"> վերապահված </w:t>
      </w:r>
      <w:r w:rsidR="000F2B84" w:rsidRPr="000F2B84">
        <w:rPr>
          <w:rFonts w:ascii="GHEA Grapalat" w:hAnsi="GHEA Grapalat"/>
          <w:sz w:val="24"/>
          <w:szCs w:val="24"/>
          <w:lang w:val="hy-AM"/>
        </w:rPr>
        <w:t>այնպիսի</w:t>
      </w:r>
      <w:r w:rsidRPr="000F2B84">
        <w:rPr>
          <w:rFonts w:ascii="GHEA Grapalat" w:hAnsi="GHEA Grapalat"/>
          <w:sz w:val="24"/>
          <w:szCs w:val="24"/>
          <w:lang w:val="hy-AM"/>
        </w:rPr>
        <w:t xml:space="preserve"> վարչական իրավախախ</w:t>
      </w:r>
      <w:r w:rsidR="000F2B84" w:rsidRPr="000F2B84">
        <w:rPr>
          <w:rFonts w:ascii="GHEA Grapalat" w:hAnsi="GHEA Grapalat"/>
          <w:sz w:val="24"/>
          <w:szCs w:val="24"/>
          <w:lang w:val="hy-AM"/>
        </w:rPr>
        <w:t>տ</w:t>
      </w:r>
      <w:r w:rsidRPr="000F2B84">
        <w:rPr>
          <w:rFonts w:ascii="GHEA Grapalat" w:hAnsi="GHEA Grapalat"/>
          <w:sz w:val="24"/>
          <w:szCs w:val="24"/>
          <w:lang w:val="hy-AM"/>
        </w:rPr>
        <w:t xml:space="preserve">ումների վերաբերյալ գործերի քննությունը, </w:t>
      </w:r>
      <w:r w:rsidR="000F2B84" w:rsidRPr="000F2B84">
        <w:rPr>
          <w:rFonts w:ascii="GHEA Grapalat" w:hAnsi="GHEA Grapalat"/>
          <w:sz w:val="24"/>
          <w:szCs w:val="24"/>
          <w:lang w:val="hy-AM"/>
        </w:rPr>
        <w:t>որոնց համանման</w:t>
      </w:r>
      <w:r w:rsidR="005A307B" w:rsidRPr="000F2B84">
        <w:rPr>
          <w:rFonts w:ascii="GHEA Grapalat" w:hAnsi="GHEA Grapalat"/>
          <w:sz w:val="24"/>
          <w:szCs w:val="24"/>
          <w:lang w:val="hy-AM"/>
        </w:rPr>
        <w:t xml:space="preserve"> բնույթ ունեցող իրավախախտումների քննությունը վերապահված է վարչական մարմնին, կամ </w:t>
      </w:r>
      <w:r w:rsidRPr="000F2B84">
        <w:rPr>
          <w:rFonts w:ascii="GHEA Grapalat" w:hAnsi="GHEA Grapalat"/>
          <w:sz w:val="24"/>
          <w:szCs w:val="24"/>
          <w:lang w:val="hy-AM"/>
        </w:rPr>
        <w:t xml:space="preserve">որոնք կարող էին վերապահվել իրավասու վարչական մարմնի քննությանը՝ ավելորդ չծանրաբեռնելով վարչական դատարանին: Այս համատեքստում հետաքրքրական է, </w:t>
      </w:r>
      <w:r w:rsidR="005A307B" w:rsidRPr="000F2B84">
        <w:rPr>
          <w:rFonts w:ascii="GHEA Grapalat" w:hAnsi="GHEA Grapalat"/>
          <w:sz w:val="24"/>
          <w:szCs w:val="24"/>
          <w:lang w:val="hy-AM"/>
        </w:rPr>
        <w:t>որ</w:t>
      </w:r>
      <w:r w:rsidRPr="000F2B84">
        <w:rPr>
          <w:rFonts w:ascii="GHEA Grapalat" w:hAnsi="GHEA Grapalat"/>
          <w:sz w:val="24"/>
          <w:szCs w:val="24"/>
          <w:lang w:val="hy-AM"/>
        </w:rPr>
        <w:t xml:space="preserve"> </w:t>
      </w:r>
      <w:r w:rsidR="005A307B" w:rsidRPr="000F2B84">
        <w:rPr>
          <w:rFonts w:ascii="GHEA Grapalat" w:hAnsi="GHEA Grapalat"/>
          <w:sz w:val="24"/>
          <w:szCs w:val="24"/>
          <w:lang w:val="hy-AM"/>
        </w:rPr>
        <w:t xml:space="preserve">իրավաբանական գրականության մեջ արտահայտվել է այն մոտեցումը, որ </w:t>
      </w:r>
      <w:r w:rsidR="005A307B" w:rsidRPr="000F2B84">
        <w:rPr>
          <w:rFonts w:ascii="GHEA Grapalat" w:hAnsi="GHEA Grapalat"/>
          <w:color w:val="000000"/>
          <w:sz w:val="24"/>
          <w:szCs w:val="24"/>
          <w:lang w:val="hy-AM"/>
        </w:rPr>
        <w:t>վ</w:t>
      </w:r>
      <w:r w:rsidR="005A307B" w:rsidRPr="000F2B84">
        <w:rPr>
          <w:rFonts w:ascii="GHEA Grapalat" w:hAnsi="GHEA Grapalat" w:cs="Sylfaen"/>
          <w:color w:val="000000"/>
          <w:sz w:val="24"/>
          <w:szCs w:val="24"/>
          <w:lang w:val="hy-AM"/>
        </w:rPr>
        <w:t>արչական</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պատասխանատվությունը</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որպես</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վարչական</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զանցանք</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կատարած</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անձի</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նկտամամ</w:t>
      </w:r>
      <w:r w:rsidR="005A307B" w:rsidRPr="000F2B84">
        <w:rPr>
          <w:rFonts w:ascii="GHEA Grapalat" w:hAnsi="GHEA Grapalat"/>
          <w:color w:val="000000"/>
          <w:sz w:val="24"/>
          <w:szCs w:val="24"/>
          <w:lang w:val="hy-AM"/>
        </w:rPr>
        <w:t>բ</w:t>
      </w:r>
      <w:r w:rsidR="005A307B" w:rsidRPr="000F2B84">
        <w:rPr>
          <w:color w:val="000000"/>
          <w:sz w:val="24"/>
          <w:szCs w:val="24"/>
          <w:lang w:val="hy-AM"/>
        </w:rPr>
        <w:t> </w:t>
      </w:r>
      <w:r w:rsidR="005A307B" w:rsidRPr="000F2B84">
        <w:rPr>
          <w:rFonts w:ascii="GHEA Grapalat" w:hAnsi="GHEA Grapalat" w:cs="Sylfaen"/>
          <w:color w:val="000000"/>
          <w:sz w:val="24"/>
          <w:szCs w:val="24"/>
          <w:lang w:val="hy-AM"/>
        </w:rPr>
        <w:t>օրենքով</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սահմանված</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կարգի</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պահպանմամ</w:t>
      </w:r>
      <w:r w:rsidR="005A307B" w:rsidRPr="000F2B84">
        <w:rPr>
          <w:rFonts w:ascii="GHEA Grapalat" w:hAnsi="GHEA Grapalat"/>
          <w:color w:val="000000"/>
          <w:sz w:val="24"/>
          <w:szCs w:val="24"/>
          <w:lang w:val="hy-AM"/>
        </w:rPr>
        <w:t>բ</w:t>
      </w:r>
      <w:r w:rsidR="005A307B" w:rsidRPr="000F2B84">
        <w:rPr>
          <w:color w:val="000000"/>
          <w:sz w:val="24"/>
          <w:szCs w:val="24"/>
          <w:lang w:val="hy-AM"/>
        </w:rPr>
        <w:t> </w:t>
      </w:r>
      <w:r w:rsidR="005A307B" w:rsidRPr="000F2B84">
        <w:rPr>
          <w:rFonts w:ascii="GHEA Grapalat" w:hAnsi="GHEA Grapalat" w:cs="Sylfaen"/>
          <w:color w:val="000000"/>
          <w:sz w:val="24"/>
          <w:szCs w:val="24"/>
          <w:lang w:val="hy-AM"/>
        </w:rPr>
        <w:t>հարկադրանքի</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միջոցների</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կիրառում</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պետք</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է</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իրացնի</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համապատասխան</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վարչական</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մարմինը</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որն</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այդ</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զանցանքի</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կապակցությամ</w:t>
      </w:r>
      <w:r w:rsidR="005A307B" w:rsidRPr="000F2B84">
        <w:rPr>
          <w:rFonts w:ascii="GHEA Grapalat" w:hAnsi="GHEA Grapalat" w:cs="Arial"/>
          <w:color w:val="000000"/>
          <w:sz w:val="24"/>
          <w:szCs w:val="24"/>
          <w:lang w:val="hy-AM"/>
        </w:rPr>
        <w:t>բ</w:t>
      </w:r>
      <w:r w:rsidR="005A307B" w:rsidRPr="000F2B84">
        <w:rPr>
          <w:rFonts w:ascii="Calibri" w:hAnsi="Calibri" w:cs="Calibri"/>
          <w:color w:val="000000"/>
          <w:sz w:val="24"/>
          <w:szCs w:val="24"/>
          <w:lang w:val="hy-AM"/>
        </w:rPr>
        <w:t> </w:t>
      </w:r>
      <w:r w:rsidR="005A307B" w:rsidRPr="000F2B84">
        <w:rPr>
          <w:rFonts w:ascii="GHEA Grapalat" w:hAnsi="GHEA Grapalat" w:cs="Sylfaen"/>
          <w:color w:val="000000"/>
          <w:sz w:val="24"/>
          <w:szCs w:val="24"/>
          <w:lang w:val="hy-AM"/>
        </w:rPr>
        <w:t>իրականացնում</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է</w:t>
      </w:r>
      <w:r w:rsidR="005A307B" w:rsidRPr="000F2B84">
        <w:rPr>
          <w:color w:val="000000"/>
          <w:sz w:val="24"/>
          <w:szCs w:val="24"/>
          <w:lang w:val="hy-AM"/>
        </w:rPr>
        <w:t> </w:t>
      </w:r>
      <w:r w:rsidR="005A307B" w:rsidRPr="000F2B84">
        <w:rPr>
          <w:rFonts w:ascii="GHEA Grapalat" w:hAnsi="GHEA Grapalat" w:cs="Sylfaen"/>
          <w:color w:val="000000"/>
          <w:sz w:val="24"/>
          <w:szCs w:val="24"/>
          <w:lang w:val="hy-AM"/>
        </w:rPr>
        <w:t>վարչարարություն</w:t>
      </w:r>
      <w:r w:rsidR="005A307B" w:rsidRPr="000F2B84">
        <w:rPr>
          <w:rStyle w:val="FootnoteReference"/>
          <w:rFonts w:ascii="GHEA Grapalat" w:hAnsi="GHEA Grapalat"/>
          <w:sz w:val="24"/>
          <w:szCs w:val="24"/>
          <w:lang w:val="hy-AM"/>
        </w:rPr>
        <w:footnoteReference w:id="1"/>
      </w:r>
      <w:r w:rsidR="005A307B" w:rsidRPr="000F2B84">
        <w:rPr>
          <w:rFonts w:ascii="GHEA Grapalat" w:hAnsi="GHEA Grapalat"/>
          <w:sz w:val="24"/>
          <w:szCs w:val="24"/>
          <w:lang w:val="hy-AM"/>
        </w:rPr>
        <w:t>:</w:t>
      </w:r>
    </w:p>
    <w:p w:rsidR="005A307B" w:rsidRPr="000F2B84" w:rsidRDefault="003500F7" w:rsidP="005A307B">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 xml:space="preserve">Դատական կարգով վարչական պատասխանատվության ենթարկելու ինստիտուտի առանձնահատկություններին անդրադարձել է Սահմանադրական </w:t>
      </w:r>
      <w:r w:rsidR="005A307B" w:rsidRPr="000F2B84">
        <w:rPr>
          <w:rFonts w:ascii="GHEA Grapalat" w:hAnsi="GHEA Grapalat" w:cs="Sylfaen"/>
          <w:color w:val="000000"/>
          <w:sz w:val="24"/>
          <w:szCs w:val="24"/>
          <w:lang w:val="hy-AM"/>
        </w:rPr>
        <w:t>դատարանն իր</w:t>
      </w:r>
      <w:r w:rsidRPr="000F2B84">
        <w:rPr>
          <w:rFonts w:ascii="GHEA Grapalat" w:hAnsi="GHEA Grapalat" w:cs="Sylfaen"/>
          <w:color w:val="000000"/>
          <w:sz w:val="24"/>
          <w:szCs w:val="24"/>
          <w:lang w:val="hy-AM"/>
        </w:rPr>
        <w:t xml:space="preserve">  2010 թ. փետրվարի 5-ի ՍԴՈ-864</w:t>
      </w:r>
      <w:r w:rsidR="00216152" w:rsidRPr="000F2B84">
        <w:rPr>
          <w:rFonts w:ascii="GHEA Grapalat" w:hAnsi="GHEA Grapalat" w:cs="Sylfaen"/>
          <w:color w:val="000000"/>
          <w:sz w:val="24"/>
          <w:szCs w:val="24"/>
          <w:lang w:val="hy-AM"/>
        </w:rPr>
        <w:t xml:space="preserve"> որոշմամբ:</w:t>
      </w:r>
      <w:r w:rsidR="005A307B" w:rsidRPr="000F2B84">
        <w:rPr>
          <w:rFonts w:ascii="GHEA Grapalat" w:hAnsi="GHEA Grapalat" w:cs="Sylfaen"/>
          <w:color w:val="000000"/>
          <w:sz w:val="24"/>
          <w:szCs w:val="24"/>
          <w:lang w:val="hy-AM"/>
        </w:rPr>
        <w:t xml:space="preserve"> Սահմանադրական </w:t>
      </w:r>
      <w:r w:rsidR="005A307B" w:rsidRPr="000F2B84">
        <w:rPr>
          <w:rFonts w:ascii="GHEA Grapalat" w:hAnsi="GHEA Grapalat" w:cs="Sylfaen"/>
          <w:color w:val="000000"/>
          <w:sz w:val="24"/>
          <w:szCs w:val="24"/>
          <w:lang w:val="hy-AM"/>
        </w:rPr>
        <w:lastRenderedPageBreak/>
        <w:t xml:space="preserve">դատարանը նշել է, որ </w:t>
      </w:r>
      <w:r w:rsidRPr="000F2B84">
        <w:rPr>
          <w:rFonts w:ascii="GHEA Grapalat" w:hAnsi="GHEA Grapalat" w:cs="Sylfaen"/>
          <w:color w:val="000000"/>
          <w:sz w:val="24"/>
          <w:szCs w:val="24"/>
          <w:lang w:val="hy-AM"/>
        </w:rPr>
        <w:t xml:space="preserve">անձի իրավունքները խախտած պետական կամ տեղական ինքնակառավարման մարմնի պաշտոնատար անձին դատական կարգով վարչական պատասխանատվության ենթարկելը հանդիսանում է անձի իրավունքի դատական պաշտպանության բաղադրատարր: </w:t>
      </w:r>
    </w:p>
    <w:p w:rsidR="003500F7" w:rsidRPr="000F2B84" w:rsidRDefault="005A307B" w:rsidP="005A307B">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Անդրադառնալով</w:t>
      </w:r>
      <w:r w:rsidR="003500F7" w:rsidRPr="000F2B84">
        <w:rPr>
          <w:rFonts w:ascii="GHEA Grapalat" w:hAnsi="GHEA Grapalat" w:cs="Sylfaen"/>
          <w:color w:val="000000"/>
          <w:sz w:val="24"/>
          <w:szCs w:val="24"/>
          <w:lang w:val="hy-AM"/>
        </w:rPr>
        <w:t xml:space="preserve"> վարչական պատասխանատվության նպատակի</w:t>
      </w:r>
      <w:r w:rsidRPr="000F2B84">
        <w:rPr>
          <w:rFonts w:ascii="GHEA Grapalat" w:hAnsi="GHEA Grapalat" w:cs="Sylfaen"/>
          <w:color w:val="000000"/>
          <w:sz w:val="24"/>
          <w:szCs w:val="24"/>
          <w:lang w:val="hy-AM"/>
        </w:rPr>
        <w:t>ն</w:t>
      </w:r>
      <w:r w:rsidR="003500F7" w:rsidRPr="000F2B84">
        <w:rPr>
          <w:rFonts w:ascii="GHEA Grapalat" w:hAnsi="GHEA Grapalat" w:cs="Sylfaen"/>
          <w:color w:val="000000"/>
          <w:sz w:val="24"/>
          <w:szCs w:val="24"/>
          <w:lang w:val="hy-AM"/>
        </w:rPr>
        <w:t xml:space="preserve">, </w:t>
      </w:r>
      <w:r w:rsidRPr="000F2B84">
        <w:rPr>
          <w:rFonts w:ascii="GHEA Grapalat" w:hAnsi="GHEA Grapalat" w:cs="Sylfaen"/>
          <w:color w:val="000000"/>
          <w:sz w:val="24"/>
          <w:szCs w:val="24"/>
          <w:lang w:val="hy-AM"/>
        </w:rPr>
        <w:t xml:space="preserve">վարչական դատավարության </w:t>
      </w:r>
      <w:r w:rsidR="003500F7" w:rsidRPr="000F2B84">
        <w:rPr>
          <w:rFonts w:ascii="GHEA Grapalat" w:hAnsi="GHEA Grapalat" w:cs="Sylfaen"/>
          <w:color w:val="000000"/>
          <w:sz w:val="24"/>
          <w:szCs w:val="24"/>
          <w:lang w:val="hy-AM"/>
        </w:rPr>
        <w:t>օրենսգրքով նախատեսված ողջ իրավակարգավորման հիմքում ընկած տրամաբանության, Վարչական իրավախախտումների վերաբերյալ օրենսգրքի, ինչպես նաև «անձի խախտված իրավունքների վերականգնում» հասկացության բովանդակու</w:t>
      </w:r>
      <w:r w:rsidRPr="000F2B84">
        <w:rPr>
          <w:rFonts w:ascii="GHEA Grapalat" w:hAnsi="GHEA Grapalat" w:cs="Sylfaen"/>
          <w:color w:val="000000"/>
          <w:sz w:val="24"/>
          <w:szCs w:val="24"/>
          <w:lang w:val="hy-AM"/>
        </w:rPr>
        <w:t xml:space="preserve">թյան համատեքստում, Սահմանադրական դատարանը նշել է, </w:t>
      </w:r>
      <w:r w:rsidR="003500F7" w:rsidRPr="000F2B84">
        <w:rPr>
          <w:rFonts w:ascii="GHEA Grapalat" w:hAnsi="GHEA Grapalat" w:cs="Sylfaen"/>
          <w:color w:val="000000"/>
          <w:sz w:val="24"/>
          <w:szCs w:val="24"/>
          <w:lang w:val="hy-AM"/>
        </w:rPr>
        <w:t>որ վարչական պատասխանատվությունը` ընդհանրապես, և վարչական պատասխանատվության միջոց հանդիսացող վարչական տույժը` մասնավորապես, հետապնդում են այլ նպատակ, քան անձի խախտված իրավունքի դատական կարգով վերականգնումն է: Վարչական պատասխանատվության նպատակն առավելապես կրում է հանրային բնույթ, իրավախախտ անձը պատասխանատվություն է կրում հասարակության, այլ ոչ թե մասնավոր անձի առջև, վարչական պատասխանատվությունն առնչվում է ոչ այնքան մասնավոր, որքան հանրային շահերին:</w:t>
      </w:r>
    </w:p>
    <w:p w:rsidR="00271770" w:rsidRPr="000F2B84" w:rsidRDefault="00271770" w:rsidP="00271770">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Սահմանադրական դատարանը գտել է, որ դատական կարգով անձանց, այդ թվում՝ անձի իրավունքը խախտած պաշտոնատար անձանց վարչական պատասխանատվության ենթարկելը չի հանդիսանում անձի խախտված իրավունքների պարտադիր բաղադրատարր և, հետևաբար, անձանց՝ վարչական պատասխանատվության ենթարկելու հայցադիմումով դատարան դիմելու իրավասություն չվերապահելը չի կարող խոչընդոտել այդ անձի՝ դատարանի մատչելիության և դատական պաշտպանության, դատական պաշտպանության արդյունավետ միջոցի իրավունքների իրացմանը:</w:t>
      </w:r>
    </w:p>
    <w:p w:rsidR="00271770" w:rsidRPr="000F2B84" w:rsidRDefault="00271770" w:rsidP="00271770">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 xml:space="preserve">Նման դիրքորոշման մասին կարող է վկայել նաև այն փաստը, որ եվրոպական երկրներում կամ նախատեսված է վարչական պատասխանատվության միայն </w:t>
      </w:r>
      <w:r w:rsidRPr="000F2B84">
        <w:rPr>
          <w:rFonts w:ascii="GHEA Grapalat" w:hAnsi="GHEA Grapalat" w:cs="Sylfaen"/>
          <w:color w:val="000000"/>
          <w:sz w:val="24"/>
          <w:szCs w:val="24"/>
          <w:lang w:val="hy-AM"/>
        </w:rPr>
        <w:lastRenderedPageBreak/>
        <w:t>արտադատարանական կարգ, կամ առկա է դատական կարգով վարչական պատասխանատվության ինստիտուտից հրաժարվելու միտում:</w:t>
      </w:r>
    </w:p>
    <w:p w:rsidR="003500F7" w:rsidRPr="000F2B84" w:rsidRDefault="00271770" w:rsidP="003500F7">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Ամբողջ վերոնշվածի համատեքստում՝ նպատակ ունենալով թեթևացնել վարչական դատարանի ծանրաբեռնվությունը, անհրաժեշտութուն է առաջանում վերանայել վարչական դատարանի քննությանը վերապահված վարչական իրավախախոտւմների վերաբերյալ գործերի շրջանակը, և այն վարչական իրավախախ</w:t>
      </w:r>
      <w:r w:rsidR="000F2B84" w:rsidRPr="000F2B84">
        <w:rPr>
          <w:rFonts w:ascii="GHEA Grapalat" w:hAnsi="GHEA Grapalat"/>
          <w:sz w:val="24"/>
          <w:szCs w:val="24"/>
          <w:lang w:val="hy-AM"/>
        </w:rPr>
        <w:t>տ</w:t>
      </w:r>
      <w:r w:rsidRPr="000F2B84">
        <w:rPr>
          <w:rFonts w:ascii="GHEA Grapalat" w:hAnsi="GHEA Grapalat"/>
          <w:sz w:val="24"/>
          <w:szCs w:val="24"/>
          <w:lang w:val="hy-AM"/>
        </w:rPr>
        <w:t>ումների վերաբերյալ գործերը, որոնք արդյունավետորեն կարող են քննվել իրավասու վարչական մարմնի կողմից, վերապահել վերջինիս: Այս համատեքստում հարկ է կարևոր</w:t>
      </w:r>
      <w:r w:rsidR="000F2B84" w:rsidRPr="000F2B84">
        <w:rPr>
          <w:rFonts w:ascii="GHEA Grapalat" w:hAnsi="GHEA Grapalat"/>
          <w:sz w:val="24"/>
          <w:szCs w:val="24"/>
          <w:lang w:val="hy-AM"/>
        </w:rPr>
        <w:t>ե</w:t>
      </w:r>
      <w:r w:rsidRPr="000F2B84">
        <w:rPr>
          <w:rFonts w:ascii="GHEA Grapalat" w:hAnsi="GHEA Grapalat"/>
          <w:sz w:val="24"/>
          <w:szCs w:val="24"/>
          <w:lang w:val="hy-AM"/>
        </w:rPr>
        <w:t>լ այն հանգամանքը, որ ֆիզիկական և իրավաբանական անձանց դատական պաշտպանության իրավունքն այս դեպքում</w:t>
      </w:r>
      <w:r w:rsidR="000F2B84" w:rsidRPr="000F2B84">
        <w:rPr>
          <w:rFonts w:ascii="GHEA Grapalat" w:hAnsi="GHEA Grapalat"/>
          <w:sz w:val="24"/>
          <w:szCs w:val="24"/>
          <w:lang w:val="hy-AM"/>
        </w:rPr>
        <w:t xml:space="preserve"> </w:t>
      </w:r>
      <w:r w:rsidRPr="000F2B84">
        <w:rPr>
          <w:rFonts w:ascii="GHEA Grapalat" w:hAnsi="GHEA Grapalat"/>
          <w:sz w:val="24"/>
          <w:szCs w:val="24"/>
          <w:lang w:val="hy-AM"/>
        </w:rPr>
        <w:t xml:space="preserve">չի սահմանափակվում, քանի որ վարչական իրավախախտման վերաբերյալ վարույթի արդյունքով ընդունվող վարչական տույժ նշանակելու մասին վարչական մարմնի որոշումը կարող է վիճարկվել վարչական դատարան:  </w:t>
      </w:r>
    </w:p>
    <w:p w:rsidR="00E14BC2" w:rsidRPr="000F2B84" w:rsidRDefault="001145C2" w:rsidP="00DA5936">
      <w:pPr>
        <w:tabs>
          <w:tab w:val="left" w:pos="720"/>
          <w:tab w:val="left" w:pos="1545"/>
        </w:tabs>
        <w:spacing w:after="0" w:line="360" w:lineRule="auto"/>
        <w:jc w:val="both"/>
        <w:rPr>
          <w:rFonts w:ascii="GHEA Grapalat" w:hAnsi="GHEA Grapalat"/>
          <w:sz w:val="24"/>
          <w:szCs w:val="24"/>
          <w:lang w:val="hy-AM"/>
        </w:rPr>
      </w:pPr>
      <w:r w:rsidRPr="000F2B84">
        <w:rPr>
          <w:rFonts w:ascii="GHEA Grapalat" w:hAnsi="GHEA Grapalat"/>
          <w:sz w:val="24"/>
          <w:szCs w:val="24"/>
          <w:lang w:val="hy-AM"/>
        </w:rPr>
        <w:tab/>
      </w:r>
      <w:r w:rsidR="001F4399" w:rsidRPr="000F2B84">
        <w:rPr>
          <w:rFonts w:ascii="GHEA Grapalat" w:hAnsi="GHEA Grapalat"/>
          <w:sz w:val="24"/>
          <w:szCs w:val="24"/>
          <w:lang w:val="hy-AM"/>
        </w:rPr>
        <w:tab/>
      </w:r>
    </w:p>
    <w:p w:rsidR="005B724A" w:rsidRPr="000F2B84" w:rsidRDefault="001145C2" w:rsidP="00DA5936">
      <w:pPr>
        <w:pStyle w:val="ListParagraph"/>
        <w:numPr>
          <w:ilvl w:val="0"/>
          <w:numId w:val="1"/>
        </w:numPr>
        <w:spacing w:after="0" w:line="360" w:lineRule="auto"/>
        <w:jc w:val="both"/>
        <w:rPr>
          <w:rFonts w:ascii="GHEA Grapalat" w:hAnsi="GHEA Grapalat"/>
          <w:b/>
          <w:sz w:val="24"/>
          <w:szCs w:val="24"/>
          <w:lang w:val="hy-AM"/>
        </w:rPr>
      </w:pPr>
      <w:r w:rsidRPr="000F2B84">
        <w:rPr>
          <w:rFonts w:ascii="GHEA Grapalat" w:hAnsi="GHEA Grapalat"/>
          <w:b/>
          <w:sz w:val="24"/>
          <w:szCs w:val="24"/>
          <w:lang w:val="hy-AM"/>
        </w:rPr>
        <w:t>Նախագծ</w:t>
      </w:r>
      <w:r w:rsidR="00C249B5" w:rsidRPr="00C249B5">
        <w:rPr>
          <w:rFonts w:ascii="GHEA Grapalat" w:hAnsi="GHEA Grapalat"/>
          <w:b/>
          <w:sz w:val="24"/>
          <w:szCs w:val="24"/>
          <w:lang w:val="hy-AM"/>
        </w:rPr>
        <w:t>եր</w:t>
      </w:r>
      <w:r w:rsidR="005B724A" w:rsidRPr="000F2B84">
        <w:rPr>
          <w:rFonts w:ascii="GHEA Grapalat" w:hAnsi="GHEA Grapalat"/>
          <w:b/>
          <w:sz w:val="24"/>
          <w:szCs w:val="24"/>
          <w:lang w:val="hy-AM"/>
        </w:rPr>
        <w:t>ի նպատակը և ակնկալվող արդյունքը</w:t>
      </w:r>
    </w:p>
    <w:p w:rsidR="005B724A" w:rsidRPr="000F2B84" w:rsidRDefault="001145C2" w:rsidP="00DA5936">
      <w:pPr>
        <w:pStyle w:val="ListParagraph"/>
        <w:widowControl w:val="0"/>
        <w:tabs>
          <w:tab w:val="left" w:pos="993"/>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Նախագծի նպատակ</w:t>
      </w:r>
      <w:r w:rsidR="00DA5936" w:rsidRPr="000F2B84">
        <w:rPr>
          <w:rFonts w:ascii="GHEA Grapalat" w:hAnsi="GHEA Grapalat"/>
          <w:sz w:val="24"/>
          <w:szCs w:val="24"/>
          <w:lang w:val="hy-AM"/>
        </w:rPr>
        <w:t>ը</w:t>
      </w:r>
      <w:r w:rsidR="00FD6B03" w:rsidRPr="000F2B84">
        <w:rPr>
          <w:rFonts w:ascii="GHEA Grapalat" w:hAnsi="GHEA Grapalat"/>
          <w:sz w:val="24"/>
          <w:szCs w:val="24"/>
          <w:lang w:val="hy-AM"/>
        </w:rPr>
        <w:t xml:space="preserve"> </w:t>
      </w:r>
      <w:r w:rsidR="009D2A13" w:rsidRPr="000F2B84">
        <w:rPr>
          <w:rFonts w:ascii="GHEA Grapalat" w:hAnsi="GHEA Grapalat"/>
          <w:sz w:val="24"/>
          <w:szCs w:val="24"/>
          <w:lang w:val="hy-AM"/>
        </w:rPr>
        <w:t>վարչական դատարանի ծանրաբեռնվածության թեևթացումը և իրավակիրառ պրակտիկայում բարձրացված խնդիրների լուծումն է</w:t>
      </w:r>
      <w:r w:rsidR="00FD6B03" w:rsidRPr="000F2B84">
        <w:rPr>
          <w:rFonts w:ascii="GHEA Grapalat" w:hAnsi="GHEA Grapalat"/>
          <w:sz w:val="24"/>
          <w:szCs w:val="24"/>
          <w:lang w:val="hy-AM"/>
        </w:rPr>
        <w:t>:</w:t>
      </w:r>
    </w:p>
    <w:p w:rsidR="00AC5DE8" w:rsidRPr="000F2B84" w:rsidRDefault="00FD6B03" w:rsidP="00DA5936">
      <w:pPr>
        <w:pStyle w:val="ListParagraph"/>
        <w:widowControl w:val="0"/>
        <w:tabs>
          <w:tab w:val="left" w:pos="993"/>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Նախագծ</w:t>
      </w:r>
      <w:r w:rsidR="00C249B5" w:rsidRPr="00C249B5">
        <w:rPr>
          <w:rFonts w:ascii="GHEA Grapalat" w:hAnsi="GHEA Grapalat"/>
          <w:sz w:val="24"/>
          <w:szCs w:val="24"/>
          <w:lang w:val="hy-AM"/>
        </w:rPr>
        <w:t>եր</w:t>
      </w:r>
      <w:r w:rsidR="00AC5DE8" w:rsidRPr="000F2B84">
        <w:rPr>
          <w:rFonts w:ascii="GHEA Grapalat" w:hAnsi="GHEA Grapalat"/>
          <w:sz w:val="24"/>
          <w:szCs w:val="24"/>
          <w:lang w:val="hy-AM"/>
        </w:rPr>
        <w:t>ով նախատեսվում են հետևյալ հիմնական կարգավորումները՝</w:t>
      </w:r>
    </w:p>
    <w:p w:rsidR="00AC5DE8" w:rsidRPr="000F2B84" w:rsidRDefault="00AC5DE8" w:rsidP="00DA5936">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 xml:space="preserve">արչական դատավարության օրենսգրքում </w:t>
      </w:r>
      <w:r w:rsidRPr="000F2B84">
        <w:rPr>
          <w:rFonts w:ascii="GHEA Grapalat" w:hAnsi="GHEA Grapalat" w:cs="Sylfaen"/>
          <w:b/>
          <w:sz w:val="24"/>
          <w:szCs w:val="24"/>
          <w:lang w:val="hy-AM"/>
        </w:rPr>
        <w:t>փոփոխությունների մասով.</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Times New Roman" w:hAnsi="GHEA Grapalat" w:cs="Arial Unicode"/>
          <w:color w:val="000000"/>
          <w:sz w:val="24"/>
          <w:szCs w:val="24"/>
          <w:lang w:val="hy-AM"/>
        </w:rPr>
        <w:t>Դատավարական իրավունքների կամ այլ հնարավարությունների չարաշահման դեպքում դատական սանկցիաներ կամ օրենքով նախատեսված իրավական ներգործության այլ միջոցներ կիրառելու իրավական հնարավորություն</w:t>
      </w:r>
      <w:r w:rsidR="000F2B84" w:rsidRPr="000F2B84">
        <w:rPr>
          <w:rFonts w:ascii="GHEA Grapalat" w:eastAsia="Times New Roman" w:hAnsi="GHEA Grapalat" w:cs="Arial Unicode"/>
          <w:color w:val="000000"/>
          <w:sz w:val="24"/>
          <w:szCs w:val="24"/>
          <w:lang w:val="hy-AM"/>
        </w:rPr>
        <w:t>:</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Times New Roman" w:hAnsi="GHEA Grapalat" w:cs="Arial Unicode"/>
          <w:color w:val="000000"/>
          <w:sz w:val="24"/>
          <w:szCs w:val="24"/>
          <w:lang w:val="hy-AM"/>
        </w:rPr>
        <w:t>Որպես ապացույցի տեսակ նախատեվում է մասնագետի բացատրությունը</w:t>
      </w:r>
      <w:r w:rsidR="000F2B84" w:rsidRPr="000F2B84">
        <w:rPr>
          <w:rFonts w:ascii="GHEA Grapalat" w:eastAsia="Times New Roman" w:hAnsi="GHEA Grapalat" w:cs="Arial Unicode"/>
          <w:color w:val="000000"/>
          <w:sz w:val="24"/>
          <w:szCs w:val="24"/>
          <w:lang w:val="hy-AM"/>
        </w:rPr>
        <w:t>:</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Times New Roman" w:hAnsi="GHEA Grapalat" w:cs="Arial Unicode"/>
          <w:color w:val="000000"/>
          <w:sz w:val="24"/>
          <w:szCs w:val="24"/>
          <w:lang w:val="hy-AM"/>
        </w:rPr>
        <w:t xml:space="preserve">Կարգավորվում են </w:t>
      </w:r>
      <w:r w:rsidRPr="000F2B84">
        <w:rPr>
          <w:rFonts w:ascii="GHEA Grapalat" w:hAnsi="GHEA Grapalat"/>
          <w:sz w:val="24"/>
          <w:szCs w:val="24"/>
          <w:lang w:val="hy-AM"/>
        </w:rPr>
        <w:t>դատական ակտը միայն դատական ծախսերի մասով բողոքարկելու, հիմնական պահանջից բացի, ածանցյալ պահանջներ ներկայացնելու դեպքում պետական տուրքի գանձնման հարցերը</w:t>
      </w:r>
      <w:r w:rsidR="00FD6B03" w:rsidRPr="000F2B84">
        <w:rPr>
          <w:rFonts w:ascii="GHEA Grapalat" w:eastAsia="Times New Roman" w:hAnsi="GHEA Grapalat" w:cs="Arial Unicode"/>
          <w:color w:val="000000"/>
          <w:sz w:val="24"/>
          <w:szCs w:val="24"/>
          <w:lang w:val="hy-AM"/>
        </w:rPr>
        <w:t>:</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lastRenderedPageBreak/>
        <w:t xml:space="preserve">Հայցադիմումին ներկայացվող պահանջների մեջ ավելացվում է պահանջ առ այն, որ Օրենսգրքի 3-րդ հոդվածի 3-րդ մասում նշված սուբյեկտների կողմից ներկայացված հայցադիմումը պետք է պարունակի այդ մասով նախատեսված տեղեկությունները: </w:t>
      </w:r>
    </w:p>
    <w:p w:rsidR="001B66F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Նախատեսվում է, որ եթե վերաքննիչ վարչական դատարանն ընդունում է հ</w:t>
      </w:r>
      <w:r w:rsidRPr="000F2B84">
        <w:rPr>
          <w:rFonts w:ascii="GHEA Grapalat" w:eastAsia="Calibri" w:hAnsi="GHEA Grapalat" w:cs="Times New Roman"/>
          <w:sz w:val="24"/>
          <w:szCs w:val="24"/>
          <w:lang w:val="hy-AM"/>
        </w:rPr>
        <w:t>այցադիմումի ընդունումը մերժելու մասին որոշումը վերացվելու</w:t>
      </w:r>
      <w:r w:rsidRPr="000F2B84">
        <w:rPr>
          <w:rFonts w:ascii="GHEA Grapalat" w:hAnsi="GHEA Grapalat"/>
          <w:sz w:val="24"/>
          <w:szCs w:val="24"/>
          <w:lang w:val="hy-AM"/>
        </w:rPr>
        <w:t xml:space="preserve"> մասին որոշում, ապա վարչական դատարանը հայցադիմումն ընդունում է վարույթ, եթե բացակայում են սույն օրենսգրքով նախատեսված հայցադիմումը վերադարձնելու հիմքերը:</w:t>
      </w:r>
    </w:p>
    <w:p w:rsidR="001B66F8"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Սահմանվում է վ</w:t>
      </w:r>
      <w:r w:rsidR="00AC5DE8" w:rsidRPr="000F2B84">
        <w:rPr>
          <w:rFonts w:ascii="GHEA Grapalat" w:hAnsi="GHEA Grapalat"/>
          <w:sz w:val="24"/>
          <w:szCs w:val="24"/>
          <w:lang w:val="hy-AM"/>
        </w:rPr>
        <w:t>երաքննիչ և Վճռաբեկ դատարանների  որոշումների մեջ առկա վրիպակների, գրասխալների և թվաբանական սխալների ուղղման, լրացուցիչ որոշում կայացնելու հնարավորություն:</w:t>
      </w:r>
    </w:p>
    <w:p w:rsidR="001B66F8"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Ս</w:t>
      </w:r>
      <w:r w:rsidR="00AC5DE8" w:rsidRPr="000F2B84">
        <w:rPr>
          <w:rFonts w:ascii="GHEA Grapalat" w:hAnsi="GHEA Grapalat"/>
          <w:sz w:val="24"/>
          <w:szCs w:val="24"/>
          <w:lang w:val="hy-AM"/>
        </w:rPr>
        <w:t>ահմանվ</w:t>
      </w:r>
      <w:r w:rsidRPr="000F2B84">
        <w:rPr>
          <w:rFonts w:ascii="GHEA Grapalat" w:hAnsi="GHEA Grapalat"/>
          <w:sz w:val="24"/>
          <w:szCs w:val="24"/>
          <w:lang w:val="hy-AM"/>
        </w:rPr>
        <w:t>ում</w:t>
      </w:r>
      <w:r w:rsidR="00AC5DE8" w:rsidRPr="000F2B84">
        <w:rPr>
          <w:rFonts w:ascii="GHEA Grapalat" w:hAnsi="GHEA Grapalat"/>
          <w:sz w:val="24"/>
          <w:szCs w:val="24"/>
          <w:lang w:val="hy-AM"/>
        </w:rPr>
        <w:t xml:space="preserve"> է որոշ հիմքերի առկայության պարագայում  դատական ակտը՝ անկախ բողոքի հիմքերից և հիմնավորումներից անվերապահ բեկանելու կանոն:</w:t>
      </w:r>
    </w:p>
    <w:p w:rsidR="001B66F8"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Բ</w:t>
      </w:r>
      <w:r w:rsidR="00AC5DE8" w:rsidRPr="000F2B84">
        <w:rPr>
          <w:rFonts w:ascii="GHEA Grapalat" w:hAnsi="GHEA Grapalat"/>
          <w:sz w:val="24"/>
          <w:szCs w:val="24"/>
          <w:lang w:val="hy-AM"/>
        </w:rPr>
        <w:t xml:space="preserve">աց թողնված ժամկետը վերականգնելու մասին միջնորդության բացակայությամբ վճռաբեկ բողոքը սահմանված ժամկետը լրանալուց հետո բերված լինելը </w:t>
      </w:r>
      <w:r w:rsidRPr="000F2B84">
        <w:rPr>
          <w:rFonts w:ascii="GHEA Grapalat" w:hAnsi="GHEA Grapalat"/>
          <w:sz w:val="24"/>
          <w:szCs w:val="24"/>
          <w:lang w:val="hy-AM"/>
        </w:rPr>
        <w:t>սահմանվում</w:t>
      </w:r>
      <w:r w:rsidR="00AC5DE8" w:rsidRPr="000F2B84">
        <w:rPr>
          <w:rFonts w:ascii="GHEA Grapalat" w:hAnsi="GHEA Grapalat"/>
          <w:sz w:val="24"/>
          <w:szCs w:val="24"/>
          <w:lang w:val="hy-AM"/>
        </w:rPr>
        <w:t xml:space="preserve"> է վճռաբեկ բողոքը վերադարձնելու հիմք:</w:t>
      </w:r>
    </w:p>
    <w:p w:rsidR="00DA5936"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Սահմանվում է, որ վճռաբեկ բողոքը վերադարձնելու մասին որոշման մեջ նշված թերությունները չվերացվելու, բողոքը կրկին ներկայացնելու դեպքում նոր խախտումներ թույլ տալու, վճռաբեկ բողոքը սահմանված ժամկետը լրանալուց հետո բերվելու և բաց թողնված ժամկետը վերականգնելու մասին միջնորդությունը բացակայելու, պետական տուրքի գծով արտոնություն սահմանելու վերաբերյալ միջնորդությունը մերժելու դեպքում վճռաբեկ բողոքն առանց քննության է թողնվում.</w:t>
      </w:r>
    </w:p>
    <w:p w:rsidR="00DA5936" w:rsidRPr="000F2B84" w:rsidRDefault="00DA5936"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Կ</w:t>
      </w:r>
      <w:r w:rsidR="00AC5DE8" w:rsidRPr="000F2B84">
        <w:rPr>
          <w:rFonts w:ascii="GHEA Grapalat" w:hAnsi="GHEA Grapalat"/>
          <w:sz w:val="24"/>
          <w:szCs w:val="24"/>
          <w:lang w:val="hy-AM"/>
        </w:rPr>
        <w:t>արգավորում</w:t>
      </w:r>
      <w:r w:rsidRPr="000F2B84">
        <w:rPr>
          <w:rFonts w:ascii="GHEA Grapalat" w:hAnsi="GHEA Grapalat"/>
          <w:sz w:val="24"/>
          <w:szCs w:val="24"/>
          <w:lang w:val="hy-AM"/>
        </w:rPr>
        <w:t xml:space="preserve"> են</w:t>
      </w:r>
      <w:r w:rsidR="00AC5DE8" w:rsidRPr="000F2B84">
        <w:rPr>
          <w:rFonts w:ascii="GHEA Grapalat" w:hAnsi="GHEA Grapalat"/>
          <w:sz w:val="24"/>
          <w:szCs w:val="24"/>
          <w:lang w:val="hy-AM"/>
        </w:rPr>
        <w:t xml:space="preserve"> դատական նիստում վճռաբեկ բողոքի քննությունն իրականացնելու հարցերը: </w:t>
      </w:r>
    </w:p>
    <w:p w:rsidR="00DA5936"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lastRenderedPageBreak/>
        <w:t xml:space="preserve">Նոր երևան եկած կամ նոր հանգամանքներով դատական ակտերի վերանայման դատավարական կանոնները </w:t>
      </w:r>
      <w:r w:rsidR="00DA5936" w:rsidRPr="000F2B84">
        <w:rPr>
          <w:rFonts w:ascii="GHEA Grapalat" w:hAnsi="GHEA Grapalat"/>
          <w:sz w:val="24"/>
          <w:szCs w:val="24"/>
          <w:lang w:val="hy-AM"/>
        </w:rPr>
        <w:t>համապատասխանեցվել են Օրենսգրքի գործող կարգավորումներին.</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Calibri" w:hAnsi="GHEA Grapalat" w:cs="Times New Roman"/>
          <w:sz w:val="24"/>
          <w:szCs w:val="24"/>
          <w:lang w:val="hy-AM"/>
        </w:rPr>
        <w:t>Օրենսգրքի նորմատիվ իրավական ակտերի իրավաչափությունը վիճարկելու վերաբերյալ հատուկ վարույթի կարգավորմանը նվիրված 26-րդ գլխում կարգավորումներ</w:t>
      </w:r>
      <w:r w:rsidR="00DA5936" w:rsidRPr="000F2B84">
        <w:rPr>
          <w:rFonts w:ascii="GHEA Grapalat" w:eastAsia="Calibri" w:hAnsi="GHEA Grapalat" w:cs="Times New Roman"/>
          <w:sz w:val="24"/>
          <w:szCs w:val="24"/>
          <w:lang w:val="hy-AM"/>
        </w:rPr>
        <w:t>ը համապատասխանեցվել են</w:t>
      </w:r>
      <w:r w:rsidRPr="000F2B84">
        <w:rPr>
          <w:rFonts w:ascii="GHEA Grapalat" w:eastAsia="Calibri" w:hAnsi="GHEA Grapalat" w:cs="Times New Roman"/>
          <w:sz w:val="24"/>
          <w:szCs w:val="24"/>
          <w:lang w:val="hy-AM"/>
        </w:rPr>
        <w:t xml:space="preserve"> օրենսդրական գործող կարգավարորումների տրամաբանությանը:</w:t>
      </w:r>
    </w:p>
    <w:p w:rsidR="00271770" w:rsidRPr="000F2B84" w:rsidRDefault="00271770" w:rsidP="00271770">
      <w:pPr>
        <w:spacing w:after="0" w:line="360" w:lineRule="auto"/>
        <w:ind w:firstLine="720"/>
        <w:jc w:val="both"/>
        <w:rPr>
          <w:rFonts w:ascii="GHEA Grapalat" w:hAnsi="GHEA Grapalat" w:cs="Sylfaen"/>
          <w:b/>
          <w:sz w:val="24"/>
          <w:szCs w:val="24"/>
          <w:lang w:val="hy-AM"/>
        </w:rPr>
      </w:pPr>
    </w:p>
    <w:p w:rsidR="00271770" w:rsidRPr="000F2B84" w:rsidRDefault="00271770" w:rsidP="00271770">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 xml:space="preserve">արչական իրավախախտումների վերաբերյալ օրենսգրքում </w:t>
      </w:r>
      <w:r w:rsidRPr="000F2B84">
        <w:rPr>
          <w:rFonts w:ascii="GHEA Grapalat" w:hAnsi="GHEA Grapalat" w:cs="Sylfaen"/>
          <w:b/>
          <w:sz w:val="24"/>
          <w:szCs w:val="24"/>
          <w:lang w:val="hy-AM"/>
        </w:rPr>
        <w:t>փոփոխությունների մասով.</w:t>
      </w:r>
    </w:p>
    <w:p w:rsidR="00272DB6" w:rsidRPr="000F2B84" w:rsidRDefault="00271770" w:rsidP="00D524F9">
      <w:pPr>
        <w:pStyle w:val="NoSpacing"/>
        <w:tabs>
          <w:tab w:val="left" w:pos="1170"/>
        </w:tabs>
        <w:spacing w:line="360" w:lineRule="auto"/>
        <w:jc w:val="both"/>
        <w:rPr>
          <w:rFonts w:ascii="GHEA Grapalat" w:hAnsi="GHEA Grapalat"/>
          <w:sz w:val="24"/>
          <w:szCs w:val="24"/>
          <w:lang w:val="hy-AM"/>
        </w:rPr>
      </w:pPr>
      <w:r w:rsidRPr="000F2B84">
        <w:rPr>
          <w:rFonts w:ascii="GHEA Grapalat" w:hAnsi="GHEA Grapalat"/>
          <w:sz w:val="24"/>
          <w:szCs w:val="24"/>
          <w:lang w:val="hy-AM"/>
        </w:rPr>
        <w:tab/>
      </w:r>
      <w:r w:rsidR="000F2B84">
        <w:rPr>
          <w:rFonts w:ascii="GHEA Grapalat" w:hAnsi="GHEA Grapalat"/>
          <w:sz w:val="24"/>
          <w:szCs w:val="24"/>
          <w:lang w:val="hy-AM"/>
        </w:rPr>
        <w:t>Որո</w:t>
      </w:r>
      <w:r w:rsidR="000F2B84" w:rsidRPr="000F2B84">
        <w:rPr>
          <w:rFonts w:ascii="GHEA Grapalat" w:hAnsi="GHEA Grapalat"/>
          <w:sz w:val="24"/>
          <w:szCs w:val="24"/>
          <w:lang w:val="hy-AM"/>
        </w:rPr>
        <w:t>շ</w:t>
      </w:r>
      <w:r w:rsidRPr="000F2B84">
        <w:rPr>
          <w:rFonts w:ascii="GHEA Grapalat" w:hAnsi="GHEA Grapalat"/>
          <w:sz w:val="24"/>
          <w:szCs w:val="24"/>
          <w:lang w:val="hy-AM"/>
        </w:rPr>
        <w:t>, մասնավորապես, միջուկային անվտանգության ապահովման, լեզվի և կրթության</w:t>
      </w:r>
      <w:r w:rsidR="00C31B83" w:rsidRPr="000F2B84">
        <w:rPr>
          <w:rFonts w:ascii="GHEA Grapalat" w:hAnsi="GHEA Grapalat"/>
          <w:sz w:val="24"/>
          <w:szCs w:val="24"/>
          <w:lang w:val="hy-AM"/>
        </w:rPr>
        <w:t>, պրոբացիայի ծառայության</w:t>
      </w:r>
      <w:r w:rsidRPr="000F2B84">
        <w:rPr>
          <w:rFonts w:ascii="GHEA Grapalat" w:hAnsi="GHEA Grapalat"/>
          <w:sz w:val="24"/>
          <w:szCs w:val="24"/>
          <w:lang w:val="hy-AM"/>
        </w:rPr>
        <w:t xml:space="preserve"> բնագավառների</w:t>
      </w:r>
      <w:r w:rsidR="00C31B83" w:rsidRPr="000F2B84">
        <w:rPr>
          <w:rFonts w:ascii="GHEA Grapalat" w:hAnsi="GHEA Grapalat"/>
          <w:sz w:val="24"/>
          <w:szCs w:val="24"/>
          <w:lang w:val="hy-AM"/>
        </w:rPr>
        <w:t xml:space="preserve">, </w:t>
      </w:r>
      <w:r w:rsidRPr="000F2B84">
        <w:rPr>
          <w:rFonts w:ascii="GHEA Grapalat" w:hAnsi="GHEA Grapalat"/>
          <w:sz w:val="24"/>
          <w:szCs w:val="24"/>
          <w:lang w:val="hy-AM"/>
        </w:rPr>
        <w:t>հավաքներ անցակցնելո</w:t>
      </w:r>
      <w:r w:rsidR="00C31B83" w:rsidRPr="000F2B84">
        <w:rPr>
          <w:rFonts w:ascii="GHEA Grapalat" w:hAnsi="GHEA Grapalat"/>
          <w:sz w:val="24"/>
          <w:szCs w:val="24"/>
          <w:lang w:val="hy-AM"/>
        </w:rPr>
        <w:t>ւ</w:t>
      </w:r>
      <w:r w:rsidRPr="000F2B84">
        <w:rPr>
          <w:rFonts w:ascii="GHEA Grapalat" w:hAnsi="GHEA Grapalat"/>
          <w:sz w:val="24"/>
          <w:szCs w:val="24"/>
          <w:lang w:val="hy-AM"/>
        </w:rPr>
        <w:t>՝ օրենքով սահմանված կարգը խախտելու, ոստիկանության ծառայողի օրինական պահանջը չկատարելու, պետական մարմնին (պաշտոնատար անձին) տեղեկատվություն չտրամադրելու</w:t>
      </w:r>
      <w:r w:rsidR="00C31B83" w:rsidRPr="000F2B84">
        <w:rPr>
          <w:rFonts w:ascii="GHEA Grapalat" w:hAnsi="GHEA Grapalat"/>
          <w:sz w:val="24"/>
          <w:szCs w:val="24"/>
          <w:lang w:val="hy-AM"/>
        </w:rPr>
        <w:t xml:space="preserve"> վերաբերյալ վարչական ի</w:t>
      </w:r>
      <w:r w:rsidR="000F2B84">
        <w:rPr>
          <w:rFonts w:ascii="GHEA Grapalat" w:hAnsi="GHEA Grapalat"/>
          <w:sz w:val="24"/>
          <w:szCs w:val="24"/>
          <w:lang w:val="hy-AM"/>
        </w:rPr>
        <w:t>րավա</w:t>
      </w:r>
      <w:r w:rsidR="000F2B84" w:rsidRPr="000F2B84">
        <w:rPr>
          <w:rFonts w:ascii="GHEA Grapalat" w:hAnsi="GHEA Grapalat"/>
          <w:sz w:val="24"/>
          <w:szCs w:val="24"/>
          <w:lang w:val="hy-AM"/>
        </w:rPr>
        <w:t>խա</w:t>
      </w:r>
      <w:r w:rsidR="00C31B83" w:rsidRPr="000F2B84">
        <w:rPr>
          <w:rFonts w:ascii="GHEA Grapalat" w:hAnsi="GHEA Grapalat"/>
          <w:sz w:val="24"/>
          <w:szCs w:val="24"/>
          <w:lang w:val="hy-AM"/>
        </w:rPr>
        <w:t>խտումների վերաբերյալ գործերի քննությունը վերապահվ</w:t>
      </w:r>
      <w:r w:rsidR="000F2B84" w:rsidRPr="000F2B84">
        <w:rPr>
          <w:rFonts w:ascii="GHEA Grapalat" w:hAnsi="GHEA Grapalat"/>
          <w:sz w:val="24"/>
          <w:szCs w:val="24"/>
          <w:lang w:val="hy-AM"/>
        </w:rPr>
        <w:t>ում</w:t>
      </w:r>
      <w:r w:rsidR="00C31B83" w:rsidRPr="000F2B84">
        <w:rPr>
          <w:rFonts w:ascii="GHEA Grapalat" w:hAnsi="GHEA Grapalat"/>
          <w:sz w:val="24"/>
          <w:szCs w:val="24"/>
          <w:lang w:val="hy-AM"/>
        </w:rPr>
        <w:t xml:space="preserve"> է իրավասու վարչական մարմիններին:</w:t>
      </w:r>
    </w:p>
    <w:p w:rsidR="00D524F9" w:rsidRPr="000F2B84" w:rsidRDefault="00D524F9" w:rsidP="00D524F9">
      <w:pPr>
        <w:pStyle w:val="NoSpacing"/>
        <w:tabs>
          <w:tab w:val="left" w:pos="1170"/>
        </w:tabs>
        <w:spacing w:line="360" w:lineRule="auto"/>
        <w:jc w:val="both"/>
        <w:rPr>
          <w:rFonts w:ascii="GHEA Grapalat" w:hAnsi="GHEA Grapalat"/>
          <w:sz w:val="24"/>
          <w:szCs w:val="24"/>
          <w:lang w:val="hy-AM"/>
        </w:rPr>
      </w:pPr>
    </w:p>
    <w:p w:rsidR="00D524F9" w:rsidRPr="000F2B84" w:rsidRDefault="00D524F9" w:rsidP="00D524F9">
      <w:pPr>
        <w:spacing w:line="360" w:lineRule="auto"/>
        <w:ind w:firstLine="720"/>
        <w:jc w:val="both"/>
        <w:rPr>
          <w:rFonts w:ascii="GHEA Grapalat" w:hAnsi="GHEA Grapalat" w:cs="GHEA Mariam"/>
          <w:b/>
          <w:sz w:val="24"/>
          <w:szCs w:val="24"/>
          <w:lang w:val="hy-AM"/>
        </w:rPr>
      </w:pPr>
      <w:r w:rsidRPr="000F2B84">
        <w:rPr>
          <w:rFonts w:ascii="GHEA Grapalat" w:hAnsi="GHEA Grapalat" w:cs="GHEA Mariam"/>
          <w:b/>
          <w:sz w:val="24"/>
          <w:szCs w:val="24"/>
          <w:lang w:val="hy-AM"/>
        </w:rPr>
        <w:t>4. Նախագծ</w:t>
      </w:r>
      <w:r w:rsidR="00C249B5" w:rsidRPr="00C249B5">
        <w:rPr>
          <w:rFonts w:ascii="GHEA Grapalat" w:hAnsi="GHEA Grapalat" w:cs="GHEA Mariam"/>
          <w:b/>
          <w:sz w:val="24"/>
          <w:szCs w:val="24"/>
          <w:lang w:val="hy-AM"/>
        </w:rPr>
        <w:t>եր</w:t>
      </w:r>
      <w:r w:rsidRPr="000F2B84">
        <w:rPr>
          <w:rFonts w:ascii="GHEA Grapalat" w:hAnsi="GHEA Grapalat" w:cs="GHEA Mariam"/>
          <w:b/>
          <w:sz w:val="24"/>
          <w:szCs w:val="24"/>
          <w:lang w:val="hy-AM"/>
        </w:rPr>
        <w:t>ի մշակման գործընթացում ներգրավված ինստիտուտները և անձինք</w:t>
      </w:r>
    </w:p>
    <w:p w:rsidR="00D524F9" w:rsidRPr="000F2B84" w:rsidRDefault="00D524F9" w:rsidP="00D524F9">
      <w:pPr>
        <w:spacing w:line="360" w:lineRule="auto"/>
        <w:ind w:firstLine="709"/>
        <w:jc w:val="both"/>
        <w:rPr>
          <w:rFonts w:ascii="GHEA Grapalat" w:hAnsi="GHEA Grapalat" w:cs="GHEA Mariam"/>
          <w:sz w:val="24"/>
          <w:szCs w:val="24"/>
          <w:lang w:val="hy-AM"/>
        </w:rPr>
      </w:pPr>
      <w:r w:rsidRPr="000F2B84">
        <w:rPr>
          <w:rFonts w:ascii="GHEA Grapalat" w:hAnsi="GHEA Grapalat" w:cs="GHEA Mariam"/>
          <w:spacing w:val="-6"/>
          <w:sz w:val="24"/>
          <w:szCs w:val="24"/>
          <w:lang w:val="hy-AM"/>
        </w:rPr>
        <w:t xml:space="preserve">Նախագիծը մշակվել է Արդարադատության նախարարության «Օրենսդրության զարգացման կենտրոն» հիմնադրամի </w:t>
      </w:r>
      <w:r w:rsidRPr="000F2B84">
        <w:rPr>
          <w:rFonts w:ascii="GHEA Grapalat" w:hAnsi="GHEA Grapalat" w:cs="GHEA Mariam"/>
          <w:sz w:val="24"/>
          <w:szCs w:val="24"/>
          <w:lang w:val="hy-AM"/>
        </w:rPr>
        <w:t>կողմից:</w:t>
      </w:r>
      <w:r w:rsidRPr="000F2B84">
        <w:rPr>
          <w:rFonts w:ascii="GHEA Grapalat" w:hAnsi="GHEA Grapalat"/>
          <w:sz w:val="24"/>
          <w:szCs w:val="24"/>
          <w:lang w:val="hy-AM"/>
        </w:rPr>
        <w:tab/>
      </w:r>
    </w:p>
    <w:p w:rsidR="00D524F9" w:rsidRPr="004F0EFC" w:rsidRDefault="00D524F9" w:rsidP="00D524F9">
      <w:pPr>
        <w:tabs>
          <w:tab w:val="left" w:pos="90"/>
        </w:tabs>
        <w:spacing w:line="360" w:lineRule="auto"/>
        <w:ind w:firstLine="720"/>
        <w:jc w:val="both"/>
        <w:rPr>
          <w:rFonts w:ascii="GHEA Grapalat" w:hAnsi="GHEA Grapalat"/>
          <w:sz w:val="24"/>
          <w:szCs w:val="24"/>
          <w:lang w:val="hy-AM"/>
        </w:rPr>
      </w:pPr>
      <w:r w:rsidRPr="000F2B84">
        <w:rPr>
          <w:rFonts w:ascii="GHEA Grapalat" w:hAnsi="GHEA Grapalat"/>
          <w:b/>
          <w:sz w:val="24"/>
          <w:szCs w:val="24"/>
          <w:lang w:val="hy-AM"/>
        </w:rPr>
        <w:t>5. Օ</w:t>
      </w:r>
      <w:r w:rsidRPr="000F2B84">
        <w:rPr>
          <w:rFonts w:ascii="GHEA Grapalat" w:hAnsi="GHEA Grapalat" w:cs="Sylfaen"/>
          <w:b/>
          <w:sz w:val="24"/>
          <w:szCs w:val="24"/>
          <w:lang w:val="hy-AM"/>
        </w:rPr>
        <w:t>րենք</w:t>
      </w:r>
      <w:r w:rsidR="00C249B5" w:rsidRPr="00C249B5">
        <w:rPr>
          <w:rFonts w:ascii="GHEA Grapalat" w:hAnsi="GHEA Grapalat" w:cs="Sylfaen"/>
          <w:b/>
          <w:sz w:val="24"/>
          <w:szCs w:val="24"/>
          <w:lang w:val="hy-AM"/>
        </w:rPr>
        <w:t>ներ</w:t>
      </w:r>
      <w:r w:rsidRPr="000F2B84">
        <w:rPr>
          <w:rFonts w:ascii="GHEA Grapalat" w:hAnsi="GHEA Grapalat" w:cs="Sylfaen"/>
          <w:b/>
          <w:sz w:val="24"/>
          <w:szCs w:val="24"/>
          <w:lang w:val="hy-AM"/>
        </w:rPr>
        <w:t>ի</w:t>
      </w:r>
      <w:r w:rsidRPr="000F2B84">
        <w:rPr>
          <w:rFonts w:ascii="GHEA Grapalat" w:hAnsi="GHEA Grapalat"/>
          <w:b/>
          <w:sz w:val="24"/>
          <w:szCs w:val="24"/>
          <w:lang w:val="hy-AM"/>
        </w:rPr>
        <w:t xml:space="preserve"> </w:t>
      </w:r>
      <w:r w:rsidRPr="000F2B84">
        <w:rPr>
          <w:rFonts w:ascii="GHEA Grapalat" w:hAnsi="GHEA Grapalat" w:cs="Sylfaen"/>
          <w:b/>
          <w:noProof/>
          <w:sz w:val="24"/>
          <w:szCs w:val="24"/>
          <w:lang w:val="hy-AM"/>
        </w:rPr>
        <w:t>ընդունման</w:t>
      </w:r>
      <w:r w:rsidRPr="000F2B84">
        <w:rPr>
          <w:rFonts w:ascii="GHEA Grapalat" w:hAnsi="GHEA Grapalat"/>
          <w:b/>
          <w:noProof/>
          <w:sz w:val="24"/>
          <w:szCs w:val="24"/>
          <w:lang w:val="hy-AM"/>
        </w:rPr>
        <w:t xml:space="preserve"> </w:t>
      </w:r>
      <w:r w:rsidRPr="000F2B84">
        <w:rPr>
          <w:rFonts w:ascii="GHEA Grapalat" w:hAnsi="GHEA Grapalat" w:cs="Sylfaen"/>
          <w:b/>
          <w:bCs/>
          <w:iCs/>
          <w:noProof/>
          <w:sz w:val="24"/>
          <w:szCs w:val="24"/>
          <w:lang w:val="hy-AM"/>
        </w:rPr>
        <w:t>կապակցությամբ</w:t>
      </w:r>
      <w:r w:rsidRPr="000F2B84">
        <w:rPr>
          <w:rFonts w:ascii="GHEA Grapalat" w:hAnsi="GHEA Grapalat"/>
          <w:b/>
          <w:bCs/>
          <w:iCs/>
          <w:noProof/>
          <w:sz w:val="24"/>
          <w:szCs w:val="24"/>
          <w:lang w:val="hy-AM"/>
        </w:rPr>
        <w:t xml:space="preserve"> </w:t>
      </w:r>
      <w:r w:rsidRPr="000F2B84">
        <w:rPr>
          <w:rFonts w:ascii="GHEA Grapalat" w:hAnsi="GHEA Grapalat" w:cs="Sylfaen"/>
          <w:b/>
          <w:bCs/>
          <w:iCs/>
          <w:noProof/>
          <w:sz w:val="24"/>
          <w:szCs w:val="24"/>
          <w:lang w:val="hy-AM"/>
        </w:rPr>
        <w:t>այլ իրավական ակտերի ընդունման անհրաժեշտությունը</w:t>
      </w:r>
      <w:r w:rsidRPr="000F2B84">
        <w:rPr>
          <w:rFonts w:ascii="GHEA Grapalat" w:eastAsia="GHEA Grapalat" w:hAnsi="GHEA Grapalat" w:cs="GHEA Grapalat"/>
          <w:b/>
          <w:color w:val="000000"/>
          <w:sz w:val="24"/>
          <w:szCs w:val="24"/>
          <w:lang w:val="hy-AM"/>
        </w:rPr>
        <w:t xml:space="preserve"> և պետական բյուջեի եկամուտներում և ծախսերում սպասվելիք փոփոխությունները</w:t>
      </w:r>
    </w:p>
    <w:p w:rsidR="00D524F9" w:rsidRPr="000F2B84" w:rsidRDefault="00D524F9" w:rsidP="00D524F9">
      <w:pPr>
        <w:pStyle w:val="NormalWeb"/>
        <w:spacing w:before="0" w:beforeAutospacing="0" w:after="0" w:afterAutospacing="0" w:line="360" w:lineRule="auto"/>
        <w:ind w:firstLine="720"/>
        <w:jc w:val="both"/>
        <w:rPr>
          <w:rFonts w:ascii="GHEA Grapalat" w:hAnsi="GHEA Grapalat"/>
          <w:bCs/>
          <w:color w:val="000000"/>
          <w:shd w:val="clear" w:color="auto" w:fill="FFFFFF"/>
          <w:lang w:val="hy-AM"/>
        </w:rPr>
      </w:pPr>
      <w:r w:rsidRPr="000F2B84">
        <w:rPr>
          <w:rFonts w:ascii="GHEA Grapalat" w:eastAsia="GHEA Grapalat" w:hAnsi="GHEA Grapalat" w:cs="GHEA Grapalat"/>
          <w:color w:val="000000"/>
          <w:lang w:val="hy-AM"/>
        </w:rPr>
        <w:lastRenderedPageBreak/>
        <w:t>«Հայաստանի Հանրապետության վարչական դատավարության օրենսգրքում լրացումներ և փոփոխություններ կատարելու մասին» և «</w:t>
      </w:r>
      <w:r w:rsidRPr="000F2B84">
        <w:rPr>
          <w:rFonts w:ascii="GHEA Grapalat" w:hAnsi="GHEA Grapalat"/>
          <w:bCs/>
          <w:color w:val="000000"/>
          <w:shd w:val="clear" w:color="auto" w:fill="FFFFFF"/>
          <w:lang w:val="hy-AM"/>
        </w:rPr>
        <w:t xml:space="preserve">Վարչական իրավախախտումների վերաբերյալ Հայաստանի Հանրապետության օրենսգրքում փոփոխություններ և լրացումներ կատարելու մասին» օրենքների նախագծերի </w:t>
      </w:r>
      <w:r w:rsidRPr="000F2B84">
        <w:rPr>
          <w:rFonts w:ascii="GHEA Grapalat" w:hAnsi="GHEA Grapalat" w:cs="Sylfaen"/>
          <w:bCs/>
          <w:iCs/>
          <w:noProof/>
          <w:lang w:val="hy-AM"/>
        </w:rPr>
        <w:t>ընդունման</w:t>
      </w:r>
      <w:r w:rsidRPr="000F2B84">
        <w:rPr>
          <w:rFonts w:ascii="GHEA Grapalat" w:hAnsi="GHEA Grapalat"/>
          <w:bCs/>
          <w:iCs/>
          <w:noProof/>
          <w:lang w:val="hy-AM"/>
        </w:rPr>
        <w:t xml:space="preserve"> կապակցությամբ </w:t>
      </w:r>
      <w:r w:rsidRPr="000F2B84">
        <w:rPr>
          <w:rFonts w:ascii="GHEA Grapalat" w:hAnsi="GHEA Grapalat" w:cs="Sylfaen"/>
          <w:bCs/>
          <w:iCs/>
          <w:noProof/>
          <w:lang w:val="hy-AM"/>
        </w:rPr>
        <w:t xml:space="preserve">այլ իրավական ակտերի ընդունման անհրաժեշտությունը բացակայում է: </w:t>
      </w:r>
      <w:r w:rsidRPr="000F2B84">
        <w:rPr>
          <w:rFonts w:ascii="GHEA Grapalat" w:eastAsia="GHEA Grapalat" w:hAnsi="GHEA Grapalat" w:cs="GHEA Grapalat"/>
          <w:color w:val="000000"/>
          <w:lang w:val="hy-AM"/>
        </w:rPr>
        <w:t>«Հայաստանի Հանրապետության վարչական դատավարության օրենսգրքում լրացումներ և փոփոխություններ կատարելու մասին» և «</w:t>
      </w:r>
      <w:r w:rsidRPr="000F2B84">
        <w:rPr>
          <w:rFonts w:ascii="GHEA Grapalat" w:hAnsi="GHEA Grapalat"/>
          <w:bCs/>
          <w:color w:val="000000"/>
          <w:shd w:val="clear" w:color="auto" w:fill="FFFFFF"/>
          <w:lang w:val="hy-AM"/>
        </w:rPr>
        <w:t>Վարչական իրավախախտումների վերաբերյալ Հայաստանի Հանրապետության օրենսգրքում փոփոխություններ և լրացումներ կատարելու մասին» օրենքների նախագծերի</w:t>
      </w:r>
      <w:r w:rsidRPr="000F2B84">
        <w:rPr>
          <w:rFonts w:ascii="GHEA Grapalat" w:hAnsi="GHEA Grapalat"/>
          <w:lang w:val="hy-AM"/>
        </w:rPr>
        <w:t xml:space="preserve"> </w:t>
      </w:r>
      <w:r w:rsidRPr="000F2B84">
        <w:rPr>
          <w:rFonts w:ascii="GHEA Grapalat" w:hAnsi="GHEA Grapalat" w:cs="Sylfaen"/>
          <w:bCs/>
          <w:iCs/>
          <w:noProof/>
          <w:lang w:val="hy-AM"/>
        </w:rPr>
        <w:t>ընդունման</w:t>
      </w:r>
      <w:r w:rsidRPr="000F2B84">
        <w:rPr>
          <w:rFonts w:ascii="GHEA Grapalat" w:hAnsi="GHEA Grapalat"/>
          <w:bCs/>
          <w:iCs/>
          <w:noProof/>
          <w:lang w:val="hy-AM"/>
        </w:rPr>
        <w:t xml:space="preserve"> </w:t>
      </w:r>
      <w:r w:rsidRPr="000F2B84">
        <w:rPr>
          <w:rFonts w:ascii="GHEA Grapalat" w:hAnsi="GHEA Grapalat" w:cs="Sylfaen"/>
          <w:bCs/>
          <w:iCs/>
          <w:noProof/>
          <w:lang w:val="hy-AM"/>
        </w:rPr>
        <w:t>կապակ</w:t>
      </w:r>
      <w:r w:rsidRPr="000F2B84">
        <w:rPr>
          <w:rFonts w:ascii="GHEA Grapalat" w:hAnsi="GHEA Grapalat"/>
          <w:bCs/>
          <w:iCs/>
          <w:noProof/>
          <w:lang w:val="hy-AM"/>
        </w:rPr>
        <w:softHyphen/>
      </w:r>
      <w:r w:rsidRPr="000F2B84">
        <w:rPr>
          <w:rFonts w:ascii="GHEA Grapalat" w:hAnsi="GHEA Grapalat" w:cs="Sylfaen"/>
          <w:bCs/>
          <w:iCs/>
          <w:noProof/>
          <w:lang w:val="hy-AM"/>
        </w:rPr>
        <w:t>ցու</w:t>
      </w:r>
      <w:r w:rsidRPr="000F2B84">
        <w:rPr>
          <w:rFonts w:ascii="GHEA Grapalat" w:hAnsi="GHEA Grapalat"/>
          <w:bCs/>
          <w:iCs/>
          <w:noProof/>
          <w:lang w:val="hy-AM"/>
        </w:rPr>
        <w:softHyphen/>
      </w:r>
      <w:r w:rsidRPr="000F2B84">
        <w:rPr>
          <w:rFonts w:ascii="GHEA Grapalat" w:hAnsi="GHEA Grapalat" w:cs="Sylfaen"/>
          <w:bCs/>
          <w:iCs/>
          <w:noProof/>
          <w:lang w:val="hy-AM"/>
        </w:rPr>
        <w:t>թ</w:t>
      </w:r>
      <w:r w:rsidRPr="000F2B84">
        <w:rPr>
          <w:rFonts w:ascii="GHEA Grapalat" w:hAnsi="GHEA Grapalat"/>
          <w:bCs/>
          <w:iCs/>
          <w:noProof/>
          <w:lang w:val="hy-AM"/>
        </w:rPr>
        <w:softHyphen/>
      </w:r>
      <w:r w:rsidRPr="000F2B84">
        <w:rPr>
          <w:rFonts w:ascii="GHEA Grapalat" w:hAnsi="GHEA Grapalat" w:cs="Sylfaen"/>
          <w:bCs/>
          <w:iCs/>
          <w:noProof/>
          <w:lang w:val="hy-AM"/>
        </w:rPr>
        <w:t>յամբ պետական բյուջեի ծախսերի ավելացում կամ եկամուտբերի նվազում չի նախատեսվում։</w:t>
      </w:r>
    </w:p>
    <w:p w:rsidR="00D524F9" w:rsidRPr="000F2B84" w:rsidRDefault="00D524F9" w:rsidP="00D524F9">
      <w:pPr>
        <w:shd w:val="clear" w:color="auto" w:fill="FFFFFF"/>
        <w:autoSpaceDE w:val="0"/>
        <w:autoSpaceDN w:val="0"/>
        <w:adjustRightInd w:val="0"/>
        <w:spacing w:line="360" w:lineRule="auto"/>
        <w:ind w:firstLine="720"/>
        <w:jc w:val="both"/>
        <w:rPr>
          <w:rFonts w:ascii="GHEA Grapalat" w:hAnsi="GHEA Grapalat"/>
          <w:b/>
          <w:sz w:val="24"/>
          <w:szCs w:val="24"/>
          <w:lang w:val="hy-AM"/>
        </w:rPr>
      </w:pPr>
    </w:p>
    <w:p w:rsidR="00D524F9" w:rsidRPr="000F2B84" w:rsidRDefault="00D524F9" w:rsidP="00D524F9">
      <w:pPr>
        <w:pStyle w:val="NormalWeb"/>
        <w:spacing w:before="0" w:beforeAutospacing="0" w:after="0" w:afterAutospacing="0" w:line="360" w:lineRule="auto"/>
        <w:ind w:firstLine="720"/>
        <w:jc w:val="both"/>
        <w:rPr>
          <w:rFonts w:ascii="GHEA Grapalat" w:hAnsi="GHEA Grapalat" w:cs="Sylfaen"/>
          <w:b/>
          <w:bCs/>
          <w:iCs/>
          <w:noProof/>
          <w:lang w:val="hy-AM"/>
        </w:rPr>
      </w:pPr>
      <w:r w:rsidRPr="000F2B84">
        <w:rPr>
          <w:rFonts w:ascii="GHEA Grapalat" w:hAnsi="GHEA Grapalat" w:cs="Sylfaen"/>
          <w:b/>
          <w:bCs/>
          <w:iCs/>
          <w:noProof/>
          <w:lang w:val="hy-AM"/>
        </w:rPr>
        <w:t>6. Կապը ռազմավարական փաստաթղթերի հետ</w:t>
      </w:r>
    </w:p>
    <w:p w:rsidR="00D524F9" w:rsidRPr="000F2B84" w:rsidRDefault="00D524F9" w:rsidP="00D524F9">
      <w:pPr>
        <w:pStyle w:val="NormalWeb"/>
        <w:spacing w:before="0" w:beforeAutospacing="0" w:after="0" w:afterAutospacing="0" w:line="360" w:lineRule="auto"/>
        <w:ind w:firstLine="720"/>
        <w:jc w:val="both"/>
        <w:rPr>
          <w:rFonts w:ascii="GHEA Grapalat" w:hAnsi="GHEA Grapalat" w:cs="Sylfaen"/>
          <w:bCs/>
          <w:iCs/>
          <w:noProof/>
          <w:lang w:val="hy-AM"/>
        </w:rPr>
      </w:pPr>
      <w:r w:rsidRPr="000F2B84">
        <w:rPr>
          <w:rFonts w:ascii="GHEA Grapalat" w:hAnsi="GHEA Grapalat" w:cs="Sylfaen"/>
          <w:bCs/>
          <w:iCs/>
          <w:noProof/>
          <w:lang w:val="hy-AM"/>
        </w:rPr>
        <w:t>Նախագծ</w:t>
      </w:r>
      <w:r w:rsidR="00C249B5" w:rsidRPr="00C249B5">
        <w:rPr>
          <w:rFonts w:ascii="GHEA Grapalat" w:hAnsi="GHEA Grapalat" w:cs="Sylfaen"/>
          <w:bCs/>
          <w:iCs/>
          <w:noProof/>
          <w:lang w:val="hy-AM"/>
        </w:rPr>
        <w:t>եր</w:t>
      </w:r>
      <w:r w:rsidRPr="000F2B84">
        <w:rPr>
          <w:rFonts w:ascii="GHEA Grapalat" w:hAnsi="GHEA Grapalat" w:cs="Sylfaen"/>
          <w:bCs/>
          <w:iCs/>
          <w:noProof/>
          <w:lang w:val="hy-AM"/>
        </w:rPr>
        <w:t>ի մշակումը բխում է Հայաստանի Հանրապետության դատական և իրավական բարեփոխումների 2022-2026 թվականների ռազմավարությունից բխող գործողությունների ծրագրից, որի Վարչական և վարչական դատավարության օրենսդրության բարեփոխումների 7-րդ նպատակում որպես գործողություն նախատեսված է Վարչական դատավարության օրենսգրքի կիրառման արդյունքում գույքագրված խնդիրների հիման վրա Վարչական դատավարության օրենսգրքում և, ըստ անհրաժեշտության, հարակից օրենքներում փոփոխություններ նախատեսող նորմատիվ իրավական ակտերի փաթեթ մշակում:</w:t>
      </w:r>
    </w:p>
    <w:sectPr w:rsidR="00D524F9" w:rsidRPr="000F2B84" w:rsidSect="002013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3A3" w:rsidRDefault="004E63A3" w:rsidP="005B724A">
      <w:pPr>
        <w:spacing w:after="0" w:line="240" w:lineRule="auto"/>
      </w:pPr>
      <w:r>
        <w:separator/>
      </w:r>
    </w:p>
  </w:endnote>
  <w:endnote w:type="continuationSeparator" w:id="0">
    <w:p w:rsidR="004E63A3" w:rsidRDefault="004E63A3" w:rsidP="005B7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70821"/>
      <w:docPartObj>
        <w:docPartGallery w:val="Page Numbers (Bottom of Page)"/>
        <w:docPartUnique/>
      </w:docPartObj>
    </w:sdtPr>
    <w:sdtContent>
      <w:p w:rsidR="00271770" w:rsidRDefault="002D64B3">
        <w:pPr>
          <w:pStyle w:val="Footer"/>
          <w:jc w:val="right"/>
        </w:pPr>
        <w:fldSimple w:instr=" PAGE   \* MERGEFORMAT ">
          <w:r w:rsidR="00416349">
            <w:rPr>
              <w:noProof/>
            </w:rPr>
            <w:t>1</w:t>
          </w:r>
        </w:fldSimple>
      </w:p>
    </w:sdtContent>
  </w:sdt>
  <w:p w:rsidR="00271770" w:rsidRDefault="002717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3A3" w:rsidRDefault="004E63A3" w:rsidP="005B724A">
      <w:pPr>
        <w:spacing w:after="0" w:line="240" w:lineRule="auto"/>
      </w:pPr>
      <w:r>
        <w:separator/>
      </w:r>
    </w:p>
  </w:footnote>
  <w:footnote w:type="continuationSeparator" w:id="0">
    <w:p w:rsidR="004E63A3" w:rsidRDefault="004E63A3" w:rsidP="005B724A">
      <w:pPr>
        <w:spacing w:after="0" w:line="240" w:lineRule="auto"/>
      </w:pPr>
      <w:r>
        <w:continuationSeparator/>
      </w:r>
    </w:p>
  </w:footnote>
  <w:footnote w:id="1">
    <w:p w:rsidR="00271770" w:rsidRPr="003500F7" w:rsidRDefault="00271770" w:rsidP="005A307B">
      <w:pPr>
        <w:pStyle w:val="FootnoteText"/>
        <w:jc w:val="both"/>
        <w:rPr>
          <w:lang w:val="ru-RU"/>
        </w:rPr>
      </w:pPr>
      <w:r>
        <w:rPr>
          <w:rStyle w:val="FootnoteReference"/>
        </w:rPr>
        <w:footnoteRef/>
      </w:r>
      <w:r>
        <w:t xml:space="preserve"> </w:t>
      </w:r>
      <w:r w:rsidRPr="003500F7">
        <w:rPr>
          <w:rFonts w:ascii="GHEA Grapalat" w:hAnsi="GHEA Grapalat" w:cs="Sylfaen"/>
          <w:color w:val="222222"/>
          <w:shd w:val="clear" w:color="auto" w:fill="FFFFFF"/>
        </w:rPr>
        <w:t>Վարչական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պատասխանատվության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դինամիկ</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և</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ստատիկ</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ասպեկտների</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վարչական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պատասխանատվության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ենթարկող</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սուբյեկտի</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վերաբերյալ</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ավելի</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մանրամասն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օրինակ</w:t>
      </w:r>
      <w:r w:rsidRPr="003500F7">
        <w:rPr>
          <w:rFonts w:ascii="GHEA Grapalat" w:hAnsi="GHEA Grapalat"/>
          <w:color w:val="222222"/>
          <w:shd w:val="clear" w:color="auto" w:fill="FFFFFF"/>
        </w:rPr>
        <w:t xml:space="preserve">, Бельский К.С., Администратиная ответственность: генезис, основные признаки, структура // Государство и право. N 9, 1999, </w:t>
      </w:r>
      <w:r w:rsidRPr="003500F7">
        <w:rPr>
          <w:rFonts w:ascii="GHEA Grapalat" w:hAnsi="GHEA Grapalat" w:cs="Sylfaen"/>
          <w:color w:val="222222"/>
          <w:shd w:val="clear" w:color="auto" w:fill="FFFFFF"/>
        </w:rPr>
        <w:t>էջ</w:t>
      </w:r>
      <w:r w:rsidRPr="003500F7">
        <w:rPr>
          <w:rFonts w:ascii="GHEA Grapalat" w:hAnsi="GHEA Grapalat"/>
          <w:color w:val="222222"/>
          <w:shd w:val="clear" w:color="auto" w:fill="FFFFFF"/>
        </w:rPr>
        <w:t xml:space="preserve"> 15-16, 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BCA"/>
    <w:multiLevelType w:val="hybridMultilevel"/>
    <w:tmpl w:val="5C06EA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4F3FEE"/>
    <w:multiLevelType w:val="hybridMultilevel"/>
    <w:tmpl w:val="AB8479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DF0CED"/>
    <w:multiLevelType w:val="hybridMultilevel"/>
    <w:tmpl w:val="CF56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F5912"/>
    <w:multiLevelType w:val="hybridMultilevel"/>
    <w:tmpl w:val="8E388E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9E2451"/>
    <w:multiLevelType w:val="hybridMultilevel"/>
    <w:tmpl w:val="087E1016"/>
    <w:lvl w:ilvl="0" w:tplc="1B04CAB4">
      <w:start w:val="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C14AC4"/>
    <w:multiLevelType w:val="hybridMultilevel"/>
    <w:tmpl w:val="5D70E84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A76F8"/>
    <w:multiLevelType w:val="hybridMultilevel"/>
    <w:tmpl w:val="2772A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466616"/>
    <w:multiLevelType w:val="multilevel"/>
    <w:tmpl w:val="21343D4A"/>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8">
    <w:nsid w:val="588538E3"/>
    <w:multiLevelType w:val="hybridMultilevel"/>
    <w:tmpl w:val="4FB09B04"/>
    <w:lvl w:ilvl="0" w:tplc="640444A6">
      <w:start w:val="1"/>
      <w:numFmt w:val="decimal"/>
      <w:lvlText w:val="%1."/>
      <w:lvlJc w:val="left"/>
      <w:pPr>
        <w:ind w:left="1080" w:hanging="360"/>
      </w:pPr>
      <w:rPr>
        <w:rFonts w:eastAsia="Times New Roman" w:cs="Arial Unicode"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1D3BBD"/>
    <w:multiLevelType w:val="hybridMultilevel"/>
    <w:tmpl w:val="4AD42456"/>
    <w:lvl w:ilvl="0" w:tplc="FE94156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276D87"/>
    <w:multiLevelType w:val="hybridMultilevel"/>
    <w:tmpl w:val="571AE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765E8"/>
    <w:multiLevelType w:val="hybridMultilevel"/>
    <w:tmpl w:val="83887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A9545D"/>
    <w:multiLevelType w:val="hybridMultilevel"/>
    <w:tmpl w:val="7BACE11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2293D"/>
    <w:multiLevelType w:val="hybridMultilevel"/>
    <w:tmpl w:val="CDFE2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430E1"/>
    <w:multiLevelType w:val="hybridMultilevel"/>
    <w:tmpl w:val="40C2B4E0"/>
    <w:lvl w:ilvl="0" w:tplc="AA400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764D60"/>
    <w:multiLevelType w:val="hybridMultilevel"/>
    <w:tmpl w:val="40C2B4E0"/>
    <w:lvl w:ilvl="0" w:tplc="AA400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8A0801"/>
    <w:multiLevelType w:val="hybridMultilevel"/>
    <w:tmpl w:val="D6EA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6"/>
  </w:num>
  <w:num w:numId="4">
    <w:abstractNumId w:val="5"/>
  </w:num>
  <w:num w:numId="5">
    <w:abstractNumId w:val="0"/>
  </w:num>
  <w:num w:numId="6">
    <w:abstractNumId w:val="3"/>
  </w:num>
  <w:num w:numId="7">
    <w:abstractNumId w:val="1"/>
  </w:num>
  <w:num w:numId="8">
    <w:abstractNumId w:val="10"/>
  </w:num>
  <w:num w:numId="9">
    <w:abstractNumId w:val="12"/>
  </w:num>
  <w:num w:numId="10">
    <w:abstractNumId w:val="15"/>
  </w:num>
  <w:num w:numId="11">
    <w:abstractNumId w:val="9"/>
  </w:num>
  <w:num w:numId="12">
    <w:abstractNumId w:val="11"/>
  </w:num>
  <w:num w:numId="13">
    <w:abstractNumId w:val="4"/>
  </w:num>
  <w:num w:numId="14">
    <w:abstractNumId w:val="14"/>
  </w:num>
  <w:num w:numId="15">
    <w:abstractNumId w:val="8"/>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B724A"/>
    <w:rsid w:val="00020CE8"/>
    <w:rsid w:val="00082666"/>
    <w:rsid w:val="00096A31"/>
    <w:rsid w:val="000A2581"/>
    <w:rsid w:val="000F2B84"/>
    <w:rsid w:val="001145C2"/>
    <w:rsid w:val="0016788B"/>
    <w:rsid w:val="0018667F"/>
    <w:rsid w:val="001B66F8"/>
    <w:rsid w:val="001F4399"/>
    <w:rsid w:val="00201353"/>
    <w:rsid w:val="00216152"/>
    <w:rsid w:val="002278FC"/>
    <w:rsid w:val="00227A4D"/>
    <w:rsid w:val="00247A48"/>
    <w:rsid w:val="00271770"/>
    <w:rsid w:val="0027221D"/>
    <w:rsid w:val="00272DB6"/>
    <w:rsid w:val="00297194"/>
    <w:rsid w:val="002D5C9B"/>
    <w:rsid w:val="002D64B3"/>
    <w:rsid w:val="00305CCC"/>
    <w:rsid w:val="003500F7"/>
    <w:rsid w:val="003B01EA"/>
    <w:rsid w:val="003C5EB7"/>
    <w:rsid w:val="00405AB8"/>
    <w:rsid w:val="00416349"/>
    <w:rsid w:val="00487453"/>
    <w:rsid w:val="0049620B"/>
    <w:rsid w:val="004E63A3"/>
    <w:rsid w:val="004F0EFC"/>
    <w:rsid w:val="005379B1"/>
    <w:rsid w:val="00575AF2"/>
    <w:rsid w:val="005A307B"/>
    <w:rsid w:val="005B724A"/>
    <w:rsid w:val="006075DC"/>
    <w:rsid w:val="00614D66"/>
    <w:rsid w:val="0061750F"/>
    <w:rsid w:val="006F4F62"/>
    <w:rsid w:val="007035BD"/>
    <w:rsid w:val="00722DC2"/>
    <w:rsid w:val="007661F2"/>
    <w:rsid w:val="0082453C"/>
    <w:rsid w:val="0085071F"/>
    <w:rsid w:val="008752F7"/>
    <w:rsid w:val="00885748"/>
    <w:rsid w:val="008C4BEF"/>
    <w:rsid w:val="008E4454"/>
    <w:rsid w:val="009A2244"/>
    <w:rsid w:val="009C084A"/>
    <w:rsid w:val="009D2A13"/>
    <w:rsid w:val="009F4F82"/>
    <w:rsid w:val="00A03639"/>
    <w:rsid w:val="00A3290F"/>
    <w:rsid w:val="00AC5DE8"/>
    <w:rsid w:val="00B31CC8"/>
    <w:rsid w:val="00B96FD5"/>
    <w:rsid w:val="00BA4EC5"/>
    <w:rsid w:val="00C07E27"/>
    <w:rsid w:val="00C249B5"/>
    <w:rsid w:val="00C31B83"/>
    <w:rsid w:val="00C60BB4"/>
    <w:rsid w:val="00C65273"/>
    <w:rsid w:val="00D524F9"/>
    <w:rsid w:val="00DA202B"/>
    <w:rsid w:val="00DA5936"/>
    <w:rsid w:val="00DF403B"/>
    <w:rsid w:val="00E14BC2"/>
    <w:rsid w:val="00E32CF4"/>
    <w:rsid w:val="00E97008"/>
    <w:rsid w:val="00EA5E9B"/>
    <w:rsid w:val="00EC5769"/>
    <w:rsid w:val="00F30A49"/>
    <w:rsid w:val="00F51539"/>
    <w:rsid w:val="00F80416"/>
    <w:rsid w:val="00FA2C4F"/>
    <w:rsid w:val="00FD6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4A"/>
  </w:style>
  <w:style w:type="paragraph" w:styleId="Heading3">
    <w:name w:val="heading 3"/>
    <w:basedOn w:val="Normal"/>
    <w:next w:val="Normal"/>
    <w:link w:val="Heading3Char"/>
    <w:rsid w:val="001F4399"/>
    <w:pPr>
      <w:keepNext/>
      <w:keepLines/>
      <w:spacing w:before="40" w:after="0" w:line="240" w:lineRule="auto"/>
      <w:outlineLvl w:val="2"/>
    </w:pPr>
    <w:rPr>
      <w:rFonts w:ascii="Calibri" w:eastAsia="Calibri" w:hAnsi="Calibri" w:cs="Calibri"/>
      <w:color w:val="1F3863"/>
      <w:sz w:val="24"/>
      <w:szCs w:val="24"/>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5B724A"/>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ebb"/>
    <w:basedOn w:val="Normal"/>
    <w:link w:val="NormalWebChar"/>
    <w:uiPriority w:val="99"/>
    <w:unhideWhenUsed/>
    <w:qFormat/>
    <w:rsid w:val="005B72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5B72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7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4A"/>
  </w:style>
  <w:style w:type="paragraph" w:styleId="FootnoteText">
    <w:name w:val="footnote text"/>
    <w:basedOn w:val="Normal"/>
    <w:link w:val="FootnoteTextChar"/>
    <w:uiPriority w:val="99"/>
    <w:unhideWhenUsed/>
    <w:rsid w:val="005B724A"/>
    <w:pPr>
      <w:spacing w:after="0" w:line="240" w:lineRule="auto"/>
    </w:pPr>
    <w:rPr>
      <w:sz w:val="20"/>
      <w:szCs w:val="20"/>
    </w:rPr>
  </w:style>
  <w:style w:type="character" w:customStyle="1" w:styleId="FootnoteTextChar">
    <w:name w:val="Footnote Text Char"/>
    <w:basedOn w:val="DefaultParagraphFont"/>
    <w:link w:val="FootnoteText"/>
    <w:uiPriority w:val="99"/>
    <w:rsid w:val="005B724A"/>
    <w:rPr>
      <w:sz w:val="20"/>
      <w:szCs w:val="20"/>
    </w:rPr>
  </w:style>
  <w:style w:type="character" w:styleId="FootnoteReference">
    <w:name w:val="footnote reference"/>
    <w:basedOn w:val="DefaultParagraphFont"/>
    <w:uiPriority w:val="99"/>
    <w:semiHidden/>
    <w:unhideWhenUsed/>
    <w:rsid w:val="005B724A"/>
    <w:rPr>
      <w:vertAlign w:val="superscript"/>
    </w:rPr>
  </w:style>
  <w:style w:type="character" w:styleId="Hyperlink">
    <w:name w:val="Hyperlink"/>
    <w:basedOn w:val="DefaultParagraphFont"/>
    <w:uiPriority w:val="99"/>
    <w:unhideWhenUsed/>
    <w:rsid w:val="005B724A"/>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5B724A"/>
  </w:style>
  <w:style w:type="character" w:customStyle="1" w:styleId="sb8d990e2">
    <w:name w:val="sb8d990e2"/>
    <w:basedOn w:val="DefaultParagraphFont"/>
    <w:rsid w:val="00C60BB4"/>
  </w:style>
  <w:style w:type="character" w:customStyle="1" w:styleId="s6b621b36">
    <w:name w:val="s6b621b36"/>
    <w:basedOn w:val="DefaultParagraphFont"/>
    <w:rsid w:val="00C60BB4"/>
  </w:style>
  <w:style w:type="character" w:customStyle="1" w:styleId="s68f5eaef">
    <w:name w:val="s68f5eaef"/>
    <w:basedOn w:val="DefaultParagraphFont"/>
    <w:rsid w:val="00C60BB4"/>
  </w:style>
  <w:style w:type="character" w:customStyle="1" w:styleId="sbc73225d">
    <w:name w:val="sbc73225d"/>
    <w:basedOn w:val="DefaultParagraphFont"/>
    <w:rsid w:val="00C60BB4"/>
  </w:style>
  <w:style w:type="character" w:styleId="CommentReference">
    <w:name w:val="annotation reference"/>
    <w:basedOn w:val="DefaultParagraphFont"/>
    <w:uiPriority w:val="99"/>
    <w:semiHidden/>
    <w:unhideWhenUsed/>
    <w:rsid w:val="00DA202B"/>
    <w:rPr>
      <w:sz w:val="16"/>
      <w:szCs w:val="16"/>
    </w:rPr>
  </w:style>
  <w:style w:type="paragraph" w:styleId="CommentText">
    <w:name w:val="annotation text"/>
    <w:basedOn w:val="Normal"/>
    <w:link w:val="CommentTextChar"/>
    <w:uiPriority w:val="99"/>
    <w:semiHidden/>
    <w:unhideWhenUsed/>
    <w:rsid w:val="00DA202B"/>
    <w:pPr>
      <w:spacing w:line="240" w:lineRule="auto"/>
    </w:pPr>
    <w:rPr>
      <w:sz w:val="20"/>
      <w:szCs w:val="20"/>
    </w:rPr>
  </w:style>
  <w:style w:type="character" w:customStyle="1" w:styleId="CommentTextChar">
    <w:name w:val="Comment Text Char"/>
    <w:basedOn w:val="DefaultParagraphFont"/>
    <w:link w:val="CommentText"/>
    <w:uiPriority w:val="99"/>
    <w:semiHidden/>
    <w:rsid w:val="00DA202B"/>
    <w:rPr>
      <w:sz w:val="20"/>
      <w:szCs w:val="20"/>
    </w:rPr>
  </w:style>
  <w:style w:type="paragraph" w:styleId="CommentSubject">
    <w:name w:val="annotation subject"/>
    <w:basedOn w:val="CommentText"/>
    <w:next w:val="CommentText"/>
    <w:link w:val="CommentSubjectChar"/>
    <w:uiPriority w:val="99"/>
    <w:semiHidden/>
    <w:unhideWhenUsed/>
    <w:rsid w:val="00DA202B"/>
    <w:rPr>
      <w:b/>
      <w:bCs/>
    </w:rPr>
  </w:style>
  <w:style w:type="character" w:customStyle="1" w:styleId="CommentSubjectChar">
    <w:name w:val="Comment Subject Char"/>
    <w:basedOn w:val="CommentTextChar"/>
    <w:link w:val="CommentSubject"/>
    <w:uiPriority w:val="99"/>
    <w:semiHidden/>
    <w:rsid w:val="00DA202B"/>
    <w:rPr>
      <w:b/>
      <w:bCs/>
    </w:rPr>
  </w:style>
  <w:style w:type="paragraph" w:styleId="BalloonText">
    <w:name w:val="Balloon Text"/>
    <w:basedOn w:val="Normal"/>
    <w:link w:val="BalloonTextChar"/>
    <w:uiPriority w:val="99"/>
    <w:semiHidden/>
    <w:unhideWhenUsed/>
    <w:rsid w:val="00DA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2B"/>
    <w:rPr>
      <w:rFonts w:ascii="Tahoma" w:hAnsi="Tahoma" w:cs="Tahoma"/>
      <w:sz w:val="16"/>
      <w:szCs w:val="16"/>
    </w:rPr>
  </w:style>
  <w:style w:type="character" w:customStyle="1" w:styleId="Heading3Char">
    <w:name w:val="Heading 3 Char"/>
    <w:basedOn w:val="DefaultParagraphFont"/>
    <w:link w:val="Heading3"/>
    <w:rsid w:val="001F4399"/>
    <w:rPr>
      <w:rFonts w:ascii="Calibri" w:eastAsia="Calibri" w:hAnsi="Calibri" w:cs="Calibri"/>
      <w:color w:val="1F3863"/>
      <w:sz w:val="24"/>
      <w:szCs w:val="24"/>
      <w:lang w:val="hy-AM" w:eastAsia="en-GB"/>
    </w:rPr>
  </w:style>
  <w:style w:type="paragraph" w:styleId="NoSpacing">
    <w:name w:val="No Spacing"/>
    <w:uiPriority w:val="1"/>
    <w:qFormat/>
    <w:rsid w:val="001F4399"/>
    <w:pPr>
      <w:spacing w:after="0" w:line="240" w:lineRule="auto"/>
    </w:pPr>
    <w:rPr>
      <w:rFonts w:ascii="Arial Armenian" w:eastAsia="Calibri" w:hAnsi="Arial Armenian" w:cs="Times New Roman"/>
    </w:rPr>
  </w:style>
</w:styles>
</file>

<file path=word/webSettings.xml><?xml version="1.0" encoding="utf-8"?>
<w:webSettings xmlns:r="http://schemas.openxmlformats.org/officeDocument/2006/relationships" xmlns:w="http://schemas.openxmlformats.org/wordprocessingml/2006/main">
  <w:divs>
    <w:div w:id="130055458">
      <w:bodyDiv w:val="1"/>
      <w:marLeft w:val="0"/>
      <w:marRight w:val="0"/>
      <w:marTop w:val="0"/>
      <w:marBottom w:val="0"/>
      <w:divBdr>
        <w:top w:val="none" w:sz="0" w:space="0" w:color="auto"/>
        <w:left w:val="none" w:sz="0" w:space="0" w:color="auto"/>
        <w:bottom w:val="none" w:sz="0" w:space="0" w:color="auto"/>
        <w:right w:val="none" w:sz="0" w:space="0" w:color="auto"/>
      </w:divBdr>
    </w:div>
    <w:div w:id="350029373">
      <w:bodyDiv w:val="1"/>
      <w:marLeft w:val="0"/>
      <w:marRight w:val="0"/>
      <w:marTop w:val="0"/>
      <w:marBottom w:val="0"/>
      <w:divBdr>
        <w:top w:val="none" w:sz="0" w:space="0" w:color="auto"/>
        <w:left w:val="none" w:sz="0" w:space="0" w:color="auto"/>
        <w:bottom w:val="none" w:sz="0" w:space="0" w:color="auto"/>
        <w:right w:val="none" w:sz="0" w:space="0" w:color="auto"/>
      </w:divBdr>
    </w:div>
    <w:div w:id="911894698">
      <w:bodyDiv w:val="1"/>
      <w:marLeft w:val="0"/>
      <w:marRight w:val="0"/>
      <w:marTop w:val="0"/>
      <w:marBottom w:val="0"/>
      <w:divBdr>
        <w:top w:val="none" w:sz="0" w:space="0" w:color="auto"/>
        <w:left w:val="none" w:sz="0" w:space="0" w:color="auto"/>
        <w:bottom w:val="none" w:sz="0" w:space="0" w:color="auto"/>
        <w:right w:val="none" w:sz="0" w:space="0" w:color="auto"/>
      </w:divBdr>
    </w:div>
    <w:div w:id="1549030571">
      <w:bodyDiv w:val="1"/>
      <w:marLeft w:val="0"/>
      <w:marRight w:val="0"/>
      <w:marTop w:val="0"/>
      <w:marBottom w:val="0"/>
      <w:divBdr>
        <w:top w:val="none" w:sz="0" w:space="0" w:color="auto"/>
        <w:left w:val="none" w:sz="0" w:space="0" w:color="auto"/>
        <w:bottom w:val="none" w:sz="0" w:space="0" w:color="auto"/>
        <w:right w:val="none" w:sz="0" w:space="0" w:color="auto"/>
      </w:divBdr>
    </w:div>
    <w:div w:id="1714957507">
      <w:bodyDiv w:val="1"/>
      <w:marLeft w:val="0"/>
      <w:marRight w:val="0"/>
      <w:marTop w:val="0"/>
      <w:marBottom w:val="0"/>
      <w:divBdr>
        <w:top w:val="none" w:sz="0" w:space="0" w:color="auto"/>
        <w:left w:val="none" w:sz="0" w:space="0" w:color="auto"/>
        <w:bottom w:val="none" w:sz="0" w:space="0" w:color="auto"/>
        <w:right w:val="none" w:sz="0" w:space="0" w:color="auto"/>
      </w:divBdr>
    </w:div>
    <w:div w:id="19594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Aleksanyan</dc:creator>
  <cp:lastModifiedBy>Kristine Aleksanyan</cp:lastModifiedBy>
  <cp:revision>9</cp:revision>
  <dcterms:created xsi:type="dcterms:W3CDTF">2023-04-17T07:42:00Z</dcterms:created>
  <dcterms:modified xsi:type="dcterms:W3CDTF">2023-06-28T14:45:00Z</dcterms:modified>
</cp:coreProperties>
</file>