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575FED2F" w:rsidR="004B6F0A" w:rsidRDefault="004B6F0A" w:rsidP="00B82520">
      <w:pPr>
        <w:spacing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82520" w:rsidRPr="0018103F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 w:rsidR="00B82520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B82520" w:rsidRPr="0018103F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</w:t>
      </w:r>
      <w:r w:rsidR="00B8252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ՕՐԵՆՔԻ</w:t>
      </w: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(ԱՅՍՈՒՀԵՏ</w:t>
      </w:r>
      <w:r w:rsidR="00451EE7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ԵՎ</w:t>
      </w:r>
      <w:r w:rsidR="00A15A05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` ՆԱԽԱԳԻԾ) ԸՆԴՈՒՆՄԱՆ</w:t>
      </w:r>
    </w:p>
    <w:p w14:paraId="478626B1" w14:textId="77777777" w:rsidR="00006E33" w:rsidRPr="00142EE2" w:rsidRDefault="00006E33" w:rsidP="00B82520">
      <w:pPr>
        <w:spacing w:line="360" w:lineRule="auto"/>
        <w:ind w:left="-567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1E60C1D3" w:rsidR="004B6F0A" w:rsidRPr="00B82520" w:rsidRDefault="00983456" w:rsidP="00B82520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3503CF16" w14:textId="2466CB25" w:rsidR="00B82520" w:rsidRPr="00B82520" w:rsidRDefault="00B82520" w:rsidP="00B82520">
      <w:pPr>
        <w:spacing w:after="0" w:line="360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25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ընդերքի մասին </w:t>
      </w:r>
      <w:proofErr w:type="spellStart"/>
      <w:r w:rsidRPr="00B825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օրենսգիրքի</w:t>
      </w:r>
      <w:proofErr w:type="spellEnd"/>
      <w:r w:rsidRPr="00B825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59-րդ հոդվածի 3-րդ մասի</w:t>
      </w:r>
      <w:r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24-րդ կետի համաձայն՝ օգտակար հանածոյի արդյունահանման իրավունք ստացած անձը պարտավոր է </w:t>
      </w:r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սահմանային շերտում սահմանային գետերի ափերին գտնվող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գետաողողատային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տիպի հանքավայրերից ավազի և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ավազակոպճային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խառնուրդի վերականգնվող պաշարների արդյունահանման իրավունքի դեպքում՝ արդյունահանման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հետևանքով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գետի հունի փոփոխությունը,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հետևաբար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նաև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անդրսահմանային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ազդեցությունը բացառելու նպատակով յուրաքանչյուր ամիս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տոպոգրաֆիական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հանույթային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աշխատանքների կատարման միջոցով իրականացնել գետի հունի վիճակի ու կայունության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մշտադիտարկումներ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14:paraId="05A281C9" w14:textId="6A2B37F0" w:rsidR="00B82520" w:rsidRPr="00B82520" w:rsidRDefault="00B82520" w:rsidP="00B82520">
      <w:pPr>
        <w:spacing w:after="0" w:line="360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82520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Pr="00B825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ընդերքի մասին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Pr="00B825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59-րդ հոդվածի 3-րդ մասի</w:t>
      </w:r>
      <w:r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24-րդ </w:t>
      </w:r>
      <w:r w:rsidR="00D445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կետով </w:t>
      </w:r>
      <w:r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</w:t>
      </w:r>
      <w:proofErr w:type="spellStart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>մշտադիտարկումներ</w:t>
      </w:r>
      <w:r w:rsidR="00D44512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proofErr w:type="spellEnd"/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չիրականացնելու համար </w:t>
      </w:r>
      <w:bookmarkStart w:id="0" w:name="_GoBack"/>
      <w:bookmarkEnd w:id="0"/>
      <w:r w:rsidR="00953141">
        <w:rPr>
          <w:rFonts w:ascii="GHEA Grapalat" w:hAnsi="GHEA Grapalat"/>
          <w:color w:val="000000"/>
          <w:sz w:val="24"/>
          <w:szCs w:val="24"/>
          <w:lang w:val="hy-AM"/>
        </w:rPr>
        <w:t xml:space="preserve">վարչական </w:t>
      </w:r>
      <w:r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պատասխանատվություն նախատեսված չէ, ինչը խոչընդոտում է </w:t>
      </w:r>
      <w:r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ընդերքի օգտագործում և պահպանության ոլորտում վերահսկողություն իրականացնող տեսչական մարմնին պատշաճ վարչար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</w:t>
      </w:r>
      <w:r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 իրականացնելու հարցում:</w:t>
      </w:r>
    </w:p>
    <w:p w14:paraId="1A07F716" w14:textId="355304F5" w:rsidR="00824803" w:rsidRPr="00B82520" w:rsidRDefault="00824803" w:rsidP="00B82520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126AB1F3" w:rsidR="00E75571" w:rsidRPr="00B82520" w:rsidRDefault="004B6F0A" w:rsidP="00B82520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B82520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B82520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9D0813F" w14:textId="520FF74A" w:rsidR="00155381" w:rsidRPr="00B82520" w:rsidRDefault="00006E33" w:rsidP="00B82520">
      <w:pPr>
        <w:tabs>
          <w:tab w:val="left" w:pos="993"/>
          <w:tab w:val="left" w:pos="1276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</w:t>
      </w:r>
      <w:r w:rsidR="004B6F0A" w:rsidRPr="00B8252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ընդունման նպատակն է </w:t>
      </w:r>
      <w:r w:rsidR="00B82520" w:rsidRPr="00B8252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վարչական պատասխանատվություն </w:t>
      </w:r>
      <w:r w:rsidR="00B8252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նախատեսել</w:t>
      </w:r>
      <w:r w:rsidR="00B82520" w:rsidRPr="00B8252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սահմանված դեպքերում յուրաքանչյուր ամիս </w:t>
      </w:r>
      <w:proofErr w:type="spellStart"/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>տոպոգրաֆիական</w:t>
      </w:r>
      <w:proofErr w:type="spellEnd"/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>հանույթային</w:t>
      </w:r>
      <w:proofErr w:type="spellEnd"/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աշխատանքների կատարման միջոցով գետի հունի վիճակի ու կայունության </w:t>
      </w:r>
      <w:proofErr w:type="spellStart"/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>մշտադիտարկումներ</w:t>
      </w:r>
      <w:proofErr w:type="spellEnd"/>
      <w:r w:rsidR="00B82520" w:rsidRPr="00B82520">
        <w:rPr>
          <w:rFonts w:ascii="GHEA Grapalat" w:hAnsi="GHEA Grapalat"/>
          <w:color w:val="000000"/>
          <w:sz w:val="24"/>
          <w:szCs w:val="24"/>
          <w:lang w:val="hy-AM"/>
        </w:rPr>
        <w:t xml:space="preserve"> չիրականացնելու համար:</w:t>
      </w:r>
    </w:p>
    <w:p w14:paraId="7A5DDFA0" w14:textId="77777777" w:rsidR="00CE27AF" w:rsidRPr="00B82520" w:rsidRDefault="00CE27AF" w:rsidP="00B82520">
      <w:pPr>
        <w:tabs>
          <w:tab w:val="left" w:pos="993"/>
          <w:tab w:val="left" w:pos="1276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7372B3DA" w:rsidR="004B6F0A" w:rsidRPr="00B82520" w:rsidRDefault="000D1140" w:rsidP="00B82520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71B1FB0E" w:rsidR="0096628E" w:rsidRPr="00B82520" w:rsidRDefault="0096628E" w:rsidP="00B82520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B82520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Նախագծի ընդունման արդյունքում ակնկալվում է </w:t>
      </w:r>
      <w:r w:rsidR="00B82520" w:rsidRPr="00B82520">
        <w:rPr>
          <w:rFonts w:ascii="GHEA Grapalat" w:hAnsi="GHEA Grapalat"/>
          <w:noProof/>
          <w:sz w:val="24"/>
          <w:szCs w:val="24"/>
          <w:lang w:val="hy-AM"/>
        </w:rPr>
        <w:t xml:space="preserve">բարձրացնել </w:t>
      </w:r>
      <w:r w:rsidR="00B82520"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ընդերքի օգտագործում և պահպանության ոլորտում վերահսկողություն իրականացնող տեսչական մարմնի կողմից իրականացվող </w:t>
      </w:r>
      <w:proofErr w:type="spellStart"/>
      <w:r w:rsidR="00B82520"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="00B82520" w:rsidRPr="00B82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արդյունավետությունը:</w:t>
      </w:r>
    </w:p>
    <w:p w14:paraId="1B094D6E" w14:textId="77777777" w:rsidR="00155381" w:rsidRPr="00B82520" w:rsidRDefault="00155381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B82520" w:rsidRDefault="000D1140" w:rsidP="00B82520">
      <w:pPr>
        <w:spacing w:after="0" w:line="360" w:lineRule="auto"/>
        <w:ind w:left="-56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B8252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B8252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34311832" w:rsidR="004B6F0A" w:rsidRPr="00B82520" w:rsidRDefault="004B6F0A" w:rsidP="00B82520">
      <w:pPr>
        <w:spacing w:after="0" w:line="360" w:lineRule="auto"/>
        <w:ind w:left="-567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B825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B825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B825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05043B" w:rsidRPr="00B82520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B825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Pr="00B82520" w:rsidRDefault="00155381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B82520" w:rsidRDefault="00A15A05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B82520" w:rsidRDefault="00A15A05" w:rsidP="00B82520">
      <w:pPr>
        <w:spacing w:after="0" w:line="360" w:lineRule="auto"/>
        <w:ind w:left="-567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B82520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B82520" w:rsidRDefault="00155381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B82520" w:rsidRDefault="00A15A05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B82520" w:rsidRDefault="00A15A05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82520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B82520" w:rsidRDefault="00614B3D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B82520" w:rsidRDefault="00C95195" w:rsidP="00B82520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B8252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0AA7FD13" w:rsidR="004B6F0A" w:rsidRPr="00142EE2" w:rsidRDefault="00C95195" w:rsidP="00B82520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B82520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60EE1" w:rsidRPr="00B82520">
        <w:rPr>
          <w:rFonts w:ascii="GHEA Grapalat" w:hAnsi="GHEA Grapalat"/>
          <w:sz w:val="24"/>
          <w:szCs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="00E60EE1" w:rsidRPr="00B82520">
        <w:rPr>
          <w:rFonts w:ascii="GHEA Grapalat" w:hAnsi="GHEA Grapalat"/>
          <w:sz w:val="24"/>
          <w:szCs w:val="24"/>
          <w:lang w:val="hy-AM"/>
        </w:rPr>
        <w:t>ռազմավարություններից</w:t>
      </w:r>
      <w:proofErr w:type="spellEnd"/>
      <w:r w:rsidR="00E60EE1" w:rsidRPr="00142EE2">
        <w:rPr>
          <w:rFonts w:ascii="GHEA Grapalat" w:hAnsi="GHEA Grapalat"/>
          <w:sz w:val="24"/>
          <w:lang w:val="hy-AM"/>
        </w:rPr>
        <w:t>։</w:t>
      </w:r>
    </w:p>
    <w:sectPr w:rsidR="004B6F0A" w:rsidRPr="00142EE2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9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6E33"/>
    <w:rsid w:val="0001022F"/>
    <w:rsid w:val="0004330F"/>
    <w:rsid w:val="0005043B"/>
    <w:rsid w:val="00052EBE"/>
    <w:rsid w:val="00054F08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249BC"/>
    <w:rsid w:val="00132DD0"/>
    <w:rsid w:val="00141C53"/>
    <w:rsid w:val="00142EE2"/>
    <w:rsid w:val="00154130"/>
    <w:rsid w:val="00155381"/>
    <w:rsid w:val="001640F8"/>
    <w:rsid w:val="00173EDB"/>
    <w:rsid w:val="00175B3B"/>
    <w:rsid w:val="001D0111"/>
    <w:rsid w:val="001D543F"/>
    <w:rsid w:val="00204BA0"/>
    <w:rsid w:val="002223A9"/>
    <w:rsid w:val="002621AC"/>
    <w:rsid w:val="002856EE"/>
    <w:rsid w:val="002C665A"/>
    <w:rsid w:val="002D24F2"/>
    <w:rsid w:val="00312216"/>
    <w:rsid w:val="00353C0A"/>
    <w:rsid w:val="00360346"/>
    <w:rsid w:val="00383BD8"/>
    <w:rsid w:val="003B6405"/>
    <w:rsid w:val="003D7D3D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5106B7"/>
    <w:rsid w:val="005330CD"/>
    <w:rsid w:val="005474E0"/>
    <w:rsid w:val="00580A33"/>
    <w:rsid w:val="005C1789"/>
    <w:rsid w:val="005D19CD"/>
    <w:rsid w:val="005E3CE0"/>
    <w:rsid w:val="005E4272"/>
    <w:rsid w:val="005F4DD3"/>
    <w:rsid w:val="00601E68"/>
    <w:rsid w:val="00606A3A"/>
    <w:rsid w:val="00606B31"/>
    <w:rsid w:val="00614B3D"/>
    <w:rsid w:val="00616624"/>
    <w:rsid w:val="00641304"/>
    <w:rsid w:val="0065583E"/>
    <w:rsid w:val="00662B06"/>
    <w:rsid w:val="006968C9"/>
    <w:rsid w:val="00696ABF"/>
    <w:rsid w:val="006B4940"/>
    <w:rsid w:val="006C3CC4"/>
    <w:rsid w:val="006C7173"/>
    <w:rsid w:val="006D4664"/>
    <w:rsid w:val="006D7E9C"/>
    <w:rsid w:val="006E14A2"/>
    <w:rsid w:val="00714BE0"/>
    <w:rsid w:val="00715BA5"/>
    <w:rsid w:val="007215E5"/>
    <w:rsid w:val="00747F8F"/>
    <w:rsid w:val="0075170A"/>
    <w:rsid w:val="00765AF0"/>
    <w:rsid w:val="00792122"/>
    <w:rsid w:val="00792BFE"/>
    <w:rsid w:val="007B4A33"/>
    <w:rsid w:val="007C0377"/>
    <w:rsid w:val="007C5A56"/>
    <w:rsid w:val="007F6485"/>
    <w:rsid w:val="007F693B"/>
    <w:rsid w:val="00800634"/>
    <w:rsid w:val="00801FD3"/>
    <w:rsid w:val="008137A8"/>
    <w:rsid w:val="00824803"/>
    <w:rsid w:val="00830D45"/>
    <w:rsid w:val="00833476"/>
    <w:rsid w:val="00854099"/>
    <w:rsid w:val="008572C8"/>
    <w:rsid w:val="008A4464"/>
    <w:rsid w:val="008A564D"/>
    <w:rsid w:val="008E5805"/>
    <w:rsid w:val="009056A1"/>
    <w:rsid w:val="009138BA"/>
    <w:rsid w:val="00925DD8"/>
    <w:rsid w:val="00942AA1"/>
    <w:rsid w:val="009464BF"/>
    <w:rsid w:val="00953141"/>
    <w:rsid w:val="0096628E"/>
    <w:rsid w:val="0097389F"/>
    <w:rsid w:val="00983456"/>
    <w:rsid w:val="009852EE"/>
    <w:rsid w:val="00995F39"/>
    <w:rsid w:val="009B2386"/>
    <w:rsid w:val="009B2965"/>
    <w:rsid w:val="009B3D97"/>
    <w:rsid w:val="009E23C0"/>
    <w:rsid w:val="009F5DE0"/>
    <w:rsid w:val="009F6C3B"/>
    <w:rsid w:val="00A01F81"/>
    <w:rsid w:val="00A15A05"/>
    <w:rsid w:val="00A23F41"/>
    <w:rsid w:val="00A317DB"/>
    <w:rsid w:val="00A43EA1"/>
    <w:rsid w:val="00A53872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15E5A"/>
    <w:rsid w:val="00B21D11"/>
    <w:rsid w:val="00B22629"/>
    <w:rsid w:val="00B2440A"/>
    <w:rsid w:val="00B35BAF"/>
    <w:rsid w:val="00B70074"/>
    <w:rsid w:val="00B82520"/>
    <w:rsid w:val="00B8599D"/>
    <w:rsid w:val="00BD258A"/>
    <w:rsid w:val="00C209B4"/>
    <w:rsid w:val="00C21520"/>
    <w:rsid w:val="00C22D77"/>
    <w:rsid w:val="00C25091"/>
    <w:rsid w:val="00C63A67"/>
    <w:rsid w:val="00C75A55"/>
    <w:rsid w:val="00C86F02"/>
    <w:rsid w:val="00C94D63"/>
    <w:rsid w:val="00C95195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44512"/>
    <w:rsid w:val="00DA1A6D"/>
    <w:rsid w:val="00DB607E"/>
    <w:rsid w:val="00DC7454"/>
    <w:rsid w:val="00DD4F1F"/>
    <w:rsid w:val="00DF22F0"/>
    <w:rsid w:val="00DF78EB"/>
    <w:rsid w:val="00E267F1"/>
    <w:rsid w:val="00E32830"/>
    <w:rsid w:val="00E47FBD"/>
    <w:rsid w:val="00E510FC"/>
    <w:rsid w:val="00E56523"/>
    <w:rsid w:val="00E60EE1"/>
    <w:rsid w:val="00E75571"/>
    <w:rsid w:val="00E8144F"/>
    <w:rsid w:val="00E84817"/>
    <w:rsid w:val="00E85DCA"/>
    <w:rsid w:val="00E87F3C"/>
    <w:rsid w:val="00EA5FA3"/>
    <w:rsid w:val="00EB0FBD"/>
    <w:rsid w:val="00EC2154"/>
    <w:rsid w:val="00F125BA"/>
    <w:rsid w:val="00F161CF"/>
    <w:rsid w:val="00F25BA7"/>
    <w:rsid w:val="00F2700B"/>
    <w:rsid w:val="00F57540"/>
    <w:rsid w:val="00F647E7"/>
    <w:rsid w:val="00F84366"/>
    <w:rsid w:val="00F85DB6"/>
    <w:rsid w:val="00F94625"/>
    <w:rsid w:val="00FA5AF2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3AE0E2D8-2DD7-451F-A21D-D75E1157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Suren Semerjyan</cp:lastModifiedBy>
  <cp:revision>3</cp:revision>
  <dcterms:created xsi:type="dcterms:W3CDTF">2023-01-12T12:24:00Z</dcterms:created>
  <dcterms:modified xsi:type="dcterms:W3CDTF">2023-06-19T12:55:00Z</dcterms:modified>
</cp:coreProperties>
</file>