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22EF0B03" w:rsidR="004B6F0A" w:rsidRDefault="004B6F0A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«</w:t>
      </w:r>
      <w:r w:rsidR="00B03C89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ԿԱՌԱՎԱՐՈՒԹՅԱՆ 2019 ԹՎԱԿԱՆԻ ՀՈԿՏԵՄԲԵՐԻ 10-Ի N 1423-Ն ՈՐՈՇՄԱՆ ՄԵՋ ՓՈՓՈԽՈՒԹՅՈՒՆՆԵՐ ԵՎ ԼՐԱՑՈՒՄՆԵՐ ԿԱՏԱՐԵԼՈՒ ՄԱՍԻՆ</w:t>
      </w: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(ԱՅՍՈՒՀԵՏ</w:t>
      </w:r>
      <w:r w:rsidR="00451EE7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ԵՎ</w:t>
      </w:r>
      <w:r w:rsidR="00A15A05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` ՆԱԽԱԳԻԾ) ԸՆԴՈՒՆՄԱՆ</w:t>
      </w:r>
    </w:p>
    <w:p w14:paraId="478626B1" w14:textId="77777777" w:rsidR="00006E33" w:rsidRPr="00142EE2" w:rsidRDefault="00006E33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1E60C1D3" w:rsidR="004B6F0A" w:rsidRPr="00142EE2" w:rsidRDefault="00983456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7ACCCEEA" w14:textId="724BC490" w:rsidR="00696ABF" w:rsidRPr="00B8599D" w:rsidRDefault="00095F40" w:rsidP="00142EE2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CE79AD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</w:t>
      </w:r>
      <w:r w:rsidR="00830D45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19 թվականի հոկտեմբերի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830D45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0-ի N </w:t>
      </w:r>
      <w:r w:rsidR="00830D45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1423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-Ն որոշման մեջ փոփոխություն</w:t>
      </w:r>
      <w:r w:rsidR="009852EE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 և լրացումներ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</w:t>
      </w:r>
      <w:r w:rsidR="00CE79AD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 w:rsidR="0096628E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142E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Նախագիծ) ընդունումը պայմանավորված է «Հայաստանի </w:t>
      </w:r>
      <w:r w:rsidR="00696ABF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Հանրապետությունում ստուգումների կազմակերպման և անցկացման մասին»</w:t>
      </w:r>
      <w:r w:rsidR="00CE79AD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օրենքի 3-րդ հոդվածի 1</w:t>
      </w:r>
      <w:r w:rsidR="00696ABF" w:rsidRPr="00B8599D">
        <w:rPr>
          <w:rFonts w:ascii="Cambria Math" w:eastAsia="Times New Roman" w:hAnsi="Cambria Math" w:cs="Cambria Math"/>
          <w:bCs/>
          <w:iCs/>
          <w:noProof/>
          <w:sz w:val="24"/>
          <w:szCs w:val="24"/>
          <w:lang w:val="hy-AM"/>
        </w:rPr>
        <w:t>․</w:t>
      </w:r>
      <w:r w:rsidR="00696ABF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 մասով սահմանված պահանջով, համաձայն որի՝ ստուգումները իրականացվում են բացառապես </w:t>
      </w:r>
      <w:r w:rsidR="00E56523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կողմից հաստատված ստուգաթերթերի հիման վրա:</w:t>
      </w:r>
    </w:p>
    <w:p w14:paraId="3D261CF2" w14:textId="17886AC1" w:rsidR="008572C8" w:rsidRPr="00B8599D" w:rsidRDefault="00DF22F0" w:rsidP="00DF22F0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</w:pP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Նշվածի մասով հարկ է նկատի ունենալ</w:t>
      </w:r>
      <w:r w:rsidR="00C86F02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</w:t>
      </w:r>
      <w:r w:rsidR="00C86F02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830D45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Ազգային ժողովի կողմից </w:t>
      </w:r>
      <w:r w:rsidR="00C86F02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2020</w:t>
      </w:r>
      <w:r w:rsidR="00830D45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C86F02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հուլիսի 16-ին</w:t>
      </w:r>
      <w:r w:rsidR="00830D45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ընդունվել և </w:t>
      </w:r>
      <w:r w:rsidR="00C86F02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նույն թվկանի օգոստոսի 18-ին ուժի մեջ մտած </w:t>
      </w:r>
      <w:r w:rsidR="00830D45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</w:t>
      </w:r>
      <w:r w:rsidR="00C86F02" w:rsidRPr="00B859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ընդերքի մասին օրենսգրքում լրացումներ և փոփոխություններ կատարելու մասին» օրենքով  (ՀՕ-397-Ն) սահմանվել է, որ </w:t>
      </w:r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շահագործվող </w:t>
      </w:r>
      <w:proofErr w:type="spellStart"/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հանքավայրերում</w:t>
      </w:r>
      <w:proofErr w:type="spellEnd"/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(տեղամասերում) </w:t>
      </w:r>
      <w:proofErr w:type="spellStart"/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կոնդիցիաները</w:t>
      </w:r>
      <w:proofErr w:type="spellEnd"/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պաշարները </w:t>
      </w:r>
      <w:r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ենթակա են</w:t>
      </w:r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վերագնահատման և լիազոր մարմնի վերահաստատմանը ներկայացման </w:t>
      </w:r>
      <w:r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 ուշ, քան տասը տարին մեկ անգամ՝ նախկինում սահմանված հինգ տարին մեկ </w:t>
      </w:r>
      <w:proofErr w:type="spellStart"/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անգամի</w:t>
      </w:r>
      <w:proofErr w:type="spellEnd"/>
      <w:r w:rsidR="00C86F02"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փոխարեն:</w:t>
      </w:r>
      <w:r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Մինչդեռ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8572C8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</w:t>
      </w:r>
      <w:r w:rsidR="00830D45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2019 թվականի հոկտեմբերի 10-ի «Հայաստանի Հանրապետության բնապահպանության և ընդերքի տեսչական մարմնի կողմից անցկացվող ստուգումների ստուգաթերթերը հաստատելու և Հայաստանի Հանրապետության կառավարության 2017 թվականի հոկտեմբերի 19-ի թիվ 1343-Ն որոշումն ուժը կորցրած ճանաչելու մասին» թիվ 1423-Ն որոշմ</w:t>
      </w:r>
      <w:r w:rsidR="008572C8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8572C8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830D45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(այսուհետ՝ Որոշում) 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1-ին կետով հաստատված 4-րդ և 5-րդ հավելվածների հարցաշարերում կոնդիցաների վերագնահատման վերավերբող հարցերում արտացոլված է մինչ</w:t>
      </w:r>
      <w:r w:rsidR="0005043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B8599D">
        <w:rPr>
          <w:rFonts w:ascii="GHEA Grapalat" w:hAnsi="GHEA Grapalat"/>
          <w:bCs/>
          <w:iCs/>
          <w:noProof/>
          <w:sz w:val="24"/>
          <w:szCs w:val="24"/>
          <w:lang w:val="hy-AM"/>
        </w:rPr>
        <w:t>ՀՕ-397-Ն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օրենքի ընդունումը սահմանված ժամկետը:</w:t>
      </w:r>
    </w:p>
    <w:p w14:paraId="0ED56D8E" w14:textId="79DED8DF" w:rsidR="00606A3A" w:rsidRPr="00B8599D" w:rsidRDefault="00142EE2" w:rsidP="00DF22F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 w:cs="GHEA Grapalat"/>
          <w:iCs/>
          <w:sz w:val="24"/>
          <w:szCs w:val="24"/>
          <w:lang w:val="hy-AM"/>
        </w:rPr>
      </w:pPr>
      <w:r w:rsidRPr="00B8599D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lastRenderedPageBreak/>
        <w:tab/>
      </w:r>
      <w:r w:rsidR="00DF22F0" w:rsidRPr="00B8599D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Միաժամանակ, Որոշման 1-</w:t>
      </w:r>
      <w:r w:rsidR="00DF22F0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ին կետով հաստատված 4-րդ և 5-րդ հավելվածների 38-րդ և 28-րդ կետերով սահմանված </w:t>
      </w:r>
      <w:r w:rsid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հարցերը նախատեսված են</w:t>
      </w:r>
      <w:r w:rsidR="00DF22F0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օգտակար հանածոների արդյունահանման ընթացքում հողի բերրի շերտի օգտագործման, պահպանման նորմերի ու պահանջների պահպանումը ստուգելու համար</w:t>
      </w:r>
      <w:r w:rsid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 Նշված հարցը, իր հերթին,</w:t>
      </w:r>
      <w:r w:rsidR="00DF22F0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բաժանվում է երկու ենթահարցի</w:t>
      </w:r>
      <w:r w:rsidR="009F5DE0"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որոնցով ստոուգվում է, թե  արդյո՞ք </w:t>
      </w:r>
      <w:r w:rsidR="009F5DE0"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հողի բերրի շերտը հանվել և օգտագործվել է պակաս արդյունավետ հողերի բարելավման համար, ինչպես նաև այն, թե </w:t>
      </w:r>
      <w:proofErr w:type="spellStart"/>
      <w:r w:rsidR="009F5DE0" w:rsidRPr="00B8599D">
        <w:rPr>
          <w:rFonts w:ascii="GHEA Grapalat" w:hAnsi="GHEA Grapalat"/>
          <w:color w:val="000000"/>
          <w:sz w:val="24"/>
          <w:szCs w:val="24"/>
          <w:lang w:val="hy-AM"/>
        </w:rPr>
        <w:t>արդյո՞ք</w:t>
      </w:r>
      <w:proofErr w:type="spellEnd"/>
      <w:r w:rsidR="009F5DE0"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բացառվել է հողի բերրի շերտի վաճառքը: </w:t>
      </w:r>
      <w:r w:rsidR="00B8599D">
        <w:rPr>
          <w:rFonts w:ascii="GHEA Grapalat" w:hAnsi="GHEA Grapalat"/>
          <w:color w:val="000000"/>
          <w:sz w:val="24"/>
          <w:szCs w:val="24"/>
          <w:lang w:val="hy-AM"/>
        </w:rPr>
        <w:t>Այնուամենայնիվ</w:t>
      </w:r>
      <w:r w:rsidR="009F5DE0"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05043B">
        <w:rPr>
          <w:rFonts w:ascii="GHEA Grapalat" w:hAnsi="GHEA Grapalat"/>
          <w:color w:val="000000"/>
          <w:sz w:val="24"/>
          <w:szCs w:val="24"/>
          <w:lang w:val="hy-AM"/>
        </w:rPr>
        <w:t xml:space="preserve">վերլուծելով </w:t>
      </w:r>
      <w:r w:rsidR="00B8599D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Հո</w:t>
      </w:r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ղային օրենսգրքի 36-րդ հոդվածի 5-րդ </w:t>
      </w:r>
      <w:r w:rsidR="0005043B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մասով սահմանված դրույթները</w:t>
      </w:r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՝</w:t>
      </w:r>
      <w:r w:rsidR="0005043B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պարզ է դառնում, որ </w:t>
      </w:r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 վերոհիշյալ հարցով և դրա երկու </w:t>
      </w:r>
      <w:proofErr w:type="spellStart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ենթահարցերով</w:t>
      </w:r>
      <w:proofErr w:type="spellEnd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ստուգվող պահանջները հանդիսանում </w:t>
      </w:r>
      <w:r w:rsidR="00B8599D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են </w:t>
      </w:r>
      <w:proofErr w:type="spellStart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թե</w:t>
      </w:r>
      <w:r w:rsidR="00B8599D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և</w:t>
      </w:r>
      <w:proofErr w:type="spellEnd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միմյանց փոխլրացնող, սակայն առանձին </w:t>
      </w:r>
      <w:proofErr w:type="spellStart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կարգավորումներ</w:t>
      </w:r>
      <w:proofErr w:type="spellEnd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, ուստի համապատասխան </w:t>
      </w:r>
      <w:proofErr w:type="spellStart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ստուգաթերթում</w:t>
      </w:r>
      <w:proofErr w:type="spellEnd"/>
      <w:r w:rsidR="009F5DE0" w:rsidRPr="00B859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դրանք պետք է սահմանվել որպես առանձին հարցեր՝ ռիսկայնության առանձին կշիռներով:</w:t>
      </w:r>
    </w:p>
    <w:p w14:paraId="2766FE7C" w14:textId="63060E21" w:rsidR="00DF22F0" w:rsidRPr="00B8599D" w:rsidRDefault="00B8599D" w:rsidP="00DF22F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599D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        </w:t>
      </w:r>
      <w:r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Իր հերթին՝ </w:t>
      </w:r>
      <w:r w:rsidRPr="00B859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ընդերքի մասին օրենսգրքի 59-րդ հոդվածի 3-րդ մասի</w:t>
      </w:r>
      <w:r w:rsidRPr="00B85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24-րդ կետի համաձայն՝ օգտակար հանածոյի արդյունահանման իրավունք ստացած անձը պարտավոր է </w:t>
      </w:r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սահմանային շերտում սահմանային գետերի ափերին գտնվող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գետաողողատային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տիպի հանքավայրերից ավազի և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ավազակոպճային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խառնուրդի վերականգնվող պաշարների արդյունահանման իրավունքի դեպքում՝ արդյունահանման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հետևանքով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գետի հունի փոփոխությունը,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հետևաբար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նաև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անդրսահմանային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ազդեցությունը բացառելու նպատակով յուրաքանչյուր ամիս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տոպոգրաֆիական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հանույթային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աշխատանքների կատարման միջոցով իրականացնել գետի հունի վիճակի ու կայունության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մշտադիտարկումներ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։ Նույն մասի 25-րդ կետով սահմանված է, որ  սույն հոդվածի 3-րդ մասի 24-րդ կետի պահանջով իրականացվող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մշտադիտարկումների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արդյունքներով գետի հունի վիճակի և կայունության փոփոխություններ (այդ թվում՝ ոչ իր գործունեության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հետևանքով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) հայտնաբերելու դեպքում անհապաղ դադարեցնել հանքավայրի շահագործման աշխատանքները և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մշտադիտարկումների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արդյունքները երկօրյա ժամկետում ներկայացնել </w:t>
      </w:r>
      <w:proofErr w:type="spellStart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</w:t>
      </w:r>
      <w:proofErr w:type="spellEnd"/>
      <w:r w:rsidRPr="00B8599D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բնագավառի լիազոր մարմին, արտակարգ իրավիճակների բնագավառի լիազոր մարմին, շրջակա միջավայրի պահպանության բնագավառի լիազոր մարմին և բնապահպանության և ընդերքի ոլորտում վերահսկողություն իրականացնող տեսչական մարմին:</w:t>
      </w:r>
    </w:p>
    <w:p w14:paraId="07263A8B" w14:textId="4974E2D7" w:rsidR="00B8599D" w:rsidRPr="00B8599D" w:rsidRDefault="00B8599D" w:rsidP="00DF22F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 w:cs="GHEA Grapalat"/>
          <w:iCs/>
          <w:sz w:val="24"/>
          <w:szCs w:val="24"/>
          <w:lang w:val="hy-AM"/>
        </w:rPr>
      </w:pPr>
      <w:r w:rsidRPr="00B859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       Վերոնշված պահանջներ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 պահպանումը ստուգող </w:t>
      </w:r>
      <w:r w:rsidRPr="00B859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հարցերը սահմանված 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չեն  Որոշման 1-ին կետով հաստատված 5-րդ հավելված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 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հարցաշարում, </w:t>
      </w:r>
      <w:r w:rsidR="0005043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որը նախատեսված է</w:t>
      </w:r>
      <w:r w:rsidRPr="00B8599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ոչ մետաղական հանքավայրերի արդյունահանմամ</w:t>
      </w:r>
      <w:r w:rsidR="0005043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 զբաղվող տնտեսավարողներին ստուգելու համար</w:t>
      </w:r>
      <w:r w:rsidRPr="00B859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ուստի ստուգման ընթացքում այդ մասով առկա խախտումները ներկայումս հնարավոր չի լինում արձանագրել:</w:t>
      </w:r>
    </w:p>
    <w:p w14:paraId="1A07F716" w14:textId="700C1B9B" w:rsidR="00824803" w:rsidRPr="00B8599D" w:rsidRDefault="00696ABF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B8599D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 </w:t>
      </w:r>
    </w:p>
    <w:p w14:paraId="1F84F39E" w14:textId="126AB1F3" w:rsidR="00E75571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142EE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9D0813F" w14:textId="5B11DF5F" w:rsidR="00155381" w:rsidRDefault="00006E33" w:rsidP="00CE27AF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</w:t>
      </w:r>
      <w:r w:rsidR="004B6F0A" w:rsidRPr="00142EE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ընդունման նպատակն է </w:t>
      </w:r>
      <w:proofErr w:type="spellStart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լրամշակել</w:t>
      </w:r>
      <w:proofErr w:type="spellEnd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8599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Բնապահպանության և ընդերքի տեսչական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կողմից մի շարք ոլորտներում իրականացվող ստուգումների համար անհրաժեշտ </w:t>
      </w:r>
      <w:proofErr w:type="spellStart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՝ </w:t>
      </w:r>
      <w:proofErr w:type="spellStart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ստուգաթերթերում</w:t>
      </w:r>
      <w:proofErr w:type="spellEnd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տեղ գտած </w:t>
      </w:r>
      <w:r w:rsidR="0005043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մի շարք 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հարցերի բովանդակությունը համապատասխանեցնելով գործող օրենք</w:t>
      </w:r>
      <w:r w:rsidR="0005043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ներում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առկա պահանջներին: </w:t>
      </w:r>
      <w:r w:rsidR="00CE27AF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Միաժամանակ, </w:t>
      </w:r>
      <w:proofErr w:type="spellStart"/>
      <w:r w:rsidR="0005043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ստուգաթերթերում</w:t>
      </w:r>
      <w:proofErr w:type="spellEnd"/>
      <w:r w:rsidR="0005043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նախատեսվում է լրացնել </w:t>
      </w:r>
      <w:r w:rsidR="0005043B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սա</w:t>
      </w:r>
      <w:r w:rsidR="0005043B" w:rsidRPr="006D7F1A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հմանային շերտում սահմանային գետերի ափերին գտնվող </w:t>
      </w:r>
      <w:proofErr w:type="spellStart"/>
      <w:r w:rsidR="0005043B" w:rsidRPr="006D7F1A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գետաողողատային</w:t>
      </w:r>
      <w:proofErr w:type="spellEnd"/>
      <w:r w:rsidR="0005043B" w:rsidRPr="006D7F1A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տիպի հանքավայրերից ավազի և </w:t>
      </w:r>
      <w:proofErr w:type="spellStart"/>
      <w:r w:rsidR="0005043B" w:rsidRPr="006D7F1A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ավազակոպճային</w:t>
      </w:r>
      <w:proofErr w:type="spellEnd"/>
      <w:r w:rsidR="0005043B" w:rsidRPr="006D7F1A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խառնուրդի վերականգնվող պաշարների արդյունահանման</w:t>
      </w:r>
      <w:r w:rsidR="0005043B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մասով սահմանված պահանջներին վերաբերվող մի շարք հարցեր</w:t>
      </w:r>
      <w:r w:rsid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և ապահովել </w:t>
      </w:r>
      <w:proofErr w:type="spellStart"/>
      <w:r w:rsid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ստուգաթերթերի</w:t>
      </w:r>
      <w:proofErr w:type="spellEnd"/>
      <w:r w:rsidR="00865974" w:rsidRP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="00865974" w:rsidRP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հարց</w:t>
      </w:r>
      <w:bookmarkStart w:id="0" w:name="_GoBack"/>
      <w:bookmarkEnd w:id="0"/>
      <w:r w:rsidR="00865974" w:rsidRP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աշարերում</w:t>
      </w:r>
      <w:proofErr w:type="spellEnd"/>
      <w:r w:rsidR="00865974" w:rsidRP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տեղ գտած հարցերի </w:t>
      </w:r>
      <w:proofErr w:type="spellStart"/>
      <w:r w:rsidR="00865974" w:rsidRP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>ոճաբանական</w:t>
      </w:r>
      <w:proofErr w:type="spellEnd"/>
      <w:r w:rsidR="00865974" w:rsidRP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միատեսակությունը:</w:t>
      </w:r>
      <w:r w:rsidR="00865974">
        <w:rPr>
          <w:rFonts w:ascii="GHEA Grapalat" w:eastAsia="Times New Roman" w:hAnsi="GHEA Grapalat"/>
          <w:bCs/>
          <w:color w:val="000000"/>
          <w:sz w:val="24"/>
          <w:szCs w:val="24"/>
          <w:lang w:val="hy-AM" w:eastAsia="en-GB"/>
        </w:rPr>
        <w:t xml:space="preserve"> </w:t>
      </w:r>
    </w:p>
    <w:p w14:paraId="7A5DDFA0" w14:textId="77777777" w:rsidR="00CE27AF" w:rsidRPr="00142EE2" w:rsidRDefault="00CE27AF" w:rsidP="00CE27AF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7372B3DA" w:rsidR="004B6F0A" w:rsidRPr="00142EE2" w:rsidRDefault="000D1140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3389988E" w:rsidR="0096628E" w:rsidRPr="00142EE2" w:rsidRDefault="0096628E" w:rsidP="00142EE2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142EE2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142EE2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Տեսչական մարմնի կողմից</w:t>
      </w:r>
      <w:r w:rsidRPr="00142EE2">
        <w:rPr>
          <w:rFonts w:ascii="GHEA Grapalat" w:hAnsi="GHEA Grapalat" w:cs="GHEA Grapalat"/>
          <w:noProof/>
          <w:sz w:val="24"/>
          <w:lang w:val="hy-AM"/>
        </w:rPr>
        <w:t xml:space="preserve"> </w:t>
      </w:r>
      <w:r w:rsidRPr="00142EE2">
        <w:rPr>
          <w:rFonts w:ascii="GHEA Grapalat" w:hAnsi="GHEA Grapalat" w:cs="Sylfaen"/>
          <w:sz w:val="24"/>
          <w:lang w:val="hy-AM"/>
        </w:rPr>
        <w:t xml:space="preserve">համապատասխան ոլորտում </w:t>
      </w:r>
      <w:r w:rsidRPr="00142EE2">
        <w:rPr>
          <w:rFonts w:ascii="GHEA Grapalat" w:hAnsi="GHEA Grapalat"/>
          <w:noProof/>
          <w:sz w:val="24"/>
          <w:lang w:val="hy-AM"/>
        </w:rPr>
        <w:t xml:space="preserve">ստուգում իրականացնելու համար </w:t>
      </w:r>
      <w:r w:rsidR="00614B3D" w:rsidRPr="00142EE2">
        <w:rPr>
          <w:rFonts w:ascii="GHEA Grapalat" w:hAnsi="GHEA Grapalat"/>
          <w:noProof/>
          <w:sz w:val="24"/>
          <w:lang w:val="hy-AM"/>
        </w:rPr>
        <w:t xml:space="preserve">անհրաժեշտ և </w:t>
      </w:r>
      <w:r w:rsidRPr="00142EE2">
        <w:rPr>
          <w:rFonts w:ascii="GHEA Grapalat" w:hAnsi="GHEA Grapalat"/>
          <w:noProof/>
          <w:sz w:val="24"/>
          <w:lang w:val="hy-AM"/>
        </w:rPr>
        <w:t>արդիական ստուգաթերթ</w:t>
      </w:r>
      <w:r w:rsidR="00614B3D" w:rsidRPr="00142EE2">
        <w:rPr>
          <w:rFonts w:ascii="GHEA Grapalat" w:hAnsi="GHEA Grapalat"/>
          <w:noProof/>
          <w:sz w:val="24"/>
          <w:lang w:val="hy-AM"/>
        </w:rPr>
        <w:t>եր</w:t>
      </w:r>
      <w:r w:rsidRPr="00142EE2">
        <w:rPr>
          <w:rFonts w:ascii="GHEA Grapalat" w:hAnsi="GHEA Grapalat"/>
          <w:noProof/>
          <w:sz w:val="24"/>
          <w:lang w:val="hy-AM"/>
        </w:rPr>
        <w:t xml:space="preserve">ի </w:t>
      </w:r>
      <w:r w:rsidR="00606B31">
        <w:rPr>
          <w:rFonts w:ascii="GHEA Grapalat" w:hAnsi="GHEA Grapalat"/>
          <w:noProof/>
          <w:sz w:val="24"/>
          <w:lang w:val="hy-AM"/>
        </w:rPr>
        <w:t>առկայությունը</w:t>
      </w:r>
      <w:r w:rsidRPr="00142EE2">
        <w:rPr>
          <w:rFonts w:ascii="GHEA Grapalat" w:hAnsi="GHEA Grapalat"/>
          <w:noProof/>
          <w:sz w:val="24"/>
          <w:lang w:val="hy-AM"/>
        </w:rPr>
        <w:t>:</w:t>
      </w:r>
    </w:p>
    <w:p w14:paraId="1B094D6E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142EE2" w:rsidRDefault="000D1140" w:rsidP="00142EE2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142EE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142EE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34311832" w:rsidR="004B6F0A" w:rsidRPr="00142EE2" w:rsidRDefault="004B6F0A" w:rsidP="00142EE2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05043B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142E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5. Այլ իրավական ակտերում փոփոխությունների և/կամ լրացումների անհրաժեշտությունը.</w:t>
      </w:r>
    </w:p>
    <w:p w14:paraId="50ECA55F" w14:textId="77777777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42EE2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142EE2" w:rsidRDefault="00155381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142EE2" w:rsidRDefault="00A15A0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142EE2" w:rsidRDefault="00614B3D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142EE2" w:rsidRDefault="00C95195" w:rsidP="00142EE2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6FBC58E" w:rsidR="004B6F0A" w:rsidRPr="00142EE2" w:rsidRDefault="00E60EE1" w:rsidP="00142EE2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142EE2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142EE2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142EE2">
        <w:rPr>
          <w:rFonts w:ascii="GHEA Grapalat" w:hAnsi="GHEA Grapalat"/>
          <w:sz w:val="24"/>
          <w:lang w:val="hy-AM"/>
        </w:rPr>
        <w:t>։</w:t>
      </w:r>
    </w:p>
    <w:sectPr w:rsidR="004B6F0A" w:rsidRPr="00142EE2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9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6E33"/>
    <w:rsid w:val="0001022F"/>
    <w:rsid w:val="0004330F"/>
    <w:rsid w:val="0005043B"/>
    <w:rsid w:val="00052EBE"/>
    <w:rsid w:val="00054F08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249BC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204BA0"/>
    <w:rsid w:val="002223A9"/>
    <w:rsid w:val="002621AC"/>
    <w:rsid w:val="002856EE"/>
    <w:rsid w:val="002C665A"/>
    <w:rsid w:val="002D24F2"/>
    <w:rsid w:val="00312216"/>
    <w:rsid w:val="00353C0A"/>
    <w:rsid w:val="00360346"/>
    <w:rsid w:val="00383BD8"/>
    <w:rsid w:val="003B6405"/>
    <w:rsid w:val="003D7D3D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5106B7"/>
    <w:rsid w:val="005330CD"/>
    <w:rsid w:val="005474E0"/>
    <w:rsid w:val="00580A33"/>
    <w:rsid w:val="005C1789"/>
    <w:rsid w:val="005D19CD"/>
    <w:rsid w:val="005E3CE0"/>
    <w:rsid w:val="005E4272"/>
    <w:rsid w:val="005F4DD3"/>
    <w:rsid w:val="00601E68"/>
    <w:rsid w:val="00606A3A"/>
    <w:rsid w:val="00606B31"/>
    <w:rsid w:val="00614B3D"/>
    <w:rsid w:val="00616624"/>
    <w:rsid w:val="00641304"/>
    <w:rsid w:val="0065583E"/>
    <w:rsid w:val="00662B06"/>
    <w:rsid w:val="006968C9"/>
    <w:rsid w:val="00696ABF"/>
    <w:rsid w:val="006B4940"/>
    <w:rsid w:val="006C3CC4"/>
    <w:rsid w:val="006C7173"/>
    <w:rsid w:val="006D4664"/>
    <w:rsid w:val="006D7E9C"/>
    <w:rsid w:val="006E14A2"/>
    <w:rsid w:val="00714BE0"/>
    <w:rsid w:val="00715BA5"/>
    <w:rsid w:val="007215E5"/>
    <w:rsid w:val="00747F8F"/>
    <w:rsid w:val="0075170A"/>
    <w:rsid w:val="00765AF0"/>
    <w:rsid w:val="00792122"/>
    <w:rsid w:val="00792BFE"/>
    <w:rsid w:val="007B4A33"/>
    <w:rsid w:val="007C0377"/>
    <w:rsid w:val="007C5A56"/>
    <w:rsid w:val="007F6485"/>
    <w:rsid w:val="007F693B"/>
    <w:rsid w:val="00800634"/>
    <w:rsid w:val="00801FD3"/>
    <w:rsid w:val="008137A8"/>
    <w:rsid w:val="00824803"/>
    <w:rsid w:val="00830D45"/>
    <w:rsid w:val="00833476"/>
    <w:rsid w:val="00854099"/>
    <w:rsid w:val="008572C8"/>
    <w:rsid w:val="00865974"/>
    <w:rsid w:val="008A4464"/>
    <w:rsid w:val="008A564D"/>
    <w:rsid w:val="008E5805"/>
    <w:rsid w:val="009056A1"/>
    <w:rsid w:val="009138BA"/>
    <w:rsid w:val="00925DD8"/>
    <w:rsid w:val="00942AA1"/>
    <w:rsid w:val="009464BF"/>
    <w:rsid w:val="0096628E"/>
    <w:rsid w:val="0097389F"/>
    <w:rsid w:val="00983456"/>
    <w:rsid w:val="009852EE"/>
    <w:rsid w:val="00995F39"/>
    <w:rsid w:val="009B2386"/>
    <w:rsid w:val="009B2965"/>
    <w:rsid w:val="009B3D97"/>
    <w:rsid w:val="009E23C0"/>
    <w:rsid w:val="009F5DE0"/>
    <w:rsid w:val="009F6C3B"/>
    <w:rsid w:val="00A01F81"/>
    <w:rsid w:val="00A15A05"/>
    <w:rsid w:val="00A23F41"/>
    <w:rsid w:val="00A317DB"/>
    <w:rsid w:val="00A43EA1"/>
    <w:rsid w:val="00A53872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2440A"/>
    <w:rsid w:val="00B35BAF"/>
    <w:rsid w:val="00B70074"/>
    <w:rsid w:val="00B8599D"/>
    <w:rsid w:val="00BD258A"/>
    <w:rsid w:val="00C209B4"/>
    <w:rsid w:val="00C21520"/>
    <w:rsid w:val="00C22D77"/>
    <w:rsid w:val="00C25091"/>
    <w:rsid w:val="00C63A67"/>
    <w:rsid w:val="00C75A55"/>
    <w:rsid w:val="00C86F02"/>
    <w:rsid w:val="00C94D63"/>
    <w:rsid w:val="00C95195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A1A6D"/>
    <w:rsid w:val="00DB607E"/>
    <w:rsid w:val="00DC7454"/>
    <w:rsid w:val="00DD4F1F"/>
    <w:rsid w:val="00DF22F0"/>
    <w:rsid w:val="00DF78EB"/>
    <w:rsid w:val="00E267F1"/>
    <w:rsid w:val="00E27E75"/>
    <w:rsid w:val="00E32830"/>
    <w:rsid w:val="00E47FBD"/>
    <w:rsid w:val="00E510FC"/>
    <w:rsid w:val="00E56523"/>
    <w:rsid w:val="00E60EE1"/>
    <w:rsid w:val="00E75571"/>
    <w:rsid w:val="00E8144F"/>
    <w:rsid w:val="00E84817"/>
    <w:rsid w:val="00E85DCA"/>
    <w:rsid w:val="00E87F3C"/>
    <w:rsid w:val="00EA5FA3"/>
    <w:rsid w:val="00EB0FBD"/>
    <w:rsid w:val="00EC2154"/>
    <w:rsid w:val="00F125BA"/>
    <w:rsid w:val="00F161CF"/>
    <w:rsid w:val="00F25BA7"/>
    <w:rsid w:val="00F2700B"/>
    <w:rsid w:val="00F57540"/>
    <w:rsid w:val="00F647E7"/>
    <w:rsid w:val="00F84366"/>
    <w:rsid w:val="00F85DB6"/>
    <w:rsid w:val="00F94625"/>
    <w:rsid w:val="00FA5AF2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Uesr</dc:creator>
  <cp:lastModifiedBy>Suren Semerjyan</cp:lastModifiedBy>
  <cp:revision>9</cp:revision>
  <dcterms:created xsi:type="dcterms:W3CDTF">2023-01-12T12:24:00Z</dcterms:created>
  <dcterms:modified xsi:type="dcterms:W3CDTF">2023-07-21T13:13:00Z</dcterms:modified>
</cp:coreProperties>
</file>