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F3962" w14:textId="20D0E723" w:rsidR="00B63794" w:rsidRDefault="00B63794" w:rsidP="00DC3695">
      <w:pPr>
        <w:shd w:val="clear" w:color="auto" w:fill="FFFFFF"/>
        <w:spacing w:after="0" w:line="240" w:lineRule="auto"/>
        <w:ind w:firstLine="360"/>
        <w:jc w:val="center"/>
        <w:textAlignment w:val="baseline"/>
        <w:rPr>
          <w:rFonts w:ascii="GHEA Grapalat" w:eastAsia="Times New Roman" w:hAnsi="GHEA Grapalat" w:cs="Times New Roman"/>
          <w:b/>
          <w:bCs/>
          <w:sz w:val="24"/>
          <w:szCs w:val="24"/>
          <w:bdr w:val="none" w:sz="0" w:space="0" w:color="auto" w:frame="1"/>
        </w:rPr>
      </w:pPr>
      <w:r w:rsidRPr="00C938AD">
        <w:rPr>
          <w:rFonts w:ascii="GHEA Grapalat" w:eastAsia="Times New Roman" w:hAnsi="GHEA Grapalat" w:cs="Times New Roman"/>
          <w:b/>
          <w:bCs/>
          <w:sz w:val="24"/>
          <w:szCs w:val="24"/>
          <w:bdr w:val="none" w:sz="0" w:space="0" w:color="auto" w:frame="1"/>
        </w:rPr>
        <w:t>ՀԻՄՆԱՎՈՐՈՒՄ</w:t>
      </w:r>
    </w:p>
    <w:p w14:paraId="093FDC5F" w14:textId="77777777" w:rsidR="00C938AD" w:rsidRPr="00C938AD" w:rsidRDefault="00C938AD" w:rsidP="00DC3695">
      <w:pPr>
        <w:shd w:val="clear" w:color="auto" w:fill="FFFFFF"/>
        <w:spacing w:after="0" w:line="240" w:lineRule="auto"/>
        <w:ind w:firstLine="360"/>
        <w:jc w:val="center"/>
        <w:textAlignment w:val="baseline"/>
        <w:rPr>
          <w:rFonts w:ascii="GHEA Grapalat" w:eastAsia="Times New Roman" w:hAnsi="GHEA Grapalat" w:cs="Times New Roman"/>
          <w:b/>
          <w:sz w:val="24"/>
          <w:szCs w:val="24"/>
        </w:rPr>
      </w:pPr>
    </w:p>
    <w:p w14:paraId="14C95C0A" w14:textId="767571AF" w:rsidR="00B63794" w:rsidRPr="00C938AD" w:rsidRDefault="00224FE5" w:rsidP="00224FE5">
      <w:pPr>
        <w:shd w:val="clear" w:color="auto" w:fill="FFFFFF"/>
        <w:spacing w:after="0" w:line="360" w:lineRule="auto"/>
        <w:ind w:firstLine="360"/>
        <w:jc w:val="center"/>
        <w:textAlignment w:val="baseline"/>
        <w:rPr>
          <w:rFonts w:ascii="GHEA Grapalat" w:eastAsia="Times New Roman" w:hAnsi="GHEA Grapalat" w:cs="Times New Roman"/>
          <w:b/>
          <w:sz w:val="24"/>
          <w:szCs w:val="24"/>
          <w:lang w:val="hy-AM"/>
        </w:rPr>
      </w:pPr>
      <w:r w:rsidRPr="00224FE5">
        <w:rPr>
          <w:rFonts w:ascii="GHEA Grapalat" w:eastAsia="Times New Roman" w:hAnsi="GHEA Grapalat" w:cs="Times New Roman"/>
          <w:b/>
          <w:bCs/>
          <w:sz w:val="24"/>
          <w:szCs w:val="24"/>
          <w:bdr w:val="none" w:sz="0" w:space="0" w:color="auto" w:frame="1"/>
          <w:lang w:val="hy-AM"/>
        </w:rPr>
        <w:t xml:space="preserve">««ՏԻԵԶԵՐԱԿԱՆ ԳՈՐԾՈՒՆԵՈՒԹՅԱՆ ՄԱՍԻՆ» ՕՐԵՆՔՈՒՄ ԼՐԱՑՈՒՄՆԵՐ ԿԱՏԱՐԵԼՈՒ» </w:t>
      </w:r>
      <w:r>
        <w:rPr>
          <w:rFonts w:ascii="GHEA Grapalat" w:eastAsia="Times New Roman" w:hAnsi="GHEA Grapalat" w:cs="Times New Roman"/>
          <w:b/>
          <w:bCs/>
          <w:sz w:val="24"/>
          <w:szCs w:val="24"/>
          <w:bdr w:val="none" w:sz="0" w:space="0" w:color="auto" w:frame="1"/>
          <w:lang w:val="hy-AM"/>
        </w:rPr>
        <w:t>ԵՎ</w:t>
      </w:r>
      <w:r w:rsidRPr="00224FE5">
        <w:rPr>
          <w:rFonts w:ascii="GHEA Grapalat" w:eastAsia="Times New Roman" w:hAnsi="GHEA Grapalat" w:cs="Times New Roman"/>
          <w:b/>
          <w:bCs/>
          <w:sz w:val="24"/>
          <w:szCs w:val="24"/>
          <w:bdr w:val="none" w:sz="0" w:space="0" w:color="auto" w:frame="1"/>
          <w:lang w:val="hy-AM"/>
        </w:rPr>
        <w:t xml:space="preserve"> </w:t>
      </w:r>
      <w:r w:rsidRPr="00224FE5">
        <w:rPr>
          <w:rFonts w:ascii="GHEA Grapalat" w:eastAsia="Times New Roman" w:hAnsi="GHEA Grapalat" w:cs="Times New Roman"/>
          <w:b/>
          <w:bCs/>
          <w:sz w:val="24"/>
          <w:szCs w:val="24"/>
          <w:bdr w:val="none" w:sz="0" w:space="0" w:color="auto" w:frame="1"/>
        </w:rPr>
        <w:t>««</w:t>
      </w:r>
      <w:r w:rsidRPr="00224FE5">
        <w:rPr>
          <w:rFonts w:ascii="GHEA Grapalat" w:eastAsia="Times New Roman" w:hAnsi="GHEA Grapalat" w:cs="Times New Roman"/>
          <w:b/>
          <w:bCs/>
          <w:sz w:val="24"/>
          <w:szCs w:val="24"/>
          <w:bdr w:val="none" w:sz="0" w:space="0" w:color="auto" w:frame="1"/>
          <w:lang w:val="hy-AM"/>
        </w:rPr>
        <w:t>ՊԵՏԱԿԱՆ ՏՈՒՐՔԻ ՄԱՍԻՆ</w:t>
      </w:r>
      <w:r w:rsidRPr="00224FE5">
        <w:rPr>
          <w:rFonts w:ascii="GHEA Grapalat" w:eastAsia="Times New Roman" w:hAnsi="GHEA Grapalat" w:cs="GHEA Grapalat"/>
          <w:b/>
          <w:bCs/>
          <w:sz w:val="24"/>
          <w:szCs w:val="24"/>
          <w:bdr w:val="none" w:sz="0" w:space="0" w:color="auto" w:frame="1"/>
        </w:rPr>
        <w:t>»</w:t>
      </w:r>
      <w:r w:rsidRPr="00224FE5">
        <w:rPr>
          <w:rFonts w:ascii="GHEA Grapalat" w:eastAsia="Times New Roman" w:hAnsi="GHEA Grapalat" w:cs="Times New Roman"/>
          <w:b/>
          <w:bCs/>
          <w:sz w:val="24"/>
          <w:szCs w:val="24"/>
          <w:bdr w:val="none" w:sz="0" w:space="0" w:color="auto" w:frame="1"/>
        </w:rPr>
        <w:t xml:space="preserve"> ՕՐԵՆՔՈՒՄ</w:t>
      </w:r>
      <w:r w:rsidRPr="00224FE5">
        <w:rPr>
          <w:rFonts w:ascii="GHEA Grapalat" w:eastAsia="Times New Roman" w:hAnsi="GHEA Grapalat" w:cs="GHEA Grapalat"/>
          <w:b/>
          <w:bCs/>
          <w:sz w:val="24"/>
          <w:szCs w:val="24"/>
          <w:bdr w:val="none" w:sz="0" w:space="0" w:color="auto" w:frame="1"/>
        </w:rPr>
        <w:t>»</w:t>
      </w:r>
      <w:r w:rsidRPr="00224FE5">
        <w:rPr>
          <w:rFonts w:ascii="GHEA Grapalat" w:eastAsia="Times New Roman" w:hAnsi="GHEA Grapalat" w:cs="Times New Roman"/>
          <w:b/>
          <w:bCs/>
          <w:sz w:val="24"/>
          <w:szCs w:val="24"/>
          <w:bdr w:val="none" w:sz="0" w:space="0" w:color="auto" w:frame="1"/>
        </w:rPr>
        <w:t xml:space="preserve"> </w:t>
      </w:r>
      <w:r>
        <w:rPr>
          <w:rFonts w:ascii="GHEA Grapalat" w:eastAsia="Times New Roman" w:hAnsi="GHEA Grapalat" w:cs="Times New Roman"/>
          <w:b/>
          <w:bCs/>
          <w:sz w:val="24"/>
          <w:szCs w:val="24"/>
          <w:bdr w:val="none" w:sz="0" w:space="0" w:color="auto" w:frame="1"/>
          <w:lang w:val="hy-AM"/>
        </w:rPr>
        <w:t>ՓՈՓՈԽՈՒԹՅՈՒՆ</w:t>
      </w:r>
      <w:r w:rsidRPr="00224FE5">
        <w:rPr>
          <w:rFonts w:ascii="GHEA Grapalat" w:eastAsia="Times New Roman" w:hAnsi="GHEA Grapalat" w:cs="Times New Roman"/>
          <w:b/>
          <w:bCs/>
          <w:sz w:val="24"/>
          <w:szCs w:val="24"/>
          <w:bdr w:val="none" w:sz="0" w:space="0" w:color="auto" w:frame="1"/>
        </w:rPr>
        <w:t xml:space="preserve"> ԿԱՏԱՐԵԼՈՒ ՄԱՍԻՆ</w:t>
      </w:r>
      <w:r w:rsidRPr="00224FE5">
        <w:rPr>
          <w:rFonts w:ascii="GHEA Grapalat" w:eastAsia="Times New Roman" w:hAnsi="GHEA Grapalat" w:cs="Times New Roman"/>
          <w:b/>
          <w:bCs/>
          <w:sz w:val="24"/>
          <w:szCs w:val="24"/>
          <w:bdr w:val="none" w:sz="0" w:space="0" w:color="auto" w:frame="1"/>
          <w:lang w:val="hy-AM"/>
        </w:rPr>
        <w:t xml:space="preserve">» ՕՐԵՆՔՆԵՐԻ </w:t>
      </w:r>
      <w:r w:rsidRPr="00224FE5">
        <w:rPr>
          <w:rFonts w:ascii="GHEA Grapalat" w:eastAsia="Times New Roman" w:hAnsi="GHEA Grapalat" w:cs="Times New Roman"/>
          <w:b/>
          <w:bCs/>
          <w:sz w:val="24"/>
          <w:szCs w:val="24"/>
          <w:bdr w:val="none" w:sz="0" w:space="0" w:color="auto" w:frame="1"/>
        </w:rPr>
        <w:t>ՆԱԽԱԳԾ</w:t>
      </w:r>
      <w:r w:rsidRPr="00224FE5">
        <w:rPr>
          <w:rFonts w:ascii="GHEA Grapalat" w:eastAsia="Times New Roman" w:hAnsi="GHEA Grapalat" w:cs="Times New Roman"/>
          <w:b/>
          <w:bCs/>
          <w:sz w:val="24"/>
          <w:szCs w:val="24"/>
          <w:bdr w:val="none" w:sz="0" w:space="0" w:color="auto" w:frame="1"/>
          <w:lang w:val="hy-AM"/>
        </w:rPr>
        <w:t>ԵՐ</w:t>
      </w:r>
      <w:r w:rsidRPr="00224FE5">
        <w:rPr>
          <w:rFonts w:ascii="GHEA Grapalat" w:eastAsia="Times New Roman" w:hAnsi="GHEA Grapalat" w:cs="Times New Roman"/>
          <w:b/>
          <w:bCs/>
          <w:sz w:val="24"/>
          <w:szCs w:val="24"/>
          <w:bdr w:val="none" w:sz="0" w:space="0" w:color="auto" w:frame="1"/>
        </w:rPr>
        <w:t xml:space="preserve">Ի </w:t>
      </w:r>
      <w:r w:rsidRPr="00224FE5">
        <w:rPr>
          <w:rFonts w:ascii="GHEA Grapalat" w:eastAsia="Times New Roman" w:hAnsi="GHEA Grapalat" w:cs="Times New Roman"/>
          <w:b/>
          <w:bCs/>
          <w:sz w:val="24"/>
          <w:szCs w:val="24"/>
          <w:bdr w:val="none" w:sz="0" w:space="0" w:color="auto" w:frame="1"/>
          <w:lang w:val="hy-AM"/>
        </w:rPr>
        <w:t>ԸՆԴՈՒՆՄԱՆ</w:t>
      </w:r>
    </w:p>
    <w:p w14:paraId="0BDCB3CB" w14:textId="64746D92" w:rsidR="00B63794" w:rsidRPr="00C938AD" w:rsidRDefault="00224FE5" w:rsidP="00224FE5">
      <w:pPr>
        <w:shd w:val="clear" w:color="auto" w:fill="FFFFFF"/>
        <w:spacing w:after="225" w:line="360" w:lineRule="auto"/>
        <w:ind w:firstLine="360"/>
        <w:jc w:val="both"/>
        <w:textAlignment w:val="baseline"/>
        <w:rPr>
          <w:rFonts w:ascii="GHEA Grapalat" w:eastAsia="Times New Roman" w:hAnsi="GHEA Grapalat" w:cs="GHEA Grapalat"/>
          <w:b/>
          <w:sz w:val="24"/>
          <w:szCs w:val="24"/>
          <w:lang w:val="hy-AM"/>
        </w:rPr>
      </w:pPr>
      <w:r w:rsidRPr="00C938AD">
        <w:rPr>
          <w:rFonts w:ascii="Calibri" w:eastAsia="Times New Roman" w:hAnsi="Calibri" w:cs="Calibri"/>
          <w:b/>
          <w:sz w:val="24"/>
          <w:szCs w:val="24"/>
          <w:lang w:val="hy-AM"/>
        </w:rPr>
        <w:t> </w:t>
      </w:r>
    </w:p>
    <w:p w14:paraId="2CEA2327" w14:textId="6FC43D55" w:rsidR="00B63794" w:rsidRPr="00C938AD" w:rsidRDefault="00B63794" w:rsidP="00DC3695">
      <w:pPr>
        <w:pStyle w:val="ListParagraph"/>
        <w:numPr>
          <w:ilvl w:val="0"/>
          <w:numId w:val="6"/>
        </w:numPr>
        <w:shd w:val="clear" w:color="auto" w:fill="FFFFFF"/>
        <w:spacing w:after="0" w:line="360" w:lineRule="auto"/>
        <w:ind w:left="0" w:firstLine="360"/>
        <w:jc w:val="both"/>
        <w:textAlignment w:val="baseline"/>
        <w:rPr>
          <w:rFonts w:ascii="GHEA Grapalat" w:eastAsia="Times New Roman" w:hAnsi="GHEA Grapalat" w:cs="GHEA Grapalat"/>
          <w:b/>
          <w:sz w:val="24"/>
          <w:szCs w:val="24"/>
          <w:lang w:val="hy-AM"/>
        </w:rPr>
      </w:pPr>
      <w:r w:rsidRPr="00C938AD">
        <w:rPr>
          <w:rFonts w:ascii="GHEA Grapalat" w:eastAsia="Times New Roman" w:hAnsi="GHEA Grapalat" w:cs="GHEA Grapalat"/>
          <w:b/>
          <w:sz w:val="24"/>
          <w:szCs w:val="24"/>
          <w:lang w:val="hy-AM"/>
        </w:rPr>
        <w:t>Անհրաժեշտությունը</w:t>
      </w:r>
      <w:r w:rsidR="00817D7C">
        <w:rPr>
          <w:rFonts w:ascii="GHEA Grapalat" w:eastAsia="Times New Roman" w:hAnsi="GHEA Grapalat" w:cs="GHEA Grapalat"/>
          <w:b/>
          <w:sz w:val="24"/>
          <w:szCs w:val="24"/>
          <w:lang w:val="hy-AM"/>
        </w:rPr>
        <w:t xml:space="preserve"> և ընթացիկ իրավիճակը</w:t>
      </w:r>
      <w:r w:rsidRPr="00C938AD">
        <w:rPr>
          <w:rFonts w:ascii="GHEA Grapalat" w:eastAsia="Times New Roman" w:hAnsi="GHEA Grapalat" w:cs="GHEA Grapalat"/>
          <w:b/>
          <w:sz w:val="24"/>
          <w:szCs w:val="24"/>
          <w:lang w:val="hy-AM"/>
        </w:rPr>
        <w:t>.</w:t>
      </w:r>
    </w:p>
    <w:p w14:paraId="49C41047" w14:textId="77777777" w:rsidR="00817D7C" w:rsidRPr="00817D7C" w:rsidRDefault="00817D7C" w:rsidP="00817D7C">
      <w:pPr>
        <w:shd w:val="clear" w:color="auto" w:fill="FFFFFF"/>
        <w:spacing w:after="0" w:line="360" w:lineRule="auto"/>
        <w:ind w:firstLine="360"/>
        <w:jc w:val="both"/>
        <w:textAlignment w:val="baseline"/>
        <w:rPr>
          <w:rFonts w:ascii="GHEA Grapalat" w:eastAsia="Times New Roman" w:hAnsi="GHEA Grapalat" w:cs="GHEA Grapalat"/>
          <w:sz w:val="24"/>
          <w:szCs w:val="24"/>
          <w:lang w:val="hy-AM"/>
        </w:rPr>
      </w:pPr>
      <w:r w:rsidRPr="00817D7C">
        <w:rPr>
          <w:rFonts w:ascii="GHEA Grapalat" w:eastAsia="Times New Roman" w:hAnsi="GHEA Grapalat" w:cs="GHEA Grapalat"/>
          <w:sz w:val="24"/>
          <w:szCs w:val="24"/>
          <w:lang w:val="hy-AM"/>
        </w:rPr>
        <w:t xml:space="preserve">Տիեզերական գիտության ձեռքբերումների և տեխնիկայի օգտագործման միջոցով միջազգային անվտանգության և խաղաղության պահպանման աջակցումը, տիեզերական գործունեության անվտանգության և շրջակա միջավայրի պահպանման ապահովումը ոչ միայն Հայաստանի Հանրապետության, այլ  համաշխարհային  առաջնայնություններից է: </w:t>
      </w:r>
    </w:p>
    <w:p w14:paraId="01B13F1A" w14:textId="0C0EDDEF" w:rsidR="00817D7C" w:rsidRPr="00817D7C" w:rsidRDefault="00817D7C" w:rsidP="00817D7C">
      <w:pPr>
        <w:shd w:val="clear" w:color="auto" w:fill="FFFFFF"/>
        <w:spacing w:after="0" w:line="360" w:lineRule="auto"/>
        <w:ind w:firstLine="360"/>
        <w:jc w:val="both"/>
        <w:textAlignment w:val="baseline"/>
        <w:rPr>
          <w:rFonts w:ascii="GHEA Grapalat" w:eastAsia="Times New Roman" w:hAnsi="GHEA Grapalat" w:cs="GHEA Grapalat"/>
          <w:sz w:val="24"/>
          <w:szCs w:val="24"/>
          <w:lang w:val="hy-AM"/>
        </w:rPr>
      </w:pPr>
      <w:r w:rsidRPr="00817D7C">
        <w:rPr>
          <w:rFonts w:ascii="GHEA Grapalat" w:eastAsia="Times New Roman" w:hAnsi="GHEA Grapalat" w:cs="GHEA Grapalat"/>
          <w:sz w:val="24"/>
          <w:szCs w:val="24"/>
          <w:lang w:val="hy-AM"/>
        </w:rPr>
        <w:t xml:space="preserve">Տիեզերական գործունեության իրականացումը Հայաստանի Հանրապետության տնտեսության զարգացման </w:t>
      </w:r>
      <w:r>
        <w:rPr>
          <w:rFonts w:ascii="GHEA Grapalat" w:eastAsia="Times New Roman" w:hAnsi="GHEA Grapalat" w:cs="GHEA Grapalat"/>
          <w:sz w:val="24"/>
          <w:szCs w:val="24"/>
          <w:lang w:val="hy-AM"/>
        </w:rPr>
        <w:t xml:space="preserve"> </w:t>
      </w:r>
      <w:r w:rsidRPr="00817D7C">
        <w:rPr>
          <w:rFonts w:ascii="GHEA Grapalat" w:eastAsia="Times New Roman" w:hAnsi="GHEA Grapalat" w:cs="GHEA Grapalat"/>
          <w:sz w:val="24"/>
          <w:szCs w:val="24"/>
          <w:lang w:val="hy-AM"/>
        </w:rPr>
        <w:t>ճյուղերից մեկն է,  որը կնպաստի երկրի տնտեսության աճին, մրցունակության և արտադրողականության բարձրացմանը։</w:t>
      </w:r>
    </w:p>
    <w:p w14:paraId="7E10811B" w14:textId="66B63263" w:rsidR="00817D7C" w:rsidRDefault="00817D7C" w:rsidP="00817D7C">
      <w:pPr>
        <w:shd w:val="clear" w:color="auto" w:fill="FFFFFF"/>
        <w:spacing w:after="0" w:line="360" w:lineRule="auto"/>
        <w:ind w:firstLine="360"/>
        <w:jc w:val="both"/>
        <w:textAlignment w:val="baseline"/>
        <w:rPr>
          <w:rFonts w:ascii="GHEA Grapalat" w:eastAsia="Times New Roman" w:hAnsi="GHEA Grapalat" w:cs="GHEA Grapalat"/>
          <w:sz w:val="24"/>
          <w:szCs w:val="24"/>
          <w:lang w:val="hy-AM"/>
        </w:rPr>
      </w:pPr>
      <w:r w:rsidRPr="00817D7C">
        <w:rPr>
          <w:rFonts w:ascii="GHEA Grapalat" w:eastAsia="Times New Roman" w:hAnsi="GHEA Grapalat" w:cs="GHEA Grapalat"/>
          <w:sz w:val="24"/>
          <w:szCs w:val="24"/>
          <w:lang w:val="hy-AM"/>
        </w:rPr>
        <w:t xml:space="preserve">Տիեզերական գործունեության ոլորտում կազմակերպությունների զարգացման համար </w:t>
      </w:r>
      <w:r>
        <w:rPr>
          <w:rFonts w:ascii="GHEA Grapalat" w:eastAsia="Times New Roman" w:hAnsi="GHEA Grapalat" w:cs="GHEA Grapalat"/>
          <w:sz w:val="24"/>
          <w:szCs w:val="24"/>
          <w:lang w:val="hy-AM"/>
        </w:rPr>
        <w:t xml:space="preserve">պետության կողմից ձեռնարկված քայլերը </w:t>
      </w:r>
      <w:r w:rsidRPr="00817D7C">
        <w:rPr>
          <w:rFonts w:ascii="GHEA Grapalat" w:eastAsia="Times New Roman" w:hAnsi="GHEA Grapalat" w:cs="GHEA Grapalat"/>
          <w:sz w:val="24"/>
          <w:szCs w:val="24"/>
          <w:lang w:val="hy-AM"/>
        </w:rPr>
        <w:t xml:space="preserve">բավարար </w:t>
      </w:r>
      <w:r>
        <w:rPr>
          <w:rFonts w:ascii="GHEA Grapalat" w:eastAsia="Times New Roman" w:hAnsi="GHEA Grapalat" w:cs="GHEA Grapalat"/>
          <w:sz w:val="24"/>
          <w:szCs w:val="24"/>
          <w:lang w:val="hy-AM"/>
        </w:rPr>
        <w:t>համարել չենք կարող</w:t>
      </w:r>
      <w:r w:rsidRPr="00817D7C">
        <w:rPr>
          <w:rFonts w:ascii="GHEA Grapalat" w:eastAsia="Times New Roman" w:hAnsi="GHEA Grapalat" w:cs="GHEA Grapalat"/>
          <w:sz w:val="24"/>
          <w:szCs w:val="24"/>
          <w:lang w:val="hy-AM"/>
        </w:rPr>
        <w:t xml:space="preserve">։ Նշված ոլորտում </w:t>
      </w:r>
      <w:r>
        <w:rPr>
          <w:rFonts w:ascii="GHEA Grapalat" w:eastAsia="Times New Roman" w:hAnsi="GHEA Grapalat" w:cs="GHEA Grapalat"/>
          <w:sz w:val="24"/>
          <w:szCs w:val="24"/>
          <w:lang w:val="hy-AM"/>
        </w:rPr>
        <w:t xml:space="preserve">այս ընթացքում </w:t>
      </w:r>
      <w:r w:rsidRPr="00817D7C">
        <w:rPr>
          <w:rFonts w:ascii="GHEA Grapalat" w:eastAsia="Times New Roman" w:hAnsi="GHEA Grapalat" w:cs="GHEA Grapalat"/>
          <w:sz w:val="24"/>
          <w:szCs w:val="24"/>
          <w:lang w:val="hy-AM"/>
        </w:rPr>
        <w:t xml:space="preserve">պետության </w:t>
      </w:r>
      <w:r>
        <w:rPr>
          <w:rFonts w:ascii="GHEA Grapalat" w:eastAsia="Times New Roman" w:hAnsi="GHEA Grapalat" w:cs="GHEA Grapalat"/>
          <w:sz w:val="24"/>
          <w:szCs w:val="24"/>
          <w:lang w:val="hy-AM"/>
        </w:rPr>
        <w:t xml:space="preserve">կողմից նախաձեռնվել և </w:t>
      </w:r>
      <w:r w:rsidRPr="00817D7C">
        <w:rPr>
          <w:rFonts w:ascii="GHEA Grapalat" w:eastAsia="Times New Roman" w:hAnsi="GHEA Grapalat" w:cs="GHEA Grapalat"/>
          <w:sz w:val="24"/>
          <w:szCs w:val="24"/>
          <w:lang w:val="hy-AM"/>
        </w:rPr>
        <w:t>իրականաց</w:t>
      </w:r>
      <w:r>
        <w:rPr>
          <w:rFonts w:ascii="GHEA Grapalat" w:eastAsia="Times New Roman" w:hAnsi="GHEA Grapalat" w:cs="GHEA Grapalat"/>
          <w:sz w:val="24"/>
          <w:szCs w:val="24"/>
          <w:lang w:val="hy-AM"/>
        </w:rPr>
        <w:t>վել է հիմնակա</w:t>
      </w:r>
      <w:r w:rsidR="00163F1C">
        <w:rPr>
          <w:rFonts w:ascii="GHEA Grapalat" w:eastAsia="Times New Roman" w:hAnsi="GHEA Grapalat" w:cs="GHEA Grapalat"/>
          <w:sz w:val="24"/>
          <w:szCs w:val="24"/>
          <w:lang w:val="hy-AM"/>
        </w:rPr>
        <w:t>ն</w:t>
      </w:r>
      <w:r>
        <w:rPr>
          <w:rFonts w:ascii="GHEA Grapalat" w:eastAsia="Times New Roman" w:hAnsi="GHEA Grapalat" w:cs="GHEA Grapalat"/>
          <w:sz w:val="24"/>
          <w:szCs w:val="24"/>
          <w:lang w:val="hy-AM"/>
        </w:rPr>
        <w:t>ում ոլորտի օրենսդրական</w:t>
      </w:r>
      <w:r w:rsidRPr="00817D7C">
        <w:rPr>
          <w:rFonts w:ascii="GHEA Grapalat" w:eastAsia="Times New Roman" w:hAnsi="GHEA Grapalat" w:cs="GHEA Grapalat"/>
          <w:sz w:val="24"/>
          <w:szCs w:val="24"/>
          <w:lang w:val="hy-AM"/>
        </w:rPr>
        <w:t xml:space="preserve"> կարգավորման </w:t>
      </w:r>
      <w:r>
        <w:rPr>
          <w:rFonts w:ascii="GHEA Grapalat" w:eastAsia="Times New Roman" w:hAnsi="GHEA Grapalat" w:cs="GHEA Grapalat"/>
          <w:sz w:val="24"/>
          <w:szCs w:val="24"/>
          <w:lang w:val="hy-AM"/>
        </w:rPr>
        <w:t xml:space="preserve">ստեղծման </w:t>
      </w:r>
      <w:r w:rsidRPr="00817D7C">
        <w:rPr>
          <w:rFonts w:ascii="GHEA Grapalat" w:eastAsia="Times New Roman" w:hAnsi="GHEA Grapalat" w:cs="GHEA Grapalat"/>
          <w:sz w:val="24"/>
          <w:szCs w:val="24"/>
          <w:lang w:val="hy-AM"/>
        </w:rPr>
        <w:t>հետևյալ քայլերը՝  2020 թվականին ընդունվել է «Տիեզերական գործունեության մասին» օրենքը</w:t>
      </w:r>
      <w:r>
        <w:rPr>
          <w:rFonts w:ascii="GHEA Grapalat" w:eastAsia="Times New Roman" w:hAnsi="GHEA Grapalat" w:cs="GHEA Grapalat"/>
          <w:sz w:val="24"/>
          <w:szCs w:val="24"/>
          <w:lang w:val="hy-AM"/>
        </w:rPr>
        <w:t xml:space="preserve"> </w:t>
      </w:r>
      <w:r w:rsidRPr="00817D7C">
        <w:rPr>
          <w:rFonts w:ascii="GHEA Grapalat" w:eastAsia="Times New Roman" w:hAnsi="GHEA Grapalat" w:cs="GHEA Grapalat"/>
          <w:sz w:val="24"/>
          <w:szCs w:val="24"/>
          <w:lang w:val="hy-AM"/>
        </w:rPr>
        <w:t>(</w:t>
      </w:r>
      <w:r>
        <w:rPr>
          <w:rFonts w:ascii="GHEA Grapalat" w:eastAsia="Times New Roman" w:hAnsi="GHEA Grapalat" w:cs="GHEA Grapalat"/>
          <w:sz w:val="24"/>
          <w:szCs w:val="24"/>
          <w:lang w:val="hy-AM"/>
        </w:rPr>
        <w:t>այսուհետ՝ Օրենք</w:t>
      </w:r>
      <w:r w:rsidRPr="00817D7C">
        <w:rPr>
          <w:rFonts w:ascii="GHEA Grapalat" w:eastAsia="Times New Roman" w:hAnsi="GHEA Grapalat" w:cs="GHEA Grapalat"/>
          <w:sz w:val="24"/>
          <w:szCs w:val="24"/>
          <w:lang w:val="hy-AM"/>
        </w:rPr>
        <w:t>), ՀՀ կառավարության կողմից հաստատվել են տիեզերական տեխնիկայի և օբյեկտների օգտագործման (շահագործման), մշակման, ստեղծման, փորձարկման կարգերը, տիեզերական տեխնիկայի և օբյեկտների գրանցման կարգը, տիեզերական գործունեության լիցենզավորման կարգը և պայմանները, շահագործումից հանված՝ պետական սեփականություն հանդիսացող տիեզերական տեխնիկայի և օբյեկտների օգտագործման կարգը, տիեզերական գործունեության իրականացման ընթացքում արձանագրված պատահարների (ներառյալ՝ վթարների) և աղետների քննության կարգը, տիեզերական օբյեկտները և (կամ) տեխնիկան շահագործողի կողմից այլ շահագործողի օտարման՝ լիազոր մարմնի հետ համաձայնեցման կարգը</w:t>
      </w:r>
      <w:r>
        <w:rPr>
          <w:rFonts w:ascii="GHEA Grapalat" w:eastAsia="Times New Roman" w:hAnsi="GHEA Grapalat" w:cs="GHEA Grapalat"/>
          <w:sz w:val="24"/>
          <w:szCs w:val="24"/>
          <w:lang w:val="hy-AM"/>
        </w:rPr>
        <w:t xml:space="preserve">, </w:t>
      </w:r>
      <w:r w:rsidR="00431D28" w:rsidRPr="00431D28">
        <w:rPr>
          <w:rFonts w:ascii="GHEA Grapalat" w:eastAsia="Times New Roman" w:hAnsi="GHEA Grapalat" w:cs="GHEA Grapalat"/>
          <w:sz w:val="24"/>
          <w:szCs w:val="24"/>
          <w:lang w:val="hy-AM"/>
        </w:rPr>
        <w:t xml:space="preserve">«Պետական տուրքի մասին» </w:t>
      </w:r>
      <w:r w:rsidR="00431D28">
        <w:rPr>
          <w:rFonts w:ascii="GHEA Grapalat" w:eastAsia="Times New Roman" w:hAnsi="GHEA Grapalat" w:cs="GHEA Grapalat"/>
          <w:sz w:val="24"/>
          <w:szCs w:val="24"/>
          <w:lang w:val="hy-AM"/>
        </w:rPr>
        <w:t>օրենք</w:t>
      </w:r>
      <w:r>
        <w:rPr>
          <w:rFonts w:ascii="GHEA Grapalat" w:eastAsia="Times New Roman" w:hAnsi="GHEA Grapalat" w:cs="GHEA Grapalat"/>
          <w:sz w:val="24"/>
          <w:szCs w:val="24"/>
          <w:lang w:val="hy-AM"/>
        </w:rPr>
        <w:t>ի</w:t>
      </w:r>
      <w:r w:rsidR="00431D28">
        <w:rPr>
          <w:rFonts w:ascii="GHEA Grapalat" w:eastAsia="Times New Roman" w:hAnsi="GHEA Grapalat" w:cs="GHEA Grapalat"/>
          <w:sz w:val="24"/>
          <w:szCs w:val="24"/>
          <w:lang w:val="hy-AM"/>
        </w:rPr>
        <w:t xml:space="preserve"> </w:t>
      </w:r>
      <w:r w:rsidR="00431D28" w:rsidRPr="00431D28">
        <w:rPr>
          <w:rFonts w:ascii="GHEA Grapalat" w:eastAsia="Times New Roman" w:hAnsi="GHEA Grapalat" w:cs="GHEA Grapalat"/>
          <w:sz w:val="24"/>
          <w:szCs w:val="24"/>
          <w:lang w:val="hy-AM"/>
        </w:rPr>
        <w:t>19-րդ հոդվածի 19-րդ կետի 19.1 ենթակետ</w:t>
      </w:r>
      <w:r w:rsidR="00431D28">
        <w:rPr>
          <w:rFonts w:ascii="GHEA Grapalat" w:eastAsia="Times New Roman" w:hAnsi="GHEA Grapalat" w:cs="GHEA Grapalat"/>
          <w:sz w:val="24"/>
          <w:szCs w:val="24"/>
          <w:lang w:val="hy-AM"/>
        </w:rPr>
        <w:t xml:space="preserve">ով </w:t>
      </w:r>
      <w:r>
        <w:rPr>
          <w:rFonts w:ascii="GHEA Grapalat" w:eastAsia="Times New Roman" w:hAnsi="GHEA Grapalat" w:cs="GHEA Grapalat"/>
          <w:sz w:val="24"/>
          <w:szCs w:val="24"/>
          <w:lang w:val="hy-AM"/>
        </w:rPr>
        <w:t xml:space="preserve"> </w:t>
      </w:r>
      <w:r w:rsidR="00431D28">
        <w:rPr>
          <w:rFonts w:ascii="GHEA Grapalat" w:eastAsia="Times New Roman" w:hAnsi="GHEA Grapalat" w:cs="GHEA Grapalat"/>
          <w:sz w:val="24"/>
          <w:szCs w:val="24"/>
          <w:lang w:val="hy-AM"/>
        </w:rPr>
        <w:lastRenderedPageBreak/>
        <w:t>տ</w:t>
      </w:r>
      <w:r w:rsidR="00431D28" w:rsidRPr="00431D28">
        <w:rPr>
          <w:rFonts w:ascii="GHEA Grapalat" w:eastAsia="Times New Roman" w:hAnsi="GHEA Grapalat" w:cs="GHEA Grapalat"/>
          <w:sz w:val="24"/>
          <w:szCs w:val="24"/>
          <w:lang w:val="hy-AM"/>
        </w:rPr>
        <w:t xml:space="preserve">իեզերական գործունեության </w:t>
      </w:r>
      <w:r w:rsidR="00431D28">
        <w:rPr>
          <w:rFonts w:ascii="GHEA Grapalat" w:eastAsia="Times New Roman" w:hAnsi="GHEA Grapalat" w:cs="GHEA Grapalat"/>
          <w:sz w:val="24"/>
          <w:szCs w:val="24"/>
          <w:lang w:val="hy-AM"/>
        </w:rPr>
        <w:t>համար տարեկան պետական տուրքը</w:t>
      </w:r>
      <w:r>
        <w:rPr>
          <w:rFonts w:ascii="GHEA Grapalat" w:eastAsia="Times New Roman" w:hAnsi="GHEA Grapalat" w:cs="GHEA Grapalat"/>
          <w:sz w:val="24"/>
          <w:szCs w:val="24"/>
          <w:lang w:val="hy-AM"/>
        </w:rPr>
        <w:t xml:space="preserve"> սահմանվել</w:t>
      </w:r>
      <w:r w:rsidR="00431D28">
        <w:rPr>
          <w:rFonts w:ascii="GHEA Grapalat" w:eastAsia="Times New Roman" w:hAnsi="GHEA Grapalat" w:cs="GHEA Grapalat"/>
          <w:sz w:val="24"/>
          <w:szCs w:val="24"/>
          <w:lang w:val="hy-AM"/>
        </w:rPr>
        <w:t xml:space="preserve"> է բազային տուրքի 10000-ապատիկի չափ:</w:t>
      </w:r>
      <w:r w:rsidR="00431D28" w:rsidRPr="00431D28">
        <w:rPr>
          <w:rFonts w:ascii="GHEA Grapalat" w:eastAsia="Times New Roman" w:hAnsi="GHEA Grapalat" w:cs="GHEA Grapalat"/>
          <w:sz w:val="24"/>
          <w:szCs w:val="24"/>
          <w:lang w:val="hy-AM"/>
        </w:rPr>
        <w:t xml:space="preserve"> </w:t>
      </w:r>
    </w:p>
    <w:p w14:paraId="6C712285" w14:textId="5F479059" w:rsidR="00431D28" w:rsidRDefault="00224FE5" w:rsidP="00817D7C">
      <w:pPr>
        <w:shd w:val="clear" w:color="auto" w:fill="FFFFFF"/>
        <w:spacing w:after="0" w:line="360" w:lineRule="auto"/>
        <w:ind w:firstLine="360"/>
        <w:jc w:val="both"/>
        <w:textAlignment w:val="baseline"/>
        <w:rPr>
          <w:rFonts w:ascii="GHEA Grapalat" w:eastAsia="Times New Roman" w:hAnsi="GHEA Grapalat" w:cs="GHEA Grapalat"/>
          <w:sz w:val="24"/>
          <w:szCs w:val="24"/>
          <w:lang w:val="hy-AM"/>
        </w:rPr>
      </w:pPr>
      <w:r>
        <w:rPr>
          <w:rFonts w:ascii="GHEA Grapalat" w:eastAsia="Times New Roman" w:hAnsi="GHEA Grapalat" w:cs="GHEA Grapalat"/>
          <w:sz w:val="24"/>
          <w:szCs w:val="24"/>
          <w:lang w:val="hy-AM"/>
        </w:rPr>
        <w:t>Օ</w:t>
      </w:r>
      <w:r w:rsidR="00431D28" w:rsidRPr="00431D28">
        <w:rPr>
          <w:rFonts w:ascii="GHEA Grapalat" w:eastAsia="Times New Roman" w:hAnsi="GHEA Grapalat" w:cs="GHEA Grapalat"/>
          <w:sz w:val="24"/>
          <w:szCs w:val="24"/>
          <w:lang w:val="hy-AM"/>
        </w:rPr>
        <w:t>րենք</w:t>
      </w:r>
      <w:r w:rsidR="00431D28">
        <w:rPr>
          <w:rFonts w:ascii="GHEA Grapalat" w:eastAsia="Times New Roman" w:hAnsi="GHEA Grapalat" w:cs="GHEA Grapalat"/>
          <w:sz w:val="24"/>
          <w:szCs w:val="24"/>
          <w:lang w:val="hy-AM"/>
        </w:rPr>
        <w:t>ի ընդունումից ի վեր տ</w:t>
      </w:r>
      <w:r w:rsidR="00431D28" w:rsidRPr="00431D28">
        <w:rPr>
          <w:rFonts w:ascii="GHEA Grapalat" w:eastAsia="Times New Roman" w:hAnsi="GHEA Grapalat" w:cs="GHEA Grapalat"/>
          <w:sz w:val="24"/>
          <w:szCs w:val="24"/>
          <w:lang w:val="hy-AM"/>
        </w:rPr>
        <w:t>իեզերական գործունեության լիցենզիա ստացել է միայն մեկ կազմակերպություն,</w:t>
      </w:r>
      <w:r w:rsidR="00431D28">
        <w:rPr>
          <w:rFonts w:ascii="GHEA Grapalat" w:eastAsia="Times New Roman" w:hAnsi="GHEA Grapalat" w:cs="GHEA Grapalat"/>
          <w:sz w:val="24"/>
          <w:szCs w:val="24"/>
          <w:lang w:val="hy-AM"/>
        </w:rPr>
        <w:t xml:space="preserve"> ինչը վկայում է, որ պետական տուրքի բարձր չափ</w:t>
      </w:r>
      <w:r w:rsidR="00FA4FED" w:rsidRPr="00FA4FED">
        <w:rPr>
          <w:rFonts w:ascii="GHEA Grapalat" w:eastAsia="Times New Roman" w:hAnsi="GHEA Grapalat" w:cs="GHEA Grapalat"/>
          <w:sz w:val="24"/>
          <w:szCs w:val="24"/>
          <w:lang w:val="hy-AM"/>
        </w:rPr>
        <w:t xml:space="preserve"> (</w:t>
      </w:r>
      <w:r w:rsidR="00431D28">
        <w:rPr>
          <w:rFonts w:ascii="GHEA Grapalat" w:eastAsia="Times New Roman" w:hAnsi="GHEA Grapalat" w:cs="GHEA Grapalat"/>
          <w:sz w:val="24"/>
          <w:szCs w:val="24"/>
          <w:lang w:val="hy-AM"/>
        </w:rPr>
        <w:t>առավել ևս յուրաքանչյուր տարի վճարելու պարտավորությունը</w:t>
      </w:r>
      <w:r w:rsidR="00FA4FED" w:rsidRPr="00FA4FED">
        <w:rPr>
          <w:rFonts w:ascii="GHEA Grapalat" w:eastAsia="Times New Roman" w:hAnsi="GHEA Grapalat" w:cs="GHEA Grapalat"/>
          <w:sz w:val="24"/>
          <w:szCs w:val="24"/>
          <w:lang w:val="hy-AM"/>
        </w:rPr>
        <w:t>)</w:t>
      </w:r>
      <w:r w:rsidR="00FA4FED">
        <w:rPr>
          <w:rFonts w:ascii="GHEA Grapalat" w:eastAsia="Times New Roman" w:hAnsi="GHEA Grapalat" w:cs="GHEA Grapalat"/>
          <w:sz w:val="24"/>
          <w:szCs w:val="24"/>
          <w:lang w:val="hy-AM"/>
        </w:rPr>
        <w:t xml:space="preserve"> նախատեսել</w:t>
      </w:r>
      <w:r>
        <w:rPr>
          <w:rFonts w:ascii="GHEA Grapalat" w:eastAsia="Times New Roman" w:hAnsi="GHEA Grapalat" w:cs="GHEA Grapalat"/>
          <w:sz w:val="24"/>
          <w:szCs w:val="24"/>
          <w:lang w:val="hy-AM"/>
        </w:rPr>
        <w:t>ն,</w:t>
      </w:r>
      <w:r w:rsidR="00FA4FED">
        <w:rPr>
          <w:rFonts w:ascii="GHEA Grapalat" w:eastAsia="Times New Roman" w:hAnsi="GHEA Grapalat" w:cs="GHEA Grapalat"/>
          <w:sz w:val="24"/>
          <w:szCs w:val="24"/>
          <w:lang w:val="hy-AM"/>
        </w:rPr>
        <w:t xml:space="preserve"> ինքնին</w:t>
      </w:r>
      <w:r>
        <w:rPr>
          <w:rFonts w:ascii="GHEA Grapalat" w:eastAsia="Times New Roman" w:hAnsi="GHEA Grapalat" w:cs="GHEA Grapalat"/>
          <w:sz w:val="24"/>
          <w:szCs w:val="24"/>
          <w:lang w:val="hy-AM"/>
        </w:rPr>
        <w:t>,</w:t>
      </w:r>
      <w:r w:rsidR="00431D28">
        <w:rPr>
          <w:rFonts w:ascii="GHEA Grapalat" w:eastAsia="Times New Roman" w:hAnsi="GHEA Grapalat" w:cs="GHEA Grapalat"/>
          <w:sz w:val="24"/>
          <w:szCs w:val="24"/>
          <w:lang w:val="hy-AM"/>
        </w:rPr>
        <w:t xml:space="preserve"> չի նպաստում ոլորտային ընկերություններին Հայաստանում գործունեության ծավալմանը: </w:t>
      </w:r>
      <w:r w:rsidR="00FA4FED">
        <w:rPr>
          <w:rFonts w:ascii="GHEA Grapalat" w:eastAsia="Times New Roman" w:hAnsi="GHEA Grapalat" w:cs="GHEA Grapalat"/>
          <w:sz w:val="24"/>
          <w:szCs w:val="24"/>
          <w:lang w:val="hy-AM"/>
        </w:rPr>
        <w:t>Օ</w:t>
      </w:r>
      <w:r w:rsidR="00431D28">
        <w:rPr>
          <w:rFonts w:ascii="GHEA Grapalat" w:eastAsia="Times New Roman" w:hAnsi="GHEA Grapalat" w:cs="GHEA Grapalat"/>
          <w:sz w:val="24"/>
          <w:szCs w:val="24"/>
          <w:lang w:val="hy-AM"/>
        </w:rPr>
        <w:t xml:space="preserve">րենսդրական նման կարգավորումները չեն </w:t>
      </w:r>
      <w:r w:rsidR="00FA4FED">
        <w:rPr>
          <w:rFonts w:ascii="GHEA Grapalat" w:eastAsia="Times New Roman" w:hAnsi="GHEA Grapalat" w:cs="GHEA Grapalat"/>
          <w:sz w:val="24"/>
          <w:szCs w:val="24"/>
          <w:lang w:val="hy-AM"/>
        </w:rPr>
        <w:t>բխում նաև</w:t>
      </w:r>
      <w:r w:rsidR="00431D28">
        <w:rPr>
          <w:rFonts w:ascii="GHEA Grapalat" w:eastAsia="Times New Roman" w:hAnsi="GHEA Grapalat" w:cs="GHEA Grapalat"/>
          <w:sz w:val="24"/>
          <w:szCs w:val="24"/>
          <w:lang w:val="hy-AM"/>
        </w:rPr>
        <w:t xml:space="preserve"> տիեզերական գործունեության ոլորտում պետության կողմից վարվող քաղաքականությ</w:t>
      </w:r>
      <w:r w:rsidR="00FA4FED">
        <w:rPr>
          <w:rFonts w:ascii="GHEA Grapalat" w:eastAsia="Times New Roman" w:hAnsi="GHEA Grapalat" w:cs="GHEA Grapalat"/>
          <w:sz w:val="24"/>
          <w:szCs w:val="24"/>
          <w:lang w:val="hy-AM"/>
        </w:rPr>
        <w:t>ունից</w:t>
      </w:r>
      <w:r w:rsidR="00431D28">
        <w:rPr>
          <w:rFonts w:ascii="GHEA Grapalat" w:eastAsia="Times New Roman" w:hAnsi="GHEA Grapalat" w:cs="GHEA Grapalat"/>
          <w:sz w:val="24"/>
          <w:szCs w:val="24"/>
          <w:lang w:val="hy-AM"/>
        </w:rPr>
        <w:t xml:space="preserve">, որի համաձայն՝ պետությունը </w:t>
      </w:r>
      <w:r w:rsidR="00FA4FED">
        <w:rPr>
          <w:rFonts w:ascii="GHEA Grapalat" w:eastAsia="Times New Roman" w:hAnsi="GHEA Grapalat" w:cs="GHEA Grapalat"/>
          <w:sz w:val="24"/>
          <w:szCs w:val="24"/>
          <w:lang w:val="hy-AM"/>
        </w:rPr>
        <w:t xml:space="preserve">պետք է սկսնակ կազմակերպություններին աջակցի տիեզերական ոլորտում գործունեություն ծավալելու համար: </w:t>
      </w:r>
    </w:p>
    <w:p w14:paraId="53CDE624" w14:textId="07C46139" w:rsidR="00B63794" w:rsidRDefault="00971658" w:rsidP="00224FE5">
      <w:pPr>
        <w:shd w:val="clear" w:color="auto" w:fill="FFFFFF"/>
        <w:spacing w:after="0" w:line="360" w:lineRule="auto"/>
        <w:ind w:firstLine="360"/>
        <w:jc w:val="both"/>
        <w:textAlignment w:val="baseline"/>
        <w:rPr>
          <w:rFonts w:ascii="GHEA Grapalat" w:eastAsia="Times New Roman" w:hAnsi="GHEA Grapalat" w:cs="GHEA Grapalat"/>
          <w:b/>
          <w:sz w:val="24"/>
          <w:szCs w:val="24"/>
          <w:lang w:val="hy-AM"/>
        </w:rPr>
      </w:pPr>
      <w:r w:rsidRPr="00971658">
        <w:rPr>
          <w:rFonts w:ascii="GHEA Grapalat" w:eastAsia="Times New Roman" w:hAnsi="GHEA Grapalat" w:cs="GHEA Grapalat"/>
          <w:b/>
          <w:bCs/>
          <w:sz w:val="24"/>
          <w:szCs w:val="24"/>
          <w:lang w:val="hy-AM"/>
        </w:rPr>
        <w:t>2.</w:t>
      </w:r>
      <w:r w:rsidR="00B63794" w:rsidRPr="00224FE5">
        <w:rPr>
          <w:rFonts w:ascii="GHEA Grapalat" w:eastAsia="Times New Roman" w:hAnsi="GHEA Grapalat" w:cs="GHEA Grapalat"/>
          <w:b/>
          <w:sz w:val="24"/>
          <w:szCs w:val="24"/>
          <w:lang w:val="hy-AM"/>
        </w:rPr>
        <w:t>Առաջարկվող կարգավորման բնույթը.</w:t>
      </w:r>
    </w:p>
    <w:p w14:paraId="0A48A8B8" w14:textId="77777777" w:rsidR="00224FE5" w:rsidRPr="00224FE5" w:rsidRDefault="00224FE5" w:rsidP="00224FE5">
      <w:pPr>
        <w:shd w:val="clear" w:color="auto" w:fill="FFFFFF"/>
        <w:spacing w:after="0" w:line="360" w:lineRule="auto"/>
        <w:ind w:firstLine="360"/>
        <w:jc w:val="both"/>
        <w:textAlignment w:val="baseline"/>
        <w:rPr>
          <w:rFonts w:ascii="GHEA Grapalat" w:eastAsia="Times New Roman" w:hAnsi="GHEA Grapalat" w:cs="GHEA Grapalat"/>
          <w:bCs/>
          <w:sz w:val="24"/>
          <w:szCs w:val="24"/>
          <w:lang w:val="hy-AM"/>
        </w:rPr>
      </w:pPr>
      <w:r w:rsidRPr="00224FE5">
        <w:rPr>
          <w:rFonts w:ascii="GHEA Grapalat" w:eastAsia="Times New Roman" w:hAnsi="GHEA Grapalat" w:cs="GHEA Grapalat"/>
          <w:bCs/>
          <w:sz w:val="24"/>
          <w:szCs w:val="24"/>
          <w:lang w:val="hy-AM"/>
        </w:rPr>
        <w:t xml:space="preserve">Նախագծով առաջարկվող պետական տուրքի բազային չափի նվազեցումը կնպաստի սահմանափակ ռեսուրսներ ունեցող սկսնակ կազմակերպություններին գործունեություն ծավալելու նշված ոլորտում՝ դրանով զարկ տալով երկրում նորարարական գաղափարներին, ծրագրերին, իսկ տիեզերական ոլորտում տեխնիկական ռեսուրսներ ունեցող  սուբյեկտները կներգրավվեն նաև երկրում տիեզերական գիտության զարգացմանը: </w:t>
      </w:r>
    </w:p>
    <w:p w14:paraId="15FA306D" w14:textId="34ABA34B" w:rsidR="008250D6" w:rsidRDefault="00784EFB" w:rsidP="00DC3695">
      <w:pPr>
        <w:spacing w:after="0" w:line="360" w:lineRule="auto"/>
        <w:ind w:firstLine="360"/>
        <w:jc w:val="both"/>
        <w:rPr>
          <w:rFonts w:ascii="GHEA Grapalat" w:hAnsi="GHEA Grapalat"/>
          <w:color w:val="000000"/>
          <w:sz w:val="24"/>
          <w:szCs w:val="24"/>
          <w:lang w:val="hy-AM"/>
        </w:rPr>
      </w:pPr>
      <w:r>
        <w:rPr>
          <w:rFonts w:ascii="GHEA Grapalat" w:hAnsi="GHEA Grapalat"/>
          <w:color w:val="000000"/>
          <w:sz w:val="24"/>
          <w:szCs w:val="24"/>
          <w:lang w:val="hy-AM"/>
        </w:rPr>
        <w:t xml:space="preserve">Բացի վերոնշյալից </w:t>
      </w:r>
      <w:r w:rsidR="008250D6" w:rsidRPr="008250D6">
        <w:rPr>
          <w:rFonts w:ascii="GHEA Grapalat" w:hAnsi="GHEA Grapalat"/>
          <w:color w:val="000000"/>
          <w:sz w:val="24"/>
          <w:szCs w:val="24"/>
          <w:lang w:val="hy-AM"/>
        </w:rPr>
        <w:t>««Տիեզերական գործունեության մասին» օրենքում լրացումներ կատարելու</w:t>
      </w:r>
      <w:r w:rsidR="008250D6">
        <w:rPr>
          <w:rFonts w:ascii="GHEA Grapalat" w:hAnsi="GHEA Grapalat"/>
          <w:color w:val="000000"/>
          <w:sz w:val="24"/>
          <w:szCs w:val="24"/>
          <w:lang w:val="hy-AM"/>
        </w:rPr>
        <w:t xml:space="preserve"> մասին</w:t>
      </w:r>
      <w:r w:rsidR="008250D6" w:rsidRPr="008250D6">
        <w:rPr>
          <w:rFonts w:ascii="GHEA Grapalat" w:hAnsi="GHEA Grapalat"/>
          <w:color w:val="000000"/>
          <w:sz w:val="24"/>
          <w:szCs w:val="24"/>
          <w:lang w:val="hy-AM"/>
        </w:rPr>
        <w:t>»</w:t>
      </w:r>
      <w:r w:rsidR="008250D6">
        <w:rPr>
          <w:rFonts w:ascii="GHEA Grapalat" w:hAnsi="GHEA Grapalat"/>
          <w:color w:val="000000"/>
          <w:sz w:val="24"/>
          <w:szCs w:val="24"/>
          <w:lang w:val="hy-AM"/>
        </w:rPr>
        <w:t xml:space="preserve"> օրենքի նախագծով  նախատեսված է լրացում կատարել նաև տիեզերական գործունեության ոլորտում լիազոր մարմնի իրավասությունները սահմանող հոդվածում, մասնավորապես  նույն օրենքի 7-րդ կետի 1-ին մասի 1-ին կետում լրացվում է նոր ենթակետ, համաձայն որի՝ շահագործողի կողմից լիազոր մարմնին ներկայացված հայտարարության հիման վրա, անհրաժեշտության դեպքում, լիազոր մարմինը </w:t>
      </w:r>
      <w:r w:rsidR="006F58EB">
        <w:rPr>
          <w:rFonts w:ascii="GHEA Grapalat" w:hAnsi="GHEA Grapalat"/>
          <w:color w:val="000000"/>
          <w:sz w:val="24"/>
          <w:szCs w:val="24"/>
          <w:lang w:val="hy-AM"/>
        </w:rPr>
        <w:t>կ</w:t>
      </w:r>
      <w:r w:rsidR="008250D6">
        <w:rPr>
          <w:rFonts w:ascii="GHEA Grapalat" w:hAnsi="GHEA Grapalat"/>
          <w:color w:val="000000"/>
          <w:sz w:val="24"/>
          <w:szCs w:val="24"/>
          <w:lang w:val="hy-AM"/>
        </w:rPr>
        <w:t xml:space="preserve">տրամադրի շահագործողի կողմից տիեզերական տեխնիկայի օգտագործման հանգամանքը հավաստող փաստաթուղթ: Նշվածը պայմանավորված է այն հանգամանքով, որ </w:t>
      </w:r>
      <w:r w:rsidR="00DC3695">
        <w:rPr>
          <w:rFonts w:ascii="GHEA Grapalat" w:hAnsi="GHEA Grapalat"/>
          <w:color w:val="000000"/>
          <w:sz w:val="24"/>
          <w:szCs w:val="24"/>
          <w:lang w:val="hy-AM"/>
        </w:rPr>
        <w:t xml:space="preserve">տիեզերական օբյեկտի արձակման, շահագործման կամ գործունեության իրականացմանն առնչվող այլ դեպքերում </w:t>
      </w:r>
      <w:r w:rsidR="008250D6">
        <w:rPr>
          <w:rFonts w:ascii="GHEA Grapalat" w:hAnsi="GHEA Grapalat"/>
          <w:color w:val="000000"/>
          <w:sz w:val="24"/>
          <w:szCs w:val="24"/>
          <w:lang w:val="hy-AM"/>
        </w:rPr>
        <w:t>տիեզերական գործունեություն իրականացնող անձ</w:t>
      </w:r>
      <w:r w:rsidR="00DC3695">
        <w:rPr>
          <w:rFonts w:ascii="GHEA Grapalat" w:hAnsi="GHEA Grapalat"/>
          <w:color w:val="000000"/>
          <w:sz w:val="24"/>
          <w:szCs w:val="24"/>
          <w:lang w:val="hy-AM"/>
        </w:rPr>
        <w:t>ին երբեմն</w:t>
      </w:r>
      <w:r w:rsidR="008250D6">
        <w:rPr>
          <w:rFonts w:ascii="GHEA Grapalat" w:hAnsi="GHEA Grapalat"/>
          <w:color w:val="000000"/>
          <w:sz w:val="24"/>
          <w:szCs w:val="24"/>
          <w:lang w:val="hy-AM"/>
        </w:rPr>
        <w:t xml:space="preserve"> </w:t>
      </w:r>
      <w:r w:rsidR="006F58EB">
        <w:rPr>
          <w:rFonts w:ascii="GHEA Grapalat" w:hAnsi="GHEA Grapalat"/>
          <w:color w:val="000000"/>
          <w:sz w:val="24"/>
          <w:szCs w:val="24"/>
          <w:lang w:val="hy-AM"/>
        </w:rPr>
        <w:t>անհրաժեշտ է լինում</w:t>
      </w:r>
      <w:r w:rsidR="00DC3695">
        <w:rPr>
          <w:rFonts w:ascii="GHEA Grapalat" w:hAnsi="GHEA Grapalat"/>
          <w:color w:val="000000"/>
          <w:sz w:val="24"/>
          <w:szCs w:val="24"/>
          <w:lang w:val="hy-AM"/>
        </w:rPr>
        <w:t xml:space="preserve"> լիցենզավորված գործունեությունից բխող որոշ փաստաթղթեր և լիազոր մարմինը հնարավորություն չի ունենում այն տրամադրելու: </w:t>
      </w:r>
    </w:p>
    <w:p w14:paraId="6CD0512E" w14:textId="175E566B" w:rsidR="00B63794" w:rsidRPr="00C938AD" w:rsidRDefault="00224FE5" w:rsidP="00DC3695">
      <w:pPr>
        <w:shd w:val="clear" w:color="auto" w:fill="FFFFFF"/>
        <w:spacing w:after="0" w:line="360" w:lineRule="auto"/>
        <w:ind w:firstLine="360"/>
        <w:jc w:val="both"/>
        <w:textAlignment w:val="baseline"/>
        <w:rPr>
          <w:rFonts w:ascii="GHEA Grapalat" w:eastAsia="Times New Roman" w:hAnsi="GHEA Grapalat" w:cs="GHEA Grapalat"/>
          <w:sz w:val="24"/>
          <w:szCs w:val="24"/>
          <w:lang w:val="hy-AM"/>
        </w:rPr>
      </w:pPr>
      <w:r>
        <w:rPr>
          <w:rFonts w:ascii="GHEA Grapalat" w:eastAsia="Times New Roman" w:hAnsi="GHEA Grapalat" w:cs="GHEA Grapalat"/>
          <w:b/>
          <w:sz w:val="24"/>
          <w:szCs w:val="24"/>
          <w:lang w:val="hy-AM"/>
        </w:rPr>
        <w:lastRenderedPageBreak/>
        <w:t>3</w:t>
      </w:r>
      <w:r w:rsidR="00B63794" w:rsidRPr="00C938AD">
        <w:rPr>
          <w:rFonts w:ascii="GHEA Grapalat" w:eastAsia="Times New Roman" w:hAnsi="GHEA Grapalat" w:cs="GHEA Grapalat"/>
          <w:b/>
          <w:sz w:val="24"/>
          <w:szCs w:val="24"/>
          <w:lang w:val="hy-AM"/>
        </w:rPr>
        <w:t>.</w:t>
      </w:r>
      <w:r w:rsidR="00B63794" w:rsidRPr="00C938AD">
        <w:rPr>
          <w:rFonts w:ascii="Calibri" w:eastAsia="Times New Roman" w:hAnsi="Calibri" w:cs="Calibri"/>
          <w:b/>
          <w:sz w:val="24"/>
          <w:szCs w:val="24"/>
          <w:lang w:val="hy-AM"/>
        </w:rPr>
        <w:t> </w:t>
      </w:r>
      <w:r w:rsidR="00B63794" w:rsidRPr="00C938AD">
        <w:rPr>
          <w:rFonts w:ascii="GHEA Grapalat" w:eastAsia="Times New Roman" w:hAnsi="GHEA Grapalat" w:cs="GHEA Grapalat"/>
          <w:b/>
          <w:sz w:val="24"/>
          <w:szCs w:val="24"/>
          <w:lang w:val="hy-AM"/>
        </w:rPr>
        <w:t>Նախագծ</w:t>
      </w:r>
      <w:r w:rsidR="00CD655C">
        <w:rPr>
          <w:rFonts w:ascii="GHEA Grapalat" w:eastAsia="Times New Roman" w:hAnsi="GHEA Grapalat" w:cs="GHEA Grapalat"/>
          <w:b/>
          <w:sz w:val="24"/>
          <w:szCs w:val="24"/>
          <w:lang w:val="hy-AM"/>
        </w:rPr>
        <w:t>երի</w:t>
      </w:r>
      <w:r w:rsidR="00B63794" w:rsidRPr="00C938AD">
        <w:rPr>
          <w:rFonts w:ascii="Calibri" w:eastAsia="Times New Roman" w:hAnsi="Calibri" w:cs="Calibri"/>
          <w:b/>
          <w:sz w:val="24"/>
          <w:szCs w:val="24"/>
          <w:lang w:val="hy-AM"/>
        </w:rPr>
        <w:t> </w:t>
      </w:r>
      <w:r w:rsidR="00B63794" w:rsidRPr="00C938AD">
        <w:rPr>
          <w:rFonts w:ascii="GHEA Grapalat" w:eastAsia="Times New Roman" w:hAnsi="GHEA Grapalat" w:cs="GHEA Grapalat"/>
          <w:b/>
          <w:sz w:val="24"/>
          <w:szCs w:val="24"/>
          <w:lang w:val="hy-AM"/>
        </w:rPr>
        <w:t>մշակման</w:t>
      </w:r>
      <w:r w:rsidR="00B63794" w:rsidRPr="00C938AD">
        <w:rPr>
          <w:rFonts w:ascii="Calibri" w:eastAsia="Times New Roman" w:hAnsi="Calibri" w:cs="Calibri"/>
          <w:b/>
          <w:sz w:val="24"/>
          <w:szCs w:val="24"/>
          <w:lang w:val="hy-AM"/>
        </w:rPr>
        <w:t> </w:t>
      </w:r>
      <w:r w:rsidR="00B63794" w:rsidRPr="00C938AD">
        <w:rPr>
          <w:rFonts w:ascii="GHEA Grapalat" w:eastAsia="Times New Roman" w:hAnsi="GHEA Grapalat" w:cs="GHEA Grapalat"/>
          <w:b/>
          <w:sz w:val="24"/>
          <w:szCs w:val="24"/>
          <w:lang w:val="hy-AM"/>
        </w:rPr>
        <w:t>գործընթացում</w:t>
      </w:r>
      <w:r w:rsidR="00B63794" w:rsidRPr="00C938AD">
        <w:rPr>
          <w:rFonts w:ascii="Calibri" w:eastAsia="Times New Roman" w:hAnsi="Calibri" w:cs="Calibri"/>
          <w:b/>
          <w:sz w:val="24"/>
          <w:szCs w:val="24"/>
          <w:lang w:val="hy-AM"/>
        </w:rPr>
        <w:t> </w:t>
      </w:r>
      <w:r w:rsidR="00B63794" w:rsidRPr="00C938AD">
        <w:rPr>
          <w:rFonts w:ascii="GHEA Grapalat" w:eastAsia="Times New Roman" w:hAnsi="GHEA Grapalat" w:cs="GHEA Grapalat"/>
          <w:b/>
          <w:sz w:val="24"/>
          <w:szCs w:val="24"/>
          <w:lang w:val="hy-AM"/>
        </w:rPr>
        <w:t>ներգրավված</w:t>
      </w:r>
      <w:r w:rsidR="00B63794" w:rsidRPr="00C938AD">
        <w:rPr>
          <w:rFonts w:ascii="Calibri" w:eastAsia="Times New Roman" w:hAnsi="Calibri" w:cs="Calibri"/>
          <w:b/>
          <w:sz w:val="24"/>
          <w:szCs w:val="24"/>
          <w:lang w:val="hy-AM"/>
        </w:rPr>
        <w:t> </w:t>
      </w:r>
      <w:r w:rsidR="00B63794" w:rsidRPr="00C938AD">
        <w:rPr>
          <w:rFonts w:ascii="GHEA Grapalat" w:eastAsia="Times New Roman" w:hAnsi="GHEA Grapalat" w:cs="GHEA Grapalat"/>
          <w:b/>
          <w:sz w:val="24"/>
          <w:szCs w:val="24"/>
          <w:lang w:val="hy-AM"/>
        </w:rPr>
        <w:t>ինստիտուտները</w:t>
      </w:r>
      <w:r w:rsidR="00B63794" w:rsidRPr="00C938AD">
        <w:rPr>
          <w:rFonts w:ascii="Calibri" w:eastAsia="Times New Roman" w:hAnsi="Calibri" w:cs="Calibri"/>
          <w:b/>
          <w:sz w:val="24"/>
          <w:szCs w:val="24"/>
          <w:lang w:val="hy-AM"/>
        </w:rPr>
        <w:t> </w:t>
      </w:r>
      <w:r w:rsidR="00B63794" w:rsidRPr="00C938AD">
        <w:rPr>
          <w:rFonts w:ascii="GHEA Grapalat" w:eastAsia="Times New Roman" w:hAnsi="GHEA Grapalat" w:cs="GHEA Grapalat"/>
          <w:b/>
          <w:sz w:val="24"/>
          <w:szCs w:val="24"/>
          <w:lang w:val="hy-AM"/>
        </w:rPr>
        <w:t>և</w:t>
      </w:r>
      <w:r w:rsidR="00B63794" w:rsidRPr="00C938AD">
        <w:rPr>
          <w:rFonts w:ascii="Calibri" w:eastAsia="Times New Roman" w:hAnsi="Calibri" w:cs="Calibri"/>
          <w:b/>
          <w:sz w:val="24"/>
          <w:szCs w:val="24"/>
          <w:lang w:val="hy-AM"/>
        </w:rPr>
        <w:t> </w:t>
      </w:r>
      <w:r w:rsidR="00B63794" w:rsidRPr="00C938AD">
        <w:rPr>
          <w:rFonts w:ascii="GHEA Grapalat" w:eastAsia="Times New Roman" w:hAnsi="GHEA Grapalat" w:cs="GHEA Grapalat"/>
          <w:b/>
          <w:sz w:val="24"/>
          <w:szCs w:val="24"/>
          <w:lang w:val="hy-AM"/>
        </w:rPr>
        <w:t>անձիք</w:t>
      </w:r>
      <w:r w:rsidR="00DC3695">
        <w:rPr>
          <w:rFonts w:ascii="GHEA Grapalat" w:eastAsia="Times New Roman" w:hAnsi="GHEA Grapalat" w:cs="GHEA Grapalat"/>
          <w:b/>
          <w:sz w:val="24"/>
          <w:szCs w:val="24"/>
          <w:lang w:val="hy-AM"/>
        </w:rPr>
        <w:t>.</w:t>
      </w:r>
      <w:r w:rsidR="0067720D">
        <w:rPr>
          <w:rFonts w:ascii="GHEA Grapalat" w:eastAsia="Times New Roman" w:hAnsi="GHEA Grapalat" w:cs="GHEA Grapalat"/>
          <w:b/>
          <w:sz w:val="24"/>
          <w:szCs w:val="24"/>
          <w:lang w:val="hy-AM"/>
        </w:rPr>
        <w:t xml:space="preserve">    </w:t>
      </w:r>
      <w:r w:rsidR="00DC3695">
        <w:rPr>
          <w:rFonts w:ascii="GHEA Grapalat" w:eastAsia="Times New Roman" w:hAnsi="GHEA Grapalat" w:cs="GHEA Grapalat"/>
          <w:b/>
          <w:sz w:val="24"/>
          <w:szCs w:val="24"/>
          <w:lang w:val="hy-AM"/>
        </w:rPr>
        <w:t xml:space="preserve"> </w:t>
      </w:r>
      <w:r w:rsidR="00B63794" w:rsidRPr="00C938AD">
        <w:rPr>
          <w:rFonts w:ascii="GHEA Grapalat" w:eastAsia="Times New Roman" w:hAnsi="GHEA Grapalat" w:cs="GHEA Grapalat"/>
          <w:sz w:val="24"/>
          <w:szCs w:val="24"/>
          <w:lang w:val="hy-AM"/>
        </w:rPr>
        <w:t>Նա</w:t>
      </w:r>
      <w:r w:rsidR="00B63794" w:rsidRPr="00C938AD">
        <w:rPr>
          <w:rFonts w:ascii="GHEA Grapalat" w:eastAsia="Times New Roman" w:hAnsi="GHEA Grapalat" w:cs="GHEA Grapalat"/>
          <w:sz w:val="24"/>
          <w:szCs w:val="24"/>
          <w:lang w:val="hy-AM"/>
        </w:rPr>
        <w:softHyphen/>
      </w:r>
      <w:r w:rsidR="00B63794" w:rsidRPr="00C938AD">
        <w:rPr>
          <w:rFonts w:ascii="GHEA Grapalat" w:eastAsia="Times New Roman" w:hAnsi="GHEA Grapalat" w:cs="GHEA Grapalat"/>
          <w:sz w:val="24"/>
          <w:szCs w:val="24"/>
          <w:lang w:val="hy-AM"/>
        </w:rPr>
        <w:softHyphen/>
        <w:t>խագիծը մշակվել է ՀՀ բարձր տեխնոլոգիական արդյունաբերության նախարարության կողմից:</w:t>
      </w:r>
    </w:p>
    <w:p w14:paraId="0EC74688" w14:textId="60BA343D" w:rsidR="007A6B20" w:rsidRPr="00C938AD" w:rsidRDefault="00224FE5" w:rsidP="00DC3695">
      <w:pPr>
        <w:shd w:val="clear" w:color="auto" w:fill="FFFFFF"/>
        <w:spacing w:after="0" w:line="360" w:lineRule="auto"/>
        <w:ind w:firstLine="360"/>
        <w:jc w:val="both"/>
        <w:textAlignment w:val="baseline"/>
        <w:rPr>
          <w:rFonts w:ascii="Calibri" w:eastAsia="Times New Roman" w:hAnsi="Calibri" w:cs="Calibri"/>
          <w:b/>
          <w:sz w:val="24"/>
          <w:szCs w:val="24"/>
          <w:lang w:val="hy-AM"/>
        </w:rPr>
      </w:pPr>
      <w:r>
        <w:rPr>
          <w:rFonts w:ascii="GHEA Grapalat" w:eastAsia="Times New Roman" w:hAnsi="GHEA Grapalat" w:cs="GHEA Grapalat"/>
          <w:b/>
          <w:sz w:val="24"/>
          <w:szCs w:val="24"/>
          <w:lang w:val="hy-AM"/>
        </w:rPr>
        <w:t>4</w:t>
      </w:r>
      <w:r w:rsidR="00B63794" w:rsidRPr="00C938AD">
        <w:rPr>
          <w:rFonts w:ascii="GHEA Grapalat" w:eastAsia="Times New Roman" w:hAnsi="GHEA Grapalat" w:cs="GHEA Grapalat"/>
          <w:b/>
          <w:sz w:val="24"/>
          <w:szCs w:val="24"/>
          <w:lang w:val="hy-AM"/>
        </w:rPr>
        <w:t>.</w:t>
      </w:r>
      <w:r w:rsidR="00B63794" w:rsidRPr="00C938AD">
        <w:rPr>
          <w:rFonts w:ascii="Calibri" w:eastAsia="Times New Roman" w:hAnsi="Calibri" w:cs="Calibri"/>
          <w:b/>
          <w:sz w:val="24"/>
          <w:szCs w:val="24"/>
          <w:lang w:val="hy-AM"/>
        </w:rPr>
        <w:t> </w:t>
      </w:r>
      <w:r w:rsidR="00B63794" w:rsidRPr="00C938AD">
        <w:rPr>
          <w:rFonts w:ascii="GHEA Grapalat" w:eastAsia="Times New Roman" w:hAnsi="GHEA Grapalat" w:cs="GHEA Grapalat"/>
          <w:b/>
          <w:sz w:val="24"/>
          <w:szCs w:val="24"/>
          <w:lang w:val="hy-AM"/>
        </w:rPr>
        <w:t>Իրավական</w:t>
      </w:r>
      <w:r w:rsidR="00B63794" w:rsidRPr="00C938AD">
        <w:rPr>
          <w:rFonts w:ascii="Calibri" w:eastAsia="Times New Roman" w:hAnsi="Calibri" w:cs="Calibri"/>
          <w:b/>
          <w:sz w:val="24"/>
          <w:szCs w:val="24"/>
          <w:lang w:val="hy-AM"/>
        </w:rPr>
        <w:t> </w:t>
      </w:r>
      <w:r w:rsidR="00B63794" w:rsidRPr="00C938AD">
        <w:rPr>
          <w:rFonts w:ascii="GHEA Grapalat" w:eastAsia="Times New Roman" w:hAnsi="GHEA Grapalat" w:cs="GHEA Grapalat"/>
          <w:b/>
          <w:sz w:val="24"/>
          <w:szCs w:val="24"/>
          <w:lang w:val="hy-AM"/>
        </w:rPr>
        <w:t>ակտի</w:t>
      </w:r>
      <w:r w:rsidR="00B63794" w:rsidRPr="00C938AD">
        <w:rPr>
          <w:rFonts w:ascii="Calibri" w:eastAsia="Times New Roman" w:hAnsi="Calibri" w:cs="Calibri"/>
          <w:b/>
          <w:sz w:val="24"/>
          <w:szCs w:val="24"/>
          <w:lang w:val="hy-AM"/>
        </w:rPr>
        <w:t> </w:t>
      </w:r>
      <w:r w:rsidR="002D43CB">
        <w:rPr>
          <w:rFonts w:ascii="GHEA Grapalat" w:eastAsia="Times New Roman" w:hAnsi="GHEA Grapalat" w:cs="GHEA Grapalat"/>
          <w:b/>
          <w:sz w:val="24"/>
          <w:szCs w:val="24"/>
          <w:lang w:val="hy-AM"/>
        </w:rPr>
        <w:t xml:space="preserve">ընդունման </w:t>
      </w:r>
      <w:r w:rsidR="00B63794" w:rsidRPr="00C938AD">
        <w:rPr>
          <w:rFonts w:ascii="GHEA Grapalat" w:eastAsia="Times New Roman" w:hAnsi="GHEA Grapalat" w:cs="GHEA Grapalat"/>
          <w:b/>
          <w:sz w:val="24"/>
          <w:szCs w:val="24"/>
          <w:lang w:val="hy-AM"/>
        </w:rPr>
        <w:t>դեպքում</w:t>
      </w:r>
      <w:r w:rsidR="00B63794" w:rsidRPr="00C938AD">
        <w:rPr>
          <w:rFonts w:ascii="Calibri" w:eastAsia="Times New Roman" w:hAnsi="Calibri" w:cs="Calibri"/>
          <w:b/>
          <w:sz w:val="24"/>
          <w:szCs w:val="24"/>
          <w:lang w:val="hy-AM"/>
        </w:rPr>
        <w:t> </w:t>
      </w:r>
      <w:r w:rsidR="00B63794" w:rsidRPr="00C938AD">
        <w:rPr>
          <w:rFonts w:ascii="GHEA Grapalat" w:eastAsia="Times New Roman" w:hAnsi="GHEA Grapalat" w:cs="GHEA Grapalat"/>
          <w:b/>
          <w:sz w:val="24"/>
          <w:szCs w:val="24"/>
          <w:lang w:val="hy-AM"/>
        </w:rPr>
        <w:t>ակնկալվող</w:t>
      </w:r>
      <w:r w:rsidR="00B63794" w:rsidRPr="00C938AD">
        <w:rPr>
          <w:rFonts w:ascii="Calibri" w:eastAsia="Times New Roman" w:hAnsi="Calibri" w:cs="Calibri"/>
          <w:b/>
          <w:sz w:val="24"/>
          <w:szCs w:val="24"/>
          <w:lang w:val="hy-AM"/>
        </w:rPr>
        <w:t> </w:t>
      </w:r>
      <w:r w:rsidR="00B63794" w:rsidRPr="00C938AD">
        <w:rPr>
          <w:rFonts w:ascii="GHEA Grapalat" w:eastAsia="Times New Roman" w:hAnsi="GHEA Grapalat" w:cs="GHEA Grapalat"/>
          <w:b/>
          <w:sz w:val="24"/>
          <w:szCs w:val="24"/>
          <w:lang w:val="hy-AM"/>
        </w:rPr>
        <w:t>արդյունքը.</w:t>
      </w:r>
      <w:r w:rsidR="00B63794" w:rsidRPr="00C938AD">
        <w:rPr>
          <w:rFonts w:ascii="Calibri" w:eastAsia="Times New Roman" w:hAnsi="Calibri" w:cs="Calibri"/>
          <w:b/>
          <w:sz w:val="24"/>
          <w:szCs w:val="24"/>
          <w:lang w:val="hy-AM"/>
        </w:rPr>
        <w:t> </w:t>
      </w:r>
    </w:p>
    <w:p w14:paraId="51073884" w14:textId="2176ED9E" w:rsidR="007A6B20" w:rsidRDefault="00B63794" w:rsidP="00DC3695">
      <w:pPr>
        <w:shd w:val="clear" w:color="auto" w:fill="FFFFFF"/>
        <w:spacing w:after="0" w:line="360" w:lineRule="auto"/>
        <w:ind w:firstLine="360"/>
        <w:jc w:val="both"/>
        <w:textAlignment w:val="baseline"/>
        <w:rPr>
          <w:rFonts w:ascii="GHEA Grapalat" w:eastAsia="Times New Roman" w:hAnsi="GHEA Grapalat" w:cs="GHEA Grapalat"/>
          <w:sz w:val="24"/>
          <w:szCs w:val="24"/>
          <w:lang w:val="hy-AM"/>
        </w:rPr>
      </w:pPr>
      <w:r w:rsidRPr="00C938AD">
        <w:rPr>
          <w:rFonts w:ascii="GHEA Grapalat" w:eastAsia="Times New Roman" w:hAnsi="GHEA Grapalat" w:cs="GHEA Grapalat"/>
          <w:sz w:val="24"/>
          <w:szCs w:val="24"/>
          <w:lang w:val="hy-AM"/>
        </w:rPr>
        <w:t>Իրավական ակտի ընդունման արդյունքում</w:t>
      </w:r>
      <w:r w:rsidR="00224FE5">
        <w:rPr>
          <w:rFonts w:ascii="GHEA Grapalat" w:eastAsia="Times New Roman" w:hAnsi="GHEA Grapalat" w:cs="GHEA Grapalat"/>
          <w:sz w:val="24"/>
          <w:szCs w:val="24"/>
          <w:lang w:val="hy-AM"/>
        </w:rPr>
        <w:t xml:space="preserve"> նպաստավոր պայմաններ կստեղծվեն</w:t>
      </w:r>
      <w:r w:rsidRPr="00C938AD">
        <w:rPr>
          <w:rFonts w:ascii="GHEA Grapalat" w:eastAsia="Times New Roman" w:hAnsi="GHEA Grapalat" w:cs="GHEA Grapalat"/>
          <w:sz w:val="24"/>
          <w:szCs w:val="24"/>
          <w:lang w:val="hy-AM"/>
        </w:rPr>
        <w:t xml:space="preserve"> </w:t>
      </w:r>
      <w:r w:rsidR="00803ECA" w:rsidRPr="00C938AD">
        <w:rPr>
          <w:rFonts w:ascii="GHEA Grapalat" w:eastAsia="Times New Roman" w:hAnsi="GHEA Grapalat" w:cs="GHEA Grapalat"/>
          <w:sz w:val="24"/>
          <w:szCs w:val="24"/>
          <w:lang w:val="hy-AM"/>
        </w:rPr>
        <w:t>տիեզերական գործունեության</w:t>
      </w:r>
      <w:r w:rsidRPr="00C938AD">
        <w:rPr>
          <w:rFonts w:ascii="GHEA Grapalat" w:eastAsia="Times New Roman" w:hAnsi="GHEA Grapalat" w:cs="GHEA Grapalat"/>
          <w:sz w:val="24"/>
          <w:szCs w:val="24"/>
          <w:lang w:val="hy-AM"/>
        </w:rPr>
        <w:t xml:space="preserve"> ոլորտում</w:t>
      </w:r>
      <w:r w:rsidR="00803ECA" w:rsidRPr="00C938AD">
        <w:rPr>
          <w:rFonts w:ascii="GHEA Grapalat" w:eastAsia="Times New Roman" w:hAnsi="GHEA Grapalat" w:cs="GHEA Grapalat"/>
          <w:sz w:val="24"/>
          <w:szCs w:val="24"/>
          <w:lang w:val="hy-AM"/>
        </w:rPr>
        <w:t xml:space="preserve"> գիտահետազոտական</w:t>
      </w:r>
      <w:r w:rsidR="007961CD" w:rsidRPr="00C938AD">
        <w:rPr>
          <w:rFonts w:ascii="GHEA Grapalat" w:eastAsia="Times New Roman" w:hAnsi="GHEA Grapalat" w:cs="GHEA Grapalat"/>
          <w:sz w:val="24"/>
          <w:szCs w:val="24"/>
          <w:lang w:val="hy-AM"/>
        </w:rPr>
        <w:t xml:space="preserve"> աշխատանքներ իրականացնող կամ նորարարական և ժամանակակից տեխնոլոգիաների ներդրման գործունեությամբ զբաղվող</w:t>
      </w:r>
      <w:r w:rsidR="00224FE5">
        <w:rPr>
          <w:rFonts w:ascii="GHEA Grapalat" w:eastAsia="Times New Roman" w:hAnsi="GHEA Grapalat" w:cs="GHEA Grapalat"/>
          <w:sz w:val="24"/>
          <w:szCs w:val="24"/>
          <w:lang w:val="hy-AM"/>
        </w:rPr>
        <w:t xml:space="preserve"> </w:t>
      </w:r>
      <w:r w:rsidR="00435D28">
        <w:rPr>
          <w:rFonts w:ascii="GHEA Grapalat" w:eastAsia="Times New Roman" w:hAnsi="GHEA Grapalat" w:cs="GHEA Grapalat"/>
          <w:sz w:val="24"/>
          <w:szCs w:val="24"/>
          <w:lang w:val="hy-AM"/>
        </w:rPr>
        <w:t xml:space="preserve"> սկսնակ կազմակերպությունների համար: </w:t>
      </w:r>
      <w:r w:rsidR="007961CD" w:rsidRPr="00C938AD">
        <w:rPr>
          <w:rFonts w:ascii="GHEA Grapalat" w:eastAsia="Times New Roman" w:hAnsi="GHEA Grapalat" w:cs="GHEA Grapalat"/>
          <w:sz w:val="24"/>
          <w:szCs w:val="24"/>
          <w:lang w:val="hy-AM"/>
        </w:rPr>
        <w:t xml:space="preserve">Նշվածն </w:t>
      </w:r>
      <w:r w:rsidRPr="00C938AD">
        <w:rPr>
          <w:rFonts w:ascii="GHEA Grapalat" w:eastAsia="Times New Roman" w:hAnsi="GHEA Grapalat" w:cs="GHEA Grapalat"/>
          <w:sz w:val="24"/>
          <w:szCs w:val="24"/>
          <w:lang w:val="hy-AM"/>
        </w:rPr>
        <w:t>էլ խթան կհանդիսանա Հայաստանի Հանրապետության տնտեսության արտադրողականության և մրցունա</w:t>
      </w:r>
      <w:r w:rsidR="00DA1444" w:rsidRPr="00C938AD">
        <w:rPr>
          <w:rFonts w:ascii="GHEA Grapalat" w:eastAsia="Times New Roman" w:hAnsi="GHEA Grapalat" w:cs="GHEA Grapalat"/>
          <w:sz w:val="24"/>
          <w:szCs w:val="24"/>
          <w:lang w:val="hy-AM"/>
        </w:rPr>
        <w:t>կության բարձրացման, գիտելիքահեն</w:t>
      </w:r>
      <w:r w:rsidRPr="00C938AD">
        <w:rPr>
          <w:rFonts w:ascii="GHEA Grapalat" w:eastAsia="Times New Roman" w:hAnsi="GHEA Grapalat" w:cs="GHEA Grapalat"/>
          <w:sz w:val="24"/>
          <w:szCs w:val="24"/>
          <w:lang w:val="hy-AM"/>
        </w:rPr>
        <w:t xml:space="preserve"> տնտեսության զա</w:t>
      </w:r>
      <w:r w:rsidR="00862CC6" w:rsidRPr="00C938AD">
        <w:rPr>
          <w:rFonts w:ascii="GHEA Grapalat" w:eastAsia="Times New Roman" w:hAnsi="GHEA Grapalat" w:cs="GHEA Grapalat"/>
          <w:sz w:val="24"/>
          <w:szCs w:val="24"/>
          <w:lang w:val="hy-AM"/>
        </w:rPr>
        <w:t>րգացման</w:t>
      </w:r>
      <w:r w:rsidRPr="00C938AD">
        <w:rPr>
          <w:rFonts w:ascii="GHEA Grapalat" w:eastAsia="Times New Roman" w:hAnsi="GHEA Grapalat" w:cs="GHEA Grapalat"/>
          <w:sz w:val="24"/>
          <w:szCs w:val="24"/>
          <w:lang w:val="hy-AM"/>
        </w:rPr>
        <w:t>, օտարերկրյա ներդրումների ներգրավման, տեղական ընկերությունների արտադրանքի</w:t>
      </w:r>
      <w:r w:rsidR="007A6B20" w:rsidRPr="00C938AD">
        <w:rPr>
          <w:rFonts w:ascii="GHEA Grapalat" w:eastAsia="Times New Roman" w:hAnsi="GHEA Grapalat" w:cs="GHEA Grapalat"/>
          <w:sz w:val="24"/>
          <w:szCs w:val="24"/>
          <w:lang w:val="hy-AM"/>
        </w:rPr>
        <w:t xml:space="preserve"> համար։</w:t>
      </w:r>
    </w:p>
    <w:p w14:paraId="0A47A2E7" w14:textId="2E9440EB" w:rsidR="00B63794" w:rsidRPr="00435D28" w:rsidRDefault="00435D28" w:rsidP="00435D28">
      <w:pPr>
        <w:shd w:val="clear" w:color="auto" w:fill="FFFFFF"/>
        <w:tabs>
          <w:tab w:val="left" w:pos="9990"/>
        </w:tabs>
        <w:spacing w:after="0" w:line="360" w:lineRule="auto"/>
        <w:ind w:firstLine="360"/>
        <w:jc w:val="both"/>
        <w:textAlignment w:val="baseline"/>
        <w:rPr>
          <w:rFonts w:ascii="GHEA Grapalat" w:eastAsia="Times New Roman" w:hAnsi="GHEA Grapalat" w:cs="GHEA Grapalat"/>
          <w:sz w:val="24"/>
          <w:szCs w:val="24"/>
          <w:lang w:val="hy-AM"/>
        </w:rPr>
      </w:pPr>
      <w:r w:rsidRPr="00435D28">
        <w:rPr>
          <w:rFonts w:ascii="GHEA Grapalat" w:eastAsia="Times New Roman" w:hAnsi="GHEA Grapalat" w:cs="GHEA Grapalat"/>
          <w:b/>
          <w:bCs/>
          <w:sz w:val="24"/>
          <w:szCs w:val="24"/>
          <w:lang w:val="hy-AM"/>
        </w:rPr>
        <w:t>5.</w:t>
      </w:r>
      <w:r w:rsidR="00B63794" w:rsidRPr="00971658">
        <w:rPr>
          <w:rFonts w:ascii="GHEA Grapalat" w:eastAsia="Times New Roman" w:hAnsi="GHEA Grapalat" w:cs="GHEA Grapalat"/>
          <w:b/>
          <w:sz w:val="24"/>
          <w:szCs w:val="24"/>
          <w:lang w:val="hy-AM"/>
        </w:rPr>
        <w:t>Իրավական</w:t>
      </w:r>
      <w:r w:rsidR="00B63794" w:rsidRPr="00971658">
        <w:rPr>
          <w:rFonts w:ascii="Calibri" w:eastAsia="Times New Roman" w:hAnsi="Calibri" w:cs="Calibri"/>
          <w:b/>
          <w:sz w:val="24"/>
          <w:szCs w:val="24"/>
          <w:lang w:val="hy-AM"/>
        </w:rPr>
        <w:t> </w:t>
      </w:r>
      <w:r w:rsidR="00B63794" w:rsidRPr="00971658">
        <w:rPr>
          <w:rFonts w:ascii="GHEA Grapalat" w:eastAsia="Times New Roman" w:hAnsi="GHEA Grapalat" w:cs="GHEA Grapalat"/>
          <w:b/>
          <w:sz w:val="24"/>
          <w:szCs w:val="24"/>
          <w:lang w:val="hy-AM"/>
        </w:rPr>
        <w:t>ակտն</w:t>
      </w:r>
      <w:r w:rsidR="00B63794" w:rsidRPr="00971658">
        <w:rPr>
          <w:rFonts w:ascii="Calibri" w:eastAsia="Times New Roman" w:hAnsi="Calibri" w:cs="Calibri"/>
          <w:b/>
          <w:sz w:val="24"/>
          <w:szCs w:val="24"/>
          <w:lang w:val="hy-AM"/>
        </w:rPr>
        <w:t> </w:t>
      </w:r>
      <w:r w:rsidR="00B63794" w:rsidRPr="00971658">
        <w:rPr>
          <w:rFonts w:ascii="GHEA Grapalat" w:eastAsia="Times New Roman" w:hAnsi="GHEA Grapalat" w:cs="GHEA Grapalat"/>
          <w:b/>
          <w:sz w:val="24"/>
          <w:szCs w:val="24"/>
          <w:lang w:val="hy-AM"/>
        </w:rPr>
        <w:t>ընդունելու</w:t>
      </w:r>
      <w:r w:rsidR="00B63794" w:rsidRPr="00971658">
        <w:rPr>
          <w:rFonts w:ascii="Calibri" w:eastAsia="Times New Roman" w:hAnsi="Calibri" w:cs="Calibri"/>
          <w:b/>
          <w:sz w:val="24"/>
          <w:szCs w:val="24"/>
          <w:lang w:val="hy-AM"/>
        </w:rPr>
        <w:t> </w:t>
      </w:r>
      <w:r w:rsidR="00B63794" w:rsidRPr="00971658">
        <w:rPr>
          <w:rFonts w:ascii="GHEA Grapalat" w:eastAsia="Times New Roman" w:hAnsi="GHEA Grapalat" w:cs="GHEA Grapalat"/>
          <w:b/>
          <w:sz w:val="24"/>
          <w:szCs w:val="24"/>
          <w:lang w:val="hy-AM"/>
        </w:rPr>
        <w:t>դեպքում</w:t>
      </w:r>
      <w:r w:rsidR="00B63794" w:rsidRPr="00971658">
        <w:rPr>
          <w:rFonts w:ascii="Calibri" w:eastAsia="Times New Roman" w:hAnsi="Calibri" w:cs="Calibri"/>
          <w:b/>
          <w:sz w:val="24"/>
          <w:szCs w:val="24"/>
          <w:lang w:val="hy-AM"/>
        </w:rPr>
        <w:t> </w:t>
      </w:r>
      <w:r w:rsidR="00B63794" w:rsidRPr="00971658">
        <w:rPr>
          <w:rFonts w:ascii="GHEA Grapalat" w:eastAsia="Times New Roman" w:hAnsi="GHEA Grapalat" w:cs="GHEA Grapalat"/>
          <w:b/>
          <w:sz w:val="24"/>
          <w:szCs w:val="24"/>
          <w:lang w:val="hy-AM"/>
        </w:rPr>
        <w:t>պետական</w:t>
      </w:r>
      <w:r w:rsidR="00B63794" w:rsidRPr="00971658">
        <w:rPr>
          <w:rFonts w:ascii="Calibri" w:eastAsia="Times New Roman" w:hAnsi="Calibri" w:cs="Calibri"/>
          <w:b/>
          <w:sz w:val="24"/>
          <w:szCs w:val="24"/>
          <w:lang w:val="hy-AM"/>
        </w:rPr>
        <w:t> </w:t>
      </w:r>
      <w:r w:rsidR="00B63794" w:rsidRPr="00971658">
        <w:rPr>
          <w:rFonts w:ascii="GHEA Grapalat" w:eastAsia="Times New Roman" w:hAnsi="GHEA Grapalat" w:cs="GHEA Grapalat"/>
          <w:b/>
          <w:sz w:val="24"/>
          <w:szCs w:val="24"/>
          <w:lang w:val="hy-AM"/>
        </w:rPr>
        <w:t>բյուջեում</w:t>
      </w:r>
      <w:r w:rsidR="00B63794" w:rsidRPr="00971658">
        <w:rPr>
          <w:rFonts w:ascii="Calibri" w:eastAsia="Times New Roman" w:hAnsi="Calibri" w:cs="Calibri"/>
          <w:b/>
          <w:sz w:val="24"/>
          <w:szCs w:val="24"/>
          <w:lang w:val="hy-AM"/>
        </w:rPr>
        <w:t> </w:t>
      </w:r>
      <w:r w:rsidR="00B63794" w:rsidRPr="00971658">
        <w:rPr>
          <w:rFonts w:ascii="GHEA Grapalat" w:eastAsia="Times New Roman" w:hAnsi="GHEA Grapalat" w:cs="GHEA Grapalat"/>
          <w:b/>
          <w:sz w:val="24"/>
          <w:szCs w:val="24"/>
          <w:lang w:val="hy-AM"/>
        </w:rPr>
        <w:t>կամ</w:t>
      </w:r>
      <w:r w:rsidR="00B63794" w:rsidRPr="00971658">
        <w:rPr>
          <w:rFonts w:ascii="Calibri" w:eastAsia="Times New Roman" w:hAnsi="Calibri" w:cs="Calibri"/>
          <w:b/>
          <w:sz w:val="24"/>
          <w:szCs w:val="24"/>
          <w:lang w:val="hy-AM"/>
        </w:rPr>
        <w:t> </w:t>
      </w:r>
      <w:r w:rsidR="008F21FC" w:rsidRPr="00971658">
        <w:rPr>
          <w:rFonts w:ascii="GHEA Grapalat" w:eastAsia="Times New Roman" w:hAnsi="GHEA Grapalat" w:cs="GHEA Grapalat"/>
          <w:b/>
          <w:sz w:val="24"/>
          <w:szCs w:val="24"/>
          <w:lang w:val="hy-AM"/>
        </w:rPr>
        <w:t>տեղական</w:t>
      </w:r>
      <w:r w:rsidR="002D43CB">
        <w:rPr>
          <w:rFonts w:ascii="GHEA Grapalat" w:eastAsia="Times New Roman" w:hAnsi="GHEA Grapalat" w:cs="Calibri"/>
          <w:b/>
          <w:sz w:val="24"/>
          <w:szCs w:val="24"/>
          <w:lang w:val="hy-AM"/>
        </w:rPr>
        <w:t xml:space="preserve"> </w:t>
      </w:r>
      <w:r w:rsidR="00B63794" w:rsidRPr="00971658">
        <w:rPr>
          <w:rFonts w:ascii="GHEA Grapalat" w:eastAsia="Times New Roman" w:hAnsi="GHEA Grapalat" w:cs="GHEA Grapalat"/>
          <w:b/>
          <w:sz w:val="24"/>
          <w:szCs w:val="24"/>
          <w:lang w:val="hy-AM"/>
        </w:rPr>
        <w:t>ինքնակառավարման</w:t>
      </w:r>
      <w:r w:rsidR="00B63794" w:rsidRPr="00971658">
        <w:rPr>
          <w:rFonts w:ascii="Calibri" w:eastAsia="Times New Roman" w:hAnsi="Calibri" w:cs="Calibri"/>
          <w:b/>
          <w:sz w:val="24"/>
          <w:szCs w:val="24"/>
          <w:lang w:val="hy-AM"/>
        </w:rPr>
        <w:t> </w:t>
      </w:r>
      <w:r w:rsidR="00B63794" w:rsidRPr="00971658">
        <w:rPr>
          <w:rFonts w:ascii="GHEA Grapalat" w:eastAsia="Times New Roman" w:hAnsi="GHEA Grapalat" w:cs="GHEA Grapalat"/>
          <w:b/>
          <w:sz w:val="24"/>
          <w:szCs w:val="24"/>
          <w:lang w:val="hy-AM"/>
        </w:rPr>
        <w:t>մարմինների</w:t>
      </w:r>
      <w:r w:rsidR="00B63794" w:rsidRPr="00971658">
        <w:rPr>
          <w:rFonts w:ascii="Calibri" w:eastAsia="Times New Roman" w:hAnsi="Calibri" w:cs="Calibri"/>
          <w:b/>
          <w:sz w:val="24"/>
          <w:szCs w:val="24"/>
          <w:lang w:val="hy-AM"/>
        </w:rPr>
        <w:t> </w:t>
      </w:r>
      <w:r w:rsidR="00B63794" w:rsidRPr="00971658">
        <w:rPr>
          <w:rFonts w:ascii="GHEA Grapalat" w:eastAsia="Times New Roman" w:hAnsi="GHEA Grapalat" w:cs="GHEA Grapalat"/>
          <w:b/>
          <w:sz w:val="24"/>
          <w:szCs w:val="24"/>
          <w:lang w:val="hy-AM"/>
        </w:rPr>
        <w:t>բյուջեներում</w:t>
      </w:r>
      <w:r w:rsidR="00B63794" w:rsidRPr="00971658">
        <w:rPr>
          <w:rFonts w:ascii="Calibri" w:eastAsia="Times New Roman" w:hAnsi="Calibri" w:cs="Calibri"/>
          <w:b/>
          <w:sz w:val="24"/>
          <w:szCs w:val="24"/>
          <w:lang w:val="hy-AM"/>
        </w:rPr>
        <w:t> </w:t>
      </w:r>
      <w:r w:rsidR="00B63794" w:rsidRPr="00971658">
        <w:rPr>
          <w:rFonts w:ascii="GHEA Grapalat" w:eastAsia="Times New Roman" w:hAnsi="GHEA Grapalat" w:cs="GHEA Grapalat"/>
          <w:b/>
          <w:sz w:val="24"/>
          <w:szCs w:val="24"/>
          <w:lang w:val="hy-AM"/>
        </w:rPr>
        <w:t>ծախսերի</w:t>
      </w:r>
      <w:r w:rsidR="00B63794" w:rsidRPr="00971658">
        <w:rPr>
          <w:rFonts w:ascii="Calibri" w:eastAsia="Times New Roman" w:hAnsi="Calibri" w:cs="Calibri"/>
          <w:b/>
          <w:sz w:val="24"/>
          <w:szCs w:val="24"/>
          <w:lang w:val="hy-AM"/>
        </w:rPr>
        <w:t> </w:t>
      </w:r>
      <w:r w:rsidR="00B63794" w:rsidRPr="00971658">
        <w:rPr>
          <w:rFonts w:ascii="GHEA Grapalat" w:eastAsia="Times New Roman" w:hAnsi="GHEA Grapalat" w:cs="GHEA Grapalat"/>
          <w:b/>
          <w:sz w:val="24"/>
          <w:szCs w:val="24"/>
          <w:lang w:val="hy-AM"/>
        </w:rPr>
        <w:t>և</w:t>
      </w:r>
      <w:r w:rsidR="00B63794" w:rsidRPr="00971658">
        <w:rPr>
          <w:rFonts w:ascii="Calibri" w:eastAsia="Times New Roman" w:hAnsi="Calibri" w:cs="Calibri"/>
          <w:b/>
          <w:sz w:val="24"/>
          <w:szCs w:val="24"/>
          <w:lang w:val="hy-AM"/>
        </w:rPr>
        <w:t> </w:t>
      </w:r>
      <w:r w:rsidR="00B63794" w:rsidRPr="00971658">
        <w:rPr>
          <w:rFonts w:ascii="GHEA Grapalat" w:eastAsia="Times New Roman" w:hAnsi="GHEA Grapalat" w:cs="GHEA Grapalat"/>
          <w:b/>
          <w:sz w:val="24"/>
          <w:szCs w:val="24"/>
          <w:lang w:val="hy-AM"/>
        </w:rPr>
        <w:t>եկամուտների</w:t>
      </w:r>
      <w:r w:rsidR="00B63794" w:rsidRPr="00971658">
        <w:rPr>
          <w:rFonts w:ascii="Calibri" w:eastAsia="Times New Roman" w:hAnsi="Calibri" w:cs="Calibri"/>
          <w:b/>
          <w:sz w:val="24"/>
          <w:szCs w:val="24"/>
          <w:lang w:val="hy-AM"/>
        </w:rPr>
        <w:t> </w:t>
      </w:r>
      <w:r w:rsidR="00B63794" w:rsidRPr="00971658">
        <w:rPr>
          <w:rFonts w:ascii="GHEA Grapalat" w:eastAsia="Times New Roman" w:hAnsi="GHEA Grapalat" w:cs="GHEA Grapalat"/>
          <w:b/>
          <w:sz w:val="24"/>
          <w:szCs w:val="24"/>
          <w:lang w:val="hy-AM"/>
        </w:rPr>
        <w:t>էական</w:t>
      </w:r>
      <w:r>
        <w:rPr>
          <w:rFonts w:ascii="GHEA Grapalat" w:eastAsia="Times New Roman" w:hAnsi="GHEA Grapalat" w:cs="Calibri"/>
          <w:b/>
          <w:sz w:val="24"/>
          <w:szCs w:val="24"/>
          <w:lang w:val="hy-AM"/>
        </w:rPr>
        <w:t xml:space="preserve"> </w:t>
      </w:r>
      <w:r w:rsidR="00B63794" w:rsidRPr="00971658">
        <w:rPr>
          <w:rFonts w:ascii="GHEA Grapalat" w:eastAsia="Times New Roman" w:hAnsi="GHEA Grapalat" w:cs="GHEA Grapalat"/>
          <w:b/>
          <w:sz w:val="24"/>
          <w:szCs w:val="24"/>
          <w:lang w:val="hy-AM"/>
        </w:rPr>
        <w:t>ավելացումների</w:t>
      </w:r>
      <w:r w:rsidR="00B63794" w:rsidRPr="00971658">
        <w:rPr>
          <w:rFonts w:ascii="Calibri" w:eastAsia="Times New Roman" w:hAnsi="Calibri" w:cs="Calibri"/>
          <w:b/>
          <w:sz w:val="24"/>
          <w:szCs w:val="24"/>
          <w:lang w:val="hy-AM"/>
        </w:rPr>
        <w:t> </w:t>
      </w:r>
      <w:r w:rsidR="00B63794" w:rsidRPr="00971658">
        <w:rPr>
          <w:rFonts w:ascii="GHEA Grapalat" w:eastAsia="Times New Roman" w:hAnsi="GHEA Grapalat" w:cs="GHEA Grapalat"/>
          <w:b/>
          <w:sz w:val="24"/>
          <w:szCs w:val="24"/>
          <w:lang w:val="hy-AM"/>
        </w:rPr>
        <w:t>կամ</w:t>
      </w:r>
      <w:r w:rsidR="00B63794" w:rsidRPr="00971658">
        <w:rPr>
          <w:rFonts w:ascii="Calibri" w:eastAsia="Times New Roman" w:hAnsi="Calibri" w:cs="Calibri"/>
          <w:b/>
          <w:sz w:val="24"/>
          <w:szCs w:val="24"/>
          <w:lang w:val="hy-AM"/>
        </w:rPr>
        <w:t> </w:t>
      </w:r>
      <w:r w:rsidR="00B63794" w:rsidRPr="00971658">
        <w:rPr>
          <w:rFonts w:ascii="GHEA Grapalat" w:eastAsia="Times New Roman" w:hAnsi="GHEA Grapalat" w:cs="GHEA Grapalat"/>
          <w:b/>
          <w:sz w:val="24"/>
          <w:szCs w:val="24"/>
          <w:lang w:val="hy-AM"/>
        </w:rPr>
        <w:t>նվազեցումների</w:t>
      </w:r>
      <w:r w:rsidR="00B63794" w:rsidRPr="00971658">
        <w:rPr>
          <w:rFonts w:ascii="Calibri" w:eastAsia="Times New Roman" w:hAnsi="Calibri" w:cs="Calibri"/>
          <w:b/>
          <w:sz w:val="24"/>
          <w:szCs w:val="24"/>
          <w:lang w:val="hy-AM"/>
        </w:rPr>
        <w:t> </w:t>
      </w:r>
      <w:r w:rsidR="00B63794" w:rsidRPr="00971658">
        <w:rPr>
          <w:rFonts w:ascii="GHEA Grapalat" w:eastAsia="Times New Roman" w:hAnsi="GHEA Grapalat" w:cs="GHEA Grapalat"/>
          <w:b/>
          <w:sz w:val="24"/>
          <w:szCs w:val="24"/>
          <w:lang w:val="hy-AM"/>
        </w:rPr>
        <w:t>մասին.</w:t>
      </w:r>
    </w:p>
    <w:p w14:paraId="1C280940" w14:textId="79A5BA32" w:rsidR="0067109C" w:rsidRDefault="00B63794" w:rsidP="0067109C">
      <w:pPr>
        <w:shd w:val="clear" w:color="auto" w:fill="FFFFFF"/>
        <w:spacing w:after="0" w:line="360" w:lineRule="auto"/>
        <w:ind w:firstLine="360"/>
        <w:jc w:val="both"/>
        <w:textAlignment w:val="baseline"/>
        <w:rPr>
          <w:rFonts w:ascii="GHEA Grapalat" w:eastAsia="Times New Roman" w:hAnsi="GHEA Grapalat" w:cs="GHEA Grapalat"/>
          <w:sz w:val="24"/>
          <w:szCs w:val="24"/>
          <w:lang w:val="hy-AM"/>
        </w:rPr>
      </w:pPr>
      <w:r w:rsidRPr="00C938AD">
        <w:rPr>
          <w:rFonts w:ascii="GHEA Grapalat" w:eastAsia="Times New Roman" w:hAnsi="GHEA Grapalat" w:cs="GHEA Grapalat"/>
          <w:sz w:val="24"/>
          <w:szCs w:val="24"/>
          <w:lang w:val="hy-AM"/>
        </w:rPr>
        <w:t xml:space="preserve">Նախագծի ընդունումը </w:t>
      </w:r>
      <w:r w:rsidR="007961CD" w:rsidRPr="00C938AD">
        <w:rPr>
          <w:rFonts w:ascii="GHEA Grapalat" w:eastAsia="Times New Roman" w:hAnsi="GHEA Grapalat" w:cs="GHEA Grapalat"/>
          <w:sz w:val="24"/>
          <w:szCs w:val="24"/>
          <w:lang w:val="hy-AM"/>
        </w:rPr>
        <w:t xml:space="preserve">կհանգեցնի </w:t>
      </w:r>
      <w:r w:rsidRPr="00C938AD">
        <w:rPr>
          <w:rFonts w:ascii="GHEA Grapalat" w:eastAsia="Times New Roman" w:hAnsi="GHEA Grapalat" w:cs="GHEA Grapalat"/>
          <w:sz w:val="24"/>
          <w:szCs w:val="24"/>
          <w:lang w:val="hy-AM"/>
        </w:rPr>
        <w:t>ՀՀ պետական բյուջեի տարեկան եկա</w:t>
      </w:r>
      <w:r w:rsidRPr="00C938AD">
        <w:rPr>
          <w:rFonts w:ascii="GHEA Grapalat" w:eastAsia="Times New Roman" w:hAnsi="GHEA Grapalat" w:cs="GHEA Grapalat"/>
          <w:sz w:val="24"/>
          <w:szCs w:val="24"/>
          <w:lang w:val="hy-AM"/>
        </w:rPr>
        <w:softHyphen/>
        <w:t xml:space="preserve">մուտների </w:t>
      </w:r>
      <w:r w:rsidR="007961CD" w:rsidRPr="00C938AD">
        <w:rPr>
          <w:rFonts w:ascii="GHEA Grapalat" w:eastAsia="Times New Roman" w:hAnsi="GHEA Grapalat" w:cs="GHEA Grapalat"/>
          <w:sz w:val="24"/>
          <w:szCs w:val="24"/>
          <w:lang w:val="hy-AM"/>
        </w:rPr>
        <w:t>կրճատմանը</w:t>
      </w:r>
      <w:r w:rsidRPr="00C938AD">
        <w:rPr>
          <w:rFonts w:ascii="GHEA Grapalat" w:eastAsia="Times New Roman" w:hAnsi="GHEA Grapalat" w:cs="GHEA Grapalat"/>
          <w:sz w:val="24"/>
          <w:szCs w:val="24"/>
          <w:lang w:val="hy-AM"/>
        </w:rPr>
        <w:t>:</w:t>
      </w:r>
    </w:p>
    <w:p w14:paraId="0A24DEB6" w14:textId="24234F4B" w:rsidR="00862CC6" w:rsidRPr="00C938AD" w:rsidRDefault="0067109C" w:rsidP="0067109C">
      <w:pPr>
        <w:shd w:val="clear" w:color="auto" w:fill="FFFFFF"/>
        <w:spacing w:after="0" w:line="360" w:lineRule="auto"/>
        <w:ind w:firstLine="360"/>
        <w:jc w:val="both"/>
        <w:textAlignment w:val="baseline"/>
        <w:rPr>
          <w:rFonts w:ascii="GHEA Grapalat" w:eastAsia="Times New Roman" w:hAnsi="GHEA Grapalat" w:cs="GHEA Grapalat"/>
          <w:sz w:val="24"/>
          <w:szCs w:val="24"/>
          <w:lang w:val="hy-AM"/>
        </w:rPr>
      </w:pPr>
      <w:r>
        <w:rPr>
          <w:rFonts w:ascii="GHEA Grapalat" w:eastAsia="Times New Roman" w:hAnsi="GHEA Grapalat" w:cs="GHEA Grapalat"/>
          <w:b/>
          <w:bCs/>
          <w:sz w:val="24"/>
          <w:szCs w:val="24"/>
          <w:lang w:val="hy-AM"/>
        </w:rPr>
        <w:t>6</w:t>
      </w:r>
      <w:r w:rsidR="00862CC6" w:rsidRPr="008F21FC">
        <w:rPr>
          <w:rFonts w:ascii="GHEA Grapalat" w:eastAsia="Times New Roman" w:hAnsi="GHEA Grapalat" w:cs="GHEA Grapalat"/>
          <w:b/>
          <w:bCs/>
          <w:sz w:val="24"/>
          <w:szCs w:val="24"/>
          <w:lang w:val="hy-AM"/>
        </w:rPr>
        <w:t>․</w:t>
      </w:r>
      <w:r w:rsidR="00862CC6" w:rsidRPr="00C938AD">
        <w:rPr>
          <w:rFonts w:ascii="GHEA Grapalat" w:eastAsia="Times New Roman" w:hAnsi="GHEA Grapalat" w:cs="GHEA Grapalat"/>
          <w:sz w:val="24"/>
          <w:szCs w:val="24"/>
          <w:lang w:val="hy-AM"/>
        </w:rPr>
        <w:t xml:space="preserve"> </w:t>
      </w:r>
      <w:r w:rsidR="00B63794" w:rsidRPr="00C938AD">
        <w:rPr>
          <w:rFonts w:ascii="GHEA Grapalat" w:eastAsia="Times New Roman" w:hAnsi="GHEA Grapalat" w:cs="GHEA Grapalat"/>
          <w:b/>
          <w:sz w:val="24"/>
          <w:szCs w:val="24"/>
          <w:lang w:val="hy-AM"/>
        </w:rPr>
        <w:t>Կապը ռազմավարական փաստաթղթերի հետ.</w:t>
      </w:r>
      <w:r w:rsidR="00B63794" w:rsidRPr="00C938AD">
        <w:rPr>
          <w:rFonts w:ascii="GHEA Grapalat" w:eastAsia="Times New Roman" w:hAnsi="GHEA Grapalat" w:cs="GHEA Grapalat"/>
          <w:sz w:val="24"/>
          <w:szCs w:val="24"/>
          <w:lang w:val="hy-AM"/>
        </w:rPr>
        <w:t xml:space="preserve"> </w:t>
      </w:r>
    </w:p>
    <w:p w14:paraId="4380A6B6" w14:textId="77777777" w:rsidR="007A6B20" w:rsidRPr="00C938AD" w:rsidRDefault="00B63794" w:rsidP="00DC3695">
      <w:pPr>
        <w:shd w:val="clear" w:color="auto" w:fill="FFFFFF"/>
        <w:spacing w:after="0" w:line="360" w:lineRule="auto"/>
        <w:ind w:firstLine="360"/>
        <w:jc w:val="both"/>
        <w:textAlignment w:val="baseline"/>
        <w:rPr>
          <w:rFonts w:ascii="GHEA Grapalat" w:eastAsia="Times New Roman" w:hAnsi="GHEA Grapalat" w:cs="GHEA Grapalat"/>
          <w:sz w:val="24"/>
          <w:szCs w:val="24"/>
          <w:lang w:val="hy-AM"/>
        </w:rPr>
      </w:pPr>
      <w:r w:rsidRPr="00C938AD">
        <w:rPr>
          <w:rFonts w:ascii="GHEA Grapalat" w:eastAsia="Times New Roman" w:hAnsi="GHEA Grapalat" w:cs="GHEA Grapalat"/>
          <w:sz w:val="24"/>
          <w:szCs w:val="24"/>
          <w:lang w:val="hy-AM"/>
        </w:rPr>
        <w:t xml:space="preserve">ՀՀ կառավարության 2021-2026թթ. </w:t>
      </w:r>
      <w:r w:rsidR="007A6B20" w:rsidRPr="00C938AD">
        <w:rPr>
          <w:rFonts w:ascii="GHEA Grapalat" w:eastAsia="Times New Roman" w:hAnsi="GHEA Grapalat" w:cs="GHEA Grapalat"/>
          <w:sz w:val="24"/>
          <w:szCs w:val="24"/>
          <w:lang w:val="hy-AM"/>
        </w:rPr>
        <w:t>Ծ</w:t>
      </w:r>
      <w:r w:rsidRPr="00C938AD">
        <w:rPr>
          <w:rFonts w:ascii="GHEA Grapalat" w:eastAsia="Times New Roman" w:hAnsi="GHEA Grapalat" w:cs="GHEA Grapalat"/>
          <w:sz w:val="24"/>
          <w:szCs w:val="24"/>
          <w:lang w:val="hy-AM"/>
        </w:rPr>
        <w:t>րագրի</w:t>
      </w:r>
      <w:r w:rsidR="007A6B20" w:rsidRPr="00C938AD">
        <w:rPr>
          <w:rFonts w:ascii="GHEA Grapalat" w:eastAsia="Times New Roman" w:hAnsi="GHEA Grapalat" w:cs="GHEA Grapalat"/>
          <w:sz w:val="24"/>
          <w:szCs w:val="24"/>
          <w:lang w:val="hy-AM"/>
        </w:rPr>
        <w:t xml:space="preserve"> համաձայն Հեռահաղորդակցության ոլորտում Կառավարության նախատեսվող քայլերն են՝ ընդունել տիեզերական գործունեության ոլորտում Հայաստանի Հանրապետության տնտեսության և գիտության զարգացման, անվտանգության ամրապնդման ոլորտում Հայաստանի Հանրապետության միջազգային համագործակցության ընդլայնման համապարփակ ռազմավարությունը։ </w:t>
      </w:r>
    </w:p>
    <w:p w14:paraId="422E5ED5" w14:textId="77777777" w:rsidR="000B6446" w:rsidRPr="00C938AD" w:rsidRDefault="007A6B20" w:rsidP="00DC3695">
      <w:pPr>
        <w:shd w:val="clear" w:color="auto" w:fill="FFFFFF"/>
        <w:spacing w:after="0" w:line="360" w:lineRule="auto"/>
        <w:ind w:firstLine="360"/>
        <w:jc w:val="both"/>
        <w:textAlignment w:val="baseline"/>
        <w:rPr>
          <w:rFonts w:ascii="GHEA Grapalat" w:eastAsia="Times New Roman" w:hAnsi="GHEA Grapalat" w:cs="GHEA Grapalat"/>
          <w:sz w:val="24"/>
          <w:szCs w:val="24"/>
          <w:lang w:val="hy-AM"/>
        </w:rPr>
      </w:pPr>
      <w:r w:rsidRPr="00C938AD">
        <w:rPr>
          <w:rFonts w:ascii="GHEA Grapalat" w:eastAsia="Times New Roman" w:hAnsi="GHEA Grapalat" w:cs="GHEA Grapalat"/>
          <w:sz w:val="24"/>
          <w:szCs w:val="24"/>
          <w:lang w:val="hy-AM"/>
        </w:rPr>
        <w:t xml:space="preserve">Նշված նախագծի ընդունումը տիեզերական գործունեության ոլորտում կատարվող կարևոր փոփոխություններից մեկն է։ </w:t>
      </w:r>
    </w:p>
    <w:sectPr w:rsidR="000B6446" w:rsidRPr="00C938AD" w:rsidSect="00DC3695">
      <w:pgSz w:w="12240" w:h="15840"/>
      <w:pgMar w:top="990" w:right="99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E6EF0"/>
    <w:multiLevelType w:val="multilevel"/>
    <w:tmpl w:val="6B74B5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E2130C"/>
    <w:multiLevelType w:val="multilevel"/>
    <w:tmpl w:val="E190F9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0B3491"/>
    <w:multiLevelType w:val="hybridMultilevel"/>
    <w:tmpl w:val="D65C16BA"/>
    <w:lvl w:ilvl="0" w:tplc="66F4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991CE4"/>
    <w:multiLevelType w:val="hybridMultilevel"/>
    <w:tmpl w:val="3AAAEFC0"/>
    <w:lvl w:ilvl="0" w:tplc="71E6F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2F2C3E"/>
    <w:multiLevelType w:val="multilevel"/>
    <w:tmpl w:val="16D06CBE"/>
    <w:lvl w:ilvl="0">
      <w:start w:val="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51BE2487"/>
    <w:multiLevelType w:val="multilevel"/>
    <w:tmpl w:val="2B2228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7356C6"/>
    <w:multiLevelType w:val="hybridMultilevel"/>
    <w:tmpl w:val="D618F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600"/>
    <w:rsid w:val="00073F0D"/>
    <w:rsid w:val="000844CA"/>
    <w:rsid w:val="000B6446"/>
    <w:rsid w:val="000C21A4"/>
    <w:rsid w:val="00163F1C"/>
    <w:rsid w:val="00196C88"/>
    <w:rsid w:val="001A5110"/>
    <w:rsid w:val="00224FE5"/>
    <w:rsid w:val="00281D51"/>
    <w:rsid w:val="002839A9"/>
    <w:rsid w:val="002D43CB"/>
    <w:rsid w:val="00431D28"/>
    <w:rsid w:val="00435D28"/>
    <w:rsid w:val="004856A9"/>
    <w:rsid w:val="00517573"/>
    <w:rsid w:val="00551BA0"/>
    <w:rsid w:val="0059029F"/>
    <w:rsid w:val="00594600"/>
    <w:rsid w:val="006409A4"/>
    <w:rsid w:val="00645589"/>
    <w:rsid w:val="00656738"/>
    <w:rsid w:val="0067109C"/>
    <w:rsid w:val="00675497"/>
    <w:rsid w:val="0067720D"/>
    <w:rsid w:val="006F58EB"/>
    <w:rsid w:val="00757D48"/>
    <w:rsid w:val="00784EFB"/>
    <w:rsid w:val="007961CD"/>
    <w:rsid w:val="007A6B20"/>
    <w:rsid w:val="00803ECA"/>
    <w:rsid w:val="00817D7C"/>
    <w:rsid w:val="008250D6"/>
    <w:rsid w:val="00862CC6"/>
    <w:rsid w:val="008F21FC"/>
    <w:rsid w:val="0091031D"/>
    <w:rsid w:val="00945CAB"/>
    <w:rsid w:val="00971658"/>
    <w:rsid w:val="009F5E29"/>
    <w:rsid w:val="00B00D73"/>
    <w:rsid w:val="00B63794"/>
    <w:rsid w:val="00B66ADB"/>
    <w:rsid w:val="00BD141E"/>
    <w:rsid w:val="00C532C1"/>
    <w:rsid w:val="00C80C82"/>
    <w:rsid w:val="00C938AD"/>
    <w:rsid w:val="00CD655C"/>
    <w:rsid w:val="00DA1444"/>
    <w:rsid w:val="00DC3695"/>
    <w:rsid w:val="00F0383D"/>
    <w:rsid w:val="00F24ED3"/>
    <w:rsid w:val="00FA45EB"/>
    <w:rsid w:val="00FA4FED"/>
    <w:rsid w:val="00FD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ADD8"/>
  <w15:chartTrackingRefBased/>
  <w15:docId w15:val="{FE9F051E-F965-4F7A-9046-888FBEF5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37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3794"/>
    <w:rPr>
      <w:b/>
      <w:bCs/>
    </w:rPr>
  </w:style>
  <w:style w:type="paragraph" w:styleId="ListParagraph">
    <w:name w:val="List Paragraph"/>
    <w:basedOn w:val="Normal"/>
    <w:uiPriority w:val="34"/>
    <w:qFormat/>
    <w:rsid w:val="00FA45EB"/>
    <w:pPr>
      <w:ind w:left="720"/>
      <w:contextualSpacing/>
    </w:pPr>
  </w:style>
  <w:style w:type="character" w:styleId="Hyperlink">
    <w:name w:val="Hyperlink"/>
    <w:basedOn w:val="DefaultParagraphFont"/>
    <w:uiPriority w:val="99"/>
    <w:semiHidden/>
    <w:unhideWhenUsed/>
    <w:rsid w:val="004856A9"/>
    <w:rPr>
      <w:color w:val="0000FF"/>
      <w:u w:val="single"/>
    </w:rPr>
  </w:style>
  <w:style w:type="paragraph" w:styleId="BalloonText">
    <w:name w:val="Balloon Text"/>
    <w:basedOn w:val="Normal"/>
    <w:link w:val="BalloonTextChar"/>
    <w:uiPriority w:val="99"/>
    <w:semiHidden/>
    <w:unhideWhenUsed/>
    <w:rsid w:val="00671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233832">
      <w:bodyDiv w:val="1"/>
      <w:marLeft w:val="0"/>
      <w:marRight w:val="0"/>
      <w:marTop w:val="0"/>
      <w:marBottom w:val="0"/>
      <w:divBdr>
        <w:top w:val="none" w:sz="0" w:space="0" w:color="auto"/>
        <w:left w:val="none" w:sz="0" w:space="0" w:color="auto"/>
        <w:bottom w:val="none" w:sz="0" w:space="0" w:color="auto"/>
        <w:right w:val="none" w:sz="0" w:space="0" w:color="auto"/>
      </w:divBdr>
    </w:div>
    <w:div w:id="715743877">
      <w:bodyDiv w:val="1"/>
      <w:marLeft w:val="0"/>
      <w:marRight w:val="0"/>
      <w:marTop w:val="0"/>
      <w:marBottom w:val="0"/>
      <w:divBdr>
        <w:top w:val="none" w:sz="0" w:space="0" w:color="auto"/>
        <w:left w:val="none" w:sz="0" w:space="0" w:color="auto"/>
        <w:bottom w:val="none" w:sz="0" w:space="0" w:color="auto"/>
        <w:right w:val="none" w:sz="0" w:space="0" w:color="auto"/>
      </w:divBdr>
    </w:div>
    <w:div w:id="81029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Kirakosyan</dc:creator>
  <cp:keywords>https://mul2-mtc.gov.am/tasks/1014625/oneclick/Himnavorum.docx?token=85b83c2db9d7a9e9b3f7f4ab9cbf4394</cp:keywords>
  <dc:description/>
  <cp:lastModifiedBy>Lilit Petrosyan</cp:lastModifiedBy>
  <cp:revision>17</cp:revision>
  <cp:lastPrinted>2023-07-19T09:50:00Z</cp:lastPrinted>
  <dcterms:created xsi:type="dcterms:W3CDTF">2022-12-12T06:29:00Z</dcterms:created>
  <dcterms:modified xsi:type="dcterms:W3CDTF">2023-07-19T10:04:00Z</dcterms:modified>
</cp:coreProperties>
</file>