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C" w:rsidRPr="00476BCF" w:rsidRDefault="00883A3C" w:rsidP="00C4308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6BC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D1BF4" w:rsidRPr="00882466" w:rsidRDefault="00AC094D" w:rsidP="00C43080">
      <w:pPr>
        <w:pStyle w:val="bc6k"/>
        <w:ind w:firstLine="450"/>
        <w:rPr>
          <w:rFonts w:ascii="GHEA Grapalat" w:hAnsi="GHEA Grapalat"/>
          <w:lang w:val="hy-AM" w:eastAsia="hy-AM"/>
        </w:rPr>
      </w:pPr>
      <w:r w:rsidRPr="00476BCF">
        <w:rPr>
          <w:rFonts w:ascii="GHEA Grapalat" w:hAnsi="GHEA Grapalat"/>
          <w:lang w:val="hy-AM"/>
        </w:rPr>
        <w:t>«</w:t>
      </w:r>
      <w:r w:rsidR="00882466" w:rsidRPr="000964EC">
        <w:rPr>
          <w:rFonts w:ascii="GHEA Grapalat" w:hAnsi="GHEA Grapalat"/>
          <w:lang w:val="hy-AM"/>
        </w:rPr>
        <w:t xml:space="preserve">ՀԱԿԱՄԱՆՐԷԱՅԻՆ ԴԵՂԵՐԻ ՆԿԱՏՄԱՄԲ ԿԱՅՈՒՆՈՒԹՅԱՆ ՀՍԿՈՂՈՒԹՅԱՆ </w:t>
      </w:r>
      <w:r w:rsidR="00882466">
        <w:rPr>
          <w:rFonts w:ascii="GHEA Grapalat" w:hAnsi="GHEA Grapalat"/>
          <w:lang w:val="hy-AM"/>
        </w:rPr>
        <w:t>ԵՎ</w:t>
      </w:r>
      <w:r w:rsidR="00882466" w:rsidRPr="000964EC">
        <w:rPr>
          <w:rFonts w:ascii="GHEA Grapalat" w:hAnsi="GHEA Grapalat"/>
          <w:lang w:val="hy-AM"/>
        </w:rPr>
        <w:t xml:space="preserve"> ԿԱՆԽԱՐԳԵԼՄԱՆ ՌԱԶՄԱՎԱՐՈՒԹՅԱՆԸ </w:t>
      </w:r>
      <w:r w:rsidR="00882466">
        <w:rPr>
          <w:rFonts w:ascii="GHEA Grapalat" w:hAnsi="GHEA Grapalat"/>
          <w:lang w:val="hy-AM"/>
        </w:rPr>
        <w:t>ԵՎ</w:t>
      </w:r>
      <w:r w:rsidR="00882466" w:rsidRPr="000964EC">
        <w:rPr>
          <w:rFonts w:ascii="GHEA Grapalat" w:hAnsi="GHEA Grapalat"/>
          <w:lang w:val="hy-AM"/>
        </w:rPr>
        <w:t xml:space="preserve"> 2023-2027 ԹՎԱԿԱՆՆԵՐԻ ՄԻՋԳԵՐԱՏԵՍՉԱԿԱՆ ՄԻՋՈՑԱՌՈՒՄՆԵՐԻ ԾՐԱԳԻՐԸ </w:t>
      </w:r>
      <w:r w:rsidR="00882466" w:rsidRPr="000964EC">
        <w:rPr>
          <w:rFonts w:ascii="GHEA Grapalat" w:hAnsi="GHEA Grapalat"/>
          <w:lang w:val="hy-AM" w:eastAsia="hy-AM"/>
        </w:rPr>
        <w:t>ՀԱՍՏԱՏԵԼՈՒ ՄԱՍԻՆ</w:t>
      </w:r>
      <w:r w:rsidR="00745FD1" w:rsidRPr="00476BCF">
        <w:rPr>
          <w:rFonts w:ascii="GHEA Grapalat" w:hAnsi="GHEA Grapalat"/>
          <w:lang w:val="hy-AM"/>
        </w:rPr>
        <w:t xml:space="preserve">» ԿԱՌԱՎԱՐՈՒԹՅԱՆ </w:t>
      </w:r>
      <w:r w:rsidR="00FB0DFD" w:rsidRPr="00476BCF">
        <w:rPr>
          <w:rFonts w:ascii="GHEA Grapalat" w:hAnsi="GHEA Grapalat"/>
          <w:lang w:val="hy-AM"/>
        </w:rPr>
        <w:br/>
      </w:r>
      <w:r w:rsidR="00745FD1" w:rsidRPr="00476BCF">
        <w:rPr>
          <w:rFonts w:ascii="GHEA Grapalat" w:hAnsi="GHEA Grapalat"/>
          <w:lang w:val="hy-AM"/>
        </w:rPr>
        <w:t>ՈՐՈՇՄԱՆ</w:t>
      </w:r>
      <w:r w:rsidR="00045577" w:rsidRPr="00476BCF">
        <w:rPr>
          <w:rFonts w:ascii="GHEA Grapalat" w:hAnsi="GHEA Grapalat"/>
          <w:lang w:val="hy-AM"/>
        </w:rPr>
        <w:t xml:space="preserve"> </w:t>
      </w:r>
      <w:r w:rsidR="00D06EAB" w:rsidRPr="00476BCF">
        <w:rPr>
          <w:rFonts w:ascii="GHEA Grapalat" w:hAnsi="GHEA Grapalat"/>
          <w:lang w:val="hy-AM"/>
        </w:rPr>
        <w:t>ՆԱԽԱԳԾԻ</w:t>
      </w:r>
    </w:p>
    <w:p w:rsidR="00716FC9" w:rsidRPr="000802A1" w:rsidRDefault="00716FC9" w:rsidP="000802A1">
      <w:pPr>
        <w:pStyle w:val="NormalWeb"/>
        <w:tabs>
          <w:tab w:val="left" w:pos="284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color w:val="000000"/>
          <w:spacing w:val="-8"/>
          <w:lang w:val="hy-AM" w:eastAsia="ru-RU"/>
        </w:rPr>
      </w:pPr>
    </w:p>
    <w:p w:rsidR="00B605EE" w:rsidRPr="00E46AB5" w:rsidRDefault="00B605EE" w:rsidP="00FC5218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6AB5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E46AB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E46AB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 w:cs="Sylfaen"/>
          <w:sz w:val="24"/>
          <w:szCs w:val="24"/>
          <w:lang w:val="hy-AM"/>
        </w:rPr>
      </w:pPr>
      <w:r w:rsidRPr="00E46AB5">
        <w:rPr>
          <w:rFonts w:ascii="GHEA Grapalat" w:hAnsi="GHEA Grapalat" w:cs="Sylfaen"/>
          <w:bCs/>
          <w:sz w:val="24"/>
          <w:szCs w:val="24"/>
          <w:lang w:val="af-ZA"/>
        </w:rPr>
        <w:t>Ներկայում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931A7">
        <w:rPr>
          <w:rFonts w:ascii="GHEA Grapalat" w:hAnsi="GHEA Grapalat" w:cs="Sylfaen"/>
          <w:bCs/>
          <w:sz w:val="24"/>
          <w:szCs w:val="24"/>
          <w:lang w:val="hy-AM"/>
        </w:rPr>
        <w:t>ամբողջ աշխարհում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լուրջ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հիմնախնդիր</w:t>
      </w:r>
      <w:r w:rsidR="00C4308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af-ZA"/>
        </w:rPr>
        <w:t>է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հակամանրէային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նկատմամբ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կայունության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(այսուհետ՝ ՀՄԿ)</w:t>
      </w:r>
      <w:r w:rsidRPr="00E46AB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 xml:space="preserve">զարգացումը: </w:t>
      </w:r>
      <w:r w:rsidRPr="00E46AB5">
        <w:rPr>
          <w:rFonts w:ascii="GHEA Grapalat" w:hAnsi="GHEA Grapalat"/>
          <w:sz w:val="24"/>
          <w:szCs w:val="24"/>
          <w:lang w:val="hy-AM"/>
        </w:rPr>
        <w:t>ՀՄԿ-ը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անվանում են նաև «Լուռ համաճարակ»</w:t>
      </w:r>
      <w:r w:rsidR="00CD4637" w:rsidRPr="00E46AB5">
        <w:rPr>
          <w:rFonts w:ascii="GHEA Grapalat" w:hAnsi="GHEA Grapalat"/>
          <w:sz w:val="24"/>
          <w:szCs w:val="24"/>
          <w:lang w:val="hy-AM"/>
        </w:rPr>
        <w:t>, որի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կանխարգելումը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պա</w:t>
      </w:r>
      <w:bookmarkStart w:id="0" w:name="_GoBack"/>
      <w:bookmarkEnd w:id="0"/>
      <w:r w:rsidRPr="00E46AB5">
        <w:rPr>
          <w:rFonts w:ascii="GHEA Grapalat" w:hAnsi="GHEA Grapalat" w:cs="Sylfaen"/>
          <w:sz w:val="24"/>
          <w:szCs w:val="24"/>
          <w:lang w:val="hy-AM"/>
        </w:rPr>
        <w:t>հանջում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է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համատեղ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46AB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E46AB5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մակարդակներում 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աշխատանք «Մեկ առողջություն» գաղափարի շուրջ</w:t>
      </w:r>
      <w:r w:rsidRPr="00E46AB5">
        <w:rPr>
          <w:rFonts w:ascii="GHEA Grapalat" w:hAnsi="GHEA Grapalat" w:cs="Sylfaen"/>
          <w:sz w:val="24"/>
          <w:szCs w:val="24"/>
          <w:lang w:val="hy-AM"/>
        </w:rPr>
        <w:t>`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ակտիվ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637" w:rsidRPr="00E46AB5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 w:cs="Sylfaen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>Ըստ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4637" w:rsidRPr="00E46AB5">
        <w:rPr>
          <w:rFonts w:ascii="GHEA Grapalat" w:hAnsi="GHEA Grapalat" w:cs="Sylfaen"/>
          <w:sz w:val="24"/>
          <w:szCs w:val="24"/>
          <w:lang w:val="hy-AM"/>
        </w:rPr>
        <w:t>Առողջապահության համաշխարհային կազմակերպության (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ԱՀԿ</w:t>
      </w:r>
      <w:r w:rsidR="00CD4637" w:rsidRPr="00E46AB5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C4308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տվյալների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ՀՄԿ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 խնդիրը պարզապես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կանխատեսում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չէ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ապագայի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այլ`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սպառնալիք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տարածաշրջանի համար, որի հետևանքները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են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բացասաբար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ազդել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ողջ մարդկության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վրա:</w:t>
      </w:r>
    </w:p>
    <w:p w:rsidR="00EC73C3" w:rsidRPr="00E46AB5" w:rsidRDefault="00EC73C3" w:rsidP="00FC5218">
      <w:pPr>
        <w:shd w:val="clear" w:color="auto" w:fill="FFFFFF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/>
          <w:color w:val="050505"/>
          <w:sz w:val="24"/>
          <w:szCs w:val="24"/>
          <w:lang w:val="hy-AM"/>
        </w:rPr>
        <w:t xml:space="preserve">Հակամանրէային (հակաբակտերիային, հակասնկային, հակավիրուսային, հակամակաբուծային) դեղերի հայտնագործումը մարդկության պատմության մեջ երբևէ արձանագրված առողջապահության կարևորագույն առաջընթացներից է, 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հակամանրէային դեղերը` կարևոր և արժեքավոր ռեսուրս են, </w:t>
      </w:r>
      <w:r w:rsidRPr="00E46AB5">
        <w:rPr>
          <w:rFonts w:ascii="GHEA Grapalat" w:hAnsi="GHEA Grapalat"/>
          <w:color w:val="050505"/>
          <w:sz w:val="24"/>
          <w:szCs w:val="24"/>
          <w:lang w:val="hy-AM"/>
        </w:rPr>
        <w:t>սակայն</w:t>
      </w:r>
      <w:r w:rsidR="00C43080">
        <w:rPr>
          <w:rFonts w:ascii="GHEA Grapalat" w:hAnsi="GHEA Grapalat"/>
          <w:color w:val="050505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դրանց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ոչ պատշաճ օգտագործումը նպաստում է դրանց նկատմամբ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կայուն մանրէների առաջացմանը</w:t>
      </w:r>
      <w:r w:rsidRPr="00E46AB5">
        <w:rPr>
          <w:rFonts w:ascii="GHEA Grapalat" w:hAnsi="GHEA Grapalat"/>
          <w:sz w:val="24"/>
          <w:szCs w:val="24"/>
          <w:lang w:val="af-ZA"/>
        </w:rPr>
        <w:t>: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 w:cs="Sylfaen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>ԱՀԿ-ի տվյալների համաձայն, եթե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վարակների, ինչպես նաև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ՀՄԿ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 զարգացման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կանխարգելման, հակամանրէային դեղերի ռացիոնալ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և</w:t>
      </w:r>
      <w:r w:rsidRPr="00E46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օգտագործման բարելավման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ուղղությամբ պետական մակարդակով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չձեռնարկվեն</w:t>
      </w:r>
      <w:r w:rsidRPr="00E46AB5">
        <w:rPr>
          <w:rFonts w:ascii="GHEA Grapalat" w:hAnsi="GHEA Grapalat"/>
          <w:sz w:val="24"/>
          <w:szCs w:val="24"/>
          <w:lang w:val="hy-AM"/>
        </w:rPr>
        <w:t>, հետևանքները կլինեն կործանարար: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Մասնավորապես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ՀՄԿ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հետևանքով հնարավոր չի լինի ապահովել վարակիչ հիվանդությունների արդյունավետ բուժումը:</w:t>
      </w:r>
    </w:p>
    <w:p w:rsidR="006F1A0F" w:rsidRPr="00E46AB5" w:rsidRDefault="006F1A0F" w:rsidP="00FC5218">
      <w:pPr>
        <w:shd w:val="clear" w:color="auto" w:fill="FFFFFF"/>
        <w:spacing w:line="360" w:lineRule="auto"/>
        <w:ind w:firstLine="709"/>
        <w:rPr>
          <w:rFonts w:ascii="GHEA Grapalat" w:hAnsi="GHEA Grapalat"/>
          <w:color w:val="050505"/>
          <w:sz w:val="24"/>
          <w:szCs w:val="24"/>
          <w:lang w:val="hy-AM"/>
        </w:rPr>
      </w:pP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Ըստ միջազգային տվյալների </w:t>
      </w:r>
      <w:r w:rsidRPr="00E46AB5">
        <w:rPr>
          <w:rFonts w:ascii="GHEA Grapalat" w:hAnsi="GHEA Grapalat" w:cs="Sylfaen"/>
          <w:sz w:val="24"/>
          <w:szCs w:val="24"/>
          <w:lang w:val="en-US"/>
        </w:rPr>
        <w:t>(</w:t>
      </w:r>
      <w:r w:rsidRPr="00E46AB5">
        <w:rPr>
          <w:rStyle w:val="ref-journal"/>
          <w:rFonts w:ascii="GHEA Grapalat" w:hAnsi="GHEA Grapalat"/>
          <w:i/>
          <w:iCs/>
          <w:color w:val="212121"/>
          <w:sz w:val="24"/>
          <w:szCs w:val="24"/>
          <w:shd w:val="clear" w:color="auto" w:fill="FFFFFF"/>
          <w:lang w:val="en-US"/>
        </w:rPr>
        <w:t>Review on Antimicrobial Resistance: Tackling a crisis for the health and wealth of nations</w:t>
      </w:r>
      <w:r w:rsidRPr="00E46AB5">
        <w:rPr>
          <w:rFonts w:ascii="GHEA Grapalat" w:hAnsi="GHEA Grapalat"/>
          <w:color w:val="212121"/>
          <w:sz w:val="24"/>
          <w:szCs w:val="24"/>
          <w:shd w:val="clear" w:color="auto" w:fill="FFFFFF"/>
          <w:lang w:val="en-US"/>
        </w:rPr>
        <w:t>. London: Review on Antimicrobial Resistance; 2014</w:t>
      </w:r>
      <w:r w:rsidRPr="00E46AB5">
        <w:rPr>
          <w:rFonts w:ascii="GHEA Grapalat" w:hAnsi="GHEA Grapalat"/>
          <w:color w:val="212121"/>
          <w:sz w:val="24"/>
          <w:szCs w:val="24"/>
          <w:shd w:val="clear" w:color="auto" w:fill="FFFFFF"/>
          <w:lang w:val="hy-AM"/>
        </w:rPr>
        <w:t xml:space="preserve">», </w:t>
      </w:r>
      <w:hyperlink r:id="rId6" w:history="1">
        <w:r w:rsidRPr="00E46AB5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en-US"/>
          </w:rPr>
          <w:t>https://www.thelancet.com/journals/lanpub/article/PIIS2468-2667(22)00225-0/fulltext</w:t>
        </w:r>
      </w:hyperlink>
      <w:r w:rsidRPr="00E46AB5">
        <w:rPr>
          <w:rFonts w:ascii="GHEA Grapalat" w:hAnsi="GHEA Grapalat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hyperlink r:id="rId7" w:history="1">
        <w:r w:rsidRPr="00E46AB5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en-US"/>
          </w:rPr>
          <w:t>https://www.oecd.org/health/health-systems/AMR-Tackling-the-Burden-in-the-</w:t>
        </w:r>
        <w:r w:rsidRPr="00E46AB5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en-US"/>
          </w:rPr>
          <w:lastRenderedPageBreak/>
          <w:t>EU-OECD-ECDC-Briefing-Note-2019.pdf</w:t>
        </w:r>
      </w:hyperlink>
      <w:r w:rsidRPr="00E46AB5">
        <w:rPr>
          <w:rFonts w:ascii="GHEA Grapalat" w:hAnsi="GHEA Grapalat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E46AB5">
        <w:rPr>
          <w:rFonts w:ascii="GHEA Grapalat" w:hAnsi="GHEA Grapalat"/>
          <w:color w:val="212121"/>
          <w:sz w:val="24"/>
          <w:szCs w:val="24"/>
          <w:shd w:val="clear" w:color="auto" w:fill="FFFFFF"/>
          <w:lang w:val="hy-AM"/>
        </w:rPr>
        <w:t>)</w:t>
      </w:r>
      <w:r w:rsidRPr="00E46AB5">
        <w:rPr>
          <w:rFonts w:ascii="GHEA Grapalat" w:hAnsi="GHEA Grapalat" w:cs="Sylfaen"/>
          <w:sz w:val="24"/>
          <w:szCs w:val="24"/>
          <w:lang w:val="hy-AM"/>
        </w:rPr>
        <w:t>, ՀՄԿ - ը մինչև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2050 թվականը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պատճառ կհանդիսանա տարեկան 10 միլիոն մահվան դեպքերի, իսկ տնտեսական բեռը կկազմի 100 տրլ դոլար: Համաձայն ԱՀԿ-ի` եվրոպական տարածաշրջանի 28 երկրներում իրականացված տնտեսական հաշվարկի, հակամանրէային դեղերի ռացիոնալ կիրառման դեպքում 51%-ով նվազում է մահացությունը և տնտեսվում է 2.3 մլրդ եվրո, պատշաճ ձեռքերի հիգիենայի իրականացումը նվազեցնում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է մահացությունը 43%-ով և տնտեսում է 2,97 մլրդ եվրո, իսկ ՀՄԿ խնդրի վերաբերյալ բնակչության իրազեկվածության բարձրացումը 2%-ով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նվազեցնում է մահացությունը</w:t>
      </w:r>
      <w:r w:rsidR="00CD4637" w:rsidRPr="00E46A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և տնտեսում է 60 մլն եվրո: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Գյուղատնտեսության</w:t>
      </w:r>
      <w:r w:rsidR="00C4308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և անասնաբուժության ոլորտներում հակամանրէային դեղերը կիրառվում են ոչ միայն բուժական նպատակներով, այլև վարակների կանխարգելման, իսկ որոշ երկրներում` նաև կենդանիների աճը խթանելու համար: Մանրէները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ներառյալ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դրանց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դեղակայուն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ձևերը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կարող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կենդանիներից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մարդկանց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փոխանցվել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ուղղակի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անուղղակի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ճանապարհներով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`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տարածում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գտնելով</w:t>
      </w: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 բնակչության շրջանում: 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/>
          <w:bCs/>
          <w:sz w:val="24"/>
          <w:szCs w:val="24"/>
          <w:lang w:val="hy-AM"/>
        </w:rPr>
        <w:t xml:space="preserve">Աշխարհում հակամանրէային դեղերի օգտագործման 70%-ը ընկնում է գյուղատնտեսության ոլորտի վրա: </w:t>
      </w:r>
    </w:p>
    <w:p w:rsidR="006F1A0F" w:rsidRPr="00E46AB5" w:rsidRDefault="006F1A0F" w:rsidP="00FC521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Շրջակա միջավայրն առանցքային դեր է խաղում ՀՄԿ զարգացման, փոխանցման և տարածման գործում: Մարդածին գործոնները մեծացնում են շրջակա միջավայրի կարևորությունը որպես մարդու վրա ՀՄԿ ազդեցության ուղի: </w:t>
      </w:r>
      <w:r w:rsidR="00DD5DFA" w:rsidRPr="00B931A7">
        <w:rPr>
          <w:rFonts w:ascii="GHEA Grapalat" w:hAnsi="GHEA Grapalat" w:cs="Sylfaen"/>
          <w:sz w:val="24"/>
          <w:szCs w:val="24"/>
          <w:lang w:val="hy-AM"/>
        </w:rPr>
        <w:t>Մեծ քանակությամբ հակաբակտերիային դեղերի արտանետումը շրջակա միջավայր պայմանավոված է հիմնականում կոյուղաջրերի ու կեղտաջրերի արտահոսքով և անասնաբուծական ֆերմաների գոմաղբով, որտեղ գյուղատնտեսական կենդանիներին կերակրում են հակաբակտերիային դեղեր պարունակող կերերով: Այդ արտանետումները կարող են պարունակել նաև կայուն ախտածին մանրէներ և դրանց գեները:</w:t>
      </w:r>
      <w:r w:rsidR="00DD5DFA" w:rsidRPr="00E46AB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7721E" w:rsidRPr="00E46AB5" w:rsidRDefault="0027721E" w:rsidP="00FC5218">
      <w:pPr>
        <w:tabs>
          <w:tab w:val="left" w:pos="567"/>
        </w:tabs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ու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իսկ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են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հակամանրէային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շրջանառության կանոնակարգմանն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անասնաբուժության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lastRenderedPageBreak/>
        <w:t>արտադրության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ոլորտներում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հակամանրէային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լայն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է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միջգերատեսչական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համագործակցություն</w:t>
      </w:r>
      <w:r w:rsidRPr="00E46AB5">
        <w:rPr>
          <w:rFonts w:ascii="GHEA Grapalat" w:hAnsi="GHEA Grapalat"/>
          <w:sz w:val="24"/>
          <w:szCs w:val="24"/>
          <w:lang w:val="hy-AM"/>
        </w:rPr>
        <w:t>:</w:t>
      </w:r>
    </w:p>
    <w:p w:rsidR="000D54E0" w:rsidRPr="00E46AB5" w:rsidRDefault="000D54E0" w:rsidP="00FC5218">
      <w:pPr>
        <w:tabs>
          <w:tab w:val="left" w:pos="567"/>
        </w:tabs>
        <w:spacing w:line="360" w:lineRule="auto"/>
        <w:ind w:firstLine="709"/>
        <w:rPr>
          <w:rFonts w:ascii="GHEA Grapalat" w:hAnsi="GHEA Grapalat"/>
          <w:noProof/>
          <w:sz w:val="24"/>
          <w:szCs w:val="24"/>
          <w:lang w:val="hy-AM"/>
        </w:rPr>
      </w:pPr>
      <w:r w:rsidRPr="00E46AB5">
        <w:rPr>
          <w:rFonts w:ascii="GHEA Grapalat" w:hAnsi="GHEA Grapalat"/>
          <w:sz w:val="24"/>
          <w:szCs w:val="24"/>
          <w:lang w:val="hy-AM"/>
        </w:rPr>
        <w:t>2017 թվականի մայիսի 29-ին Հայաստանում մեկնարկել է Հակամանրէային դեղերի նկատմամբ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կայունության պլանային ախտորոշիչ համաճարակաբանական հսկողության մեխանիզմների ապացուցման նպատակով հետազոտությունը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bCs/>
          <w:sz w:val="24"/>
          <w:szCs w:val="24"/>
          <w:lang w:val="hy-AM"/>
        </w:rPr>
        <w:t>(այսուհետ` Հետազոտություն)</w:t>
      </w:r>
      <w:r w:rsidRPr="00E46AB5">
        <w:rPr>
          <w:rFonts w:ascii="GHEA Grapalat" w:hAnsi="GHEA Grapalat"/>
          <w:sz w:val="24"/>
          <w:szCs w:val="24"/>
          <w:lang w:val="hy-AM"/>
        </w:rPr>
        <w:t>, որի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շրջանակներում 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>«Հիվանդությունների վերահսկման և կանխարգելման ազգային կենտրոն» պետակ</w:t>
      </w:r>
      <w:r w:rsidR="0027721E" w:rsidRPr="00E46AB5">
        <w:rPr>
          <w:rFonts w:ascii="GHEA Grapalat" w:hAnsi="GHEA Grapalat"/>
          <w:noProof/>
          <w:sz w:val="24"/>
          <w:szCs w:val="24"/>
          <w:lang w:val="hy-AM"/>
        </w:rPr>
        <w:t>ան ոչ առևտրային կազմակերպության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բազայի վրա</w:t>
      </w:r>
      <w:r w:rsidR="00C4308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>ստեղծվել է հ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ակամանրէային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նկատմամբ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կայունության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վերաբերյալ</w:t>
      </w:r>
      <w:r w:rsidR="00C4308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տվյալների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ազգային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Էլեկտրոնային</w:t>
      </w:r>
      <w:r w:rsidRPr="00E46AB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noProof/>
          <w:sz w:val="24"/>
          <w:szCs w:val="24"/>
          <w:lang w:val="hy-AM"/>
        </w:rPr>
        <w:t>բազա</w:t>
      </w:r>
      <w:r w:rsidR="00EC73C3" w:rsidRPr="00E46AB5">
        <w:rPr>
          <w:rFonts w:ascii="GHEA Grapalat" w:hAnsi="GHEA Grapalat" w:cs="Sylfaen"/>
          <w:noProof/>
          <w:sz w:val="24"/>
          <w:szCs w:val="24"/>
          <w:lang w:val="hy-AM"/>
        </w:rPr>
        <w:t>, իրականցվել է</w:t>
      </w:r>
      <w:r w:rsidR="00C430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արյան թվով 2052 նմուշառում, հետազոտությունների արդյունքում թվով 102 մանրէների հայտնաբերմամբ: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 xml:space="preserve"> Հետազոտության արդյունքում պարզվել է, որ բ</w:t>
      </w:r>
      <w:r w:rsidRPr="00E46AB5">
        <w:rPr>
          <w:rFonts w:ascii="GHEA Grapalat" w:hAnsi="GHEA Grapalat"/>
          <w:sz w:val="24"/>
          <w:szCs w:val="24"/>
          <w:lang w:val="hy-AM"/>
        </w:rPr>
        <w:t>ուժառուների 63,8 % -ը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 xml:space="preserve"> (որից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>80%` երեխաների շրջանում)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մինչ արյան նմուշառո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>ւմը ստացել են հակաբակտերիալ դեղ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: 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>Ը</w:t>
      </w:r>
      <w:r w:rsidRPr="00E46AB5">
        <w:rPr>
          <w:rFonts w:ascii="GHEA Grapalat" w:hAnsi="GHEA Grapalat"/>
          <w:sz w:val="24"/>
          <w:szCs w:val="24"/>
          <w:lang w:val="hy-AM"/>
        </w:rPr>
        <w:t>ստ տարիքային խմբ</w:t>
      </w:r>
      <w:r w:rsidR="0027721E" w:rsidRPr="00E46AB5">
        <w:rPr>
          <w:rFonts w:ascii="GHEA Grapalat" w:hAnsi="GHEA Grapalat"/>
          <w:sz w:val="24"/>
          <w:szCs w:val="24"/>
          <w:lang w:val="hy-AM"/>
        </w:rPr>
        <w:t>եր</w:t>
      </w:r>
      <w:r w:rsidRPr="00E46AB5">
        <w:rPr>
          <w:rFonts w:ascii="GHEA Grapalat" w:hAnsi="GHEA Grapalat"/>
          <w:sz w:val="24"/>
          <w:szCs w:val="24"/>
          <w:lang w:val="hy-AM"/>
        </w:rPr>
        <w:t>ի`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35%-ը`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0-1 ամսական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(դրական արդյունք` 1,7%),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10,7 %-ը` 1-12 ամսական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(դրական արդյունք 4,6%),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21,4 % -ը` 1-5 տարեկան (դրական արդյունք 3,9%), 12,3%-ը`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6-17 տարեկան (դրական արդյունք 3,2%), 13,5%-ը` 18-64 տարեկան (դրական արդյունք 12,0%), 7,1 %-ը` 64 տարեկան և բարձր (դրական արդյունք 15,2%) բուժառուները:</w:t>
      </w:r>
    </w:p>
    <w:p w:rsidR="00BC5A83" w:rsidRPr="00E46AB5" w:rsidRDefault="0027721E" w:rsidP="00FC5218">
      <w:pPr>
        <w:tabs>
          <w:tab w:val="left" w:pos="567"/>
        </w:tabs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/>
          <w:sz w:val="24"/>
          <w:szCs w:val="24"/>
          <w:lang w:val="hy-AM"/>
        </w:rPr>
        <w:t>Առողջապահության նախարարի հրամաններով հաստատվել են մի շարք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ուղեցույցներ, վարման կարգեր, մեթոդական ցուցումներ, որոնցում ներառված են հակամանրէային դեղերի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պատշաճ օգտ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ագործման հստակ կանոնակարգումներ, ինչպես նաև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Առողջապահության նախարարի 2016 թվականի դեկտեմբերի 30-ի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N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3906 -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Ա հրամանով հաստատվել են.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ՀՄԴ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-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ների նկատմամբ մանրէների զգայունության որոշմամբ զբաղվող եվրոպական կոմիտեի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(European Committee on Antimicrobial Susceptibility Testing (EUCAST)) (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այսուհետ՝ ԷՈՒՔԱՍՏ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)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հրահանգներին համապատասխանեցված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«Հակամանրէային դեղերի նկատմամբ մանրէների զգայունության որոշում սկավառակա-դիֆուզիոն մեթոդով մեթոդական ցուցումները, «Հակամանրէային դեղերի նկատմամբ մանրէների զգայունության գնահատման փորձագիտական կանոնները» և «Մանրէների կողմից հակամանրէային դեղերի նկատմամբ կլինիկական ու համաճարակաբանական նշանակություն ունեցող կայունության մեխանիզմների որոշման» մեթոդական ուղեցույցը (EUCAST):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br/>
      </w:r>
      <w:r w:rsidR="00392E84" w:rsidRPr="00E46AB5">
        <w:rPr>
          <w:rFonts w:ascii="GHEA Grapalat" w:hAnsi="GHEA Grapalat"/>
          <w:sz w:val="24"/>
          <w:szCs w:val="24"/>
          <w:lang w:val="hy-AM"/>
        </w:rPr>
        <w:lastRenderedPageBreak/>
        <w:t>ՀՀ կառավարության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E84" w:rsidRPr="00E46AB5">
        <w:rPr>
          <w:rFonts w:ascii="GHEA Grapalat" w:hAnsi="GHEA Grapalat"/>
          <w:sz w:val="24"/>
          <w:szCs w:val="24"/>
          <w:lang w:val="hy-AM"/>
        </w:rPr>
        <w:t>2019 թվականի օգոստոսի 15-ի N 1080-Ն որոշման համաձայն բոլոր համակարգային ազդեցությամբ հակավարակային, այդ թվում՝ հակաբակտերիային, հակասնկային, հակամիկոբակտերիային և հակավիրուսային դեղերը ենթակա են բացթողման միայն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E84" w:rsidRPr="00E46AB5">
        <w:rPr>
          <w:rFonts w:ascii="GHEA Grapalat" w:hAnsi="GHEA Grapalat"/>
          <w:sz w:val="24"/>
          <w:szCs w:val="24"/>
          <w:lang w:val="hy-AM"/>
        </w:rPr>
        <w:t>դեղատոմսով: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4E0" w:rsidRPr="00E46AB5">
        <w:rPr>
          <w:rFonts w:ascii="GHEA Grapalat" w:hAnsi="GHEA Grapalat"/>
          <w:sz w:val="24"/>
          <w:szCs w:val="24"/>
          <w:lang w:val="hy-AM"/>
        </w:rPr>
        <w:t>Չնայած դրան COVID 19 հ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t xml:space="preserve">ամավարակով պայմանավորված զգալի </w:t>
      </w:r>
      <w:r w:rsidR="000D54E0" w:rsidRPr="00E46AB5">
        <w:rPr>
          <w:rFonts w:ascii="GHEA Grapalat" w:hAnsi="GHEA Grapalat"/>
          <w:sz w:val="24"/>
          <w:szCs w:val="24"/>
          <w:lang w:val="hy-AM"/>
        </w:rPr>
        <w:t>աճել էին հակամանրէային դեղերի ոչ նպատակային նշանակումները, ինչպես նաև դեղատներից այդ դեղերն առանց դեղատոմսի ձեռք բերելը: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D54E0" w:rsidRPr="00E46AB5" w:rsidRDefault="00BC5A83" w:rsidP="00FC5218">
      <w:pPr>
        <w:tabs>
          <w:tab w:val="left" w:pos="567"/>
        </w:tabs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/>
          <w:sz w:val="24"/>
          <w:szCs w:val="24"/>
          <w:lang w:val="hy-AM"/>
        </w:rPr>
        <w:t>2020 թվականի հուլիս-սեպտեմբեր ամիսներին հավաքագրվել են դեղատներում տրամադրված հակամանրէային դեղերի վերաբերյալ տվյալները` ԱՀԿ էթիկայի հանձնաժողովի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կողմից հաստատված ծրագրի համաձայն, որի արդյունքում պարզվել է,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բաց թողնված դեղերի մեջ առաջատարը ազիթրոմիցին պարունակող դեղերն են (26,6%), որոնց հաջորդում են ամօքսիցիլինի և քլավուլանաթթվի համակցությունները (17,2%), ցեֆտրիաքսոնը (12,7%), ամօքսիցիլինը (9,3%), լևոֆլօքսացինը (6,1%)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և ցիպրոֆլօքսացինը (5,5%), ընդ որում ներքին ընդունման դեղաձևերի մեջ առաջատարը ազիթրոմիցինն է, իսկ ներարկման դեղաձևերի մեջ՝ ցեֆտրիաքսոնը: </w:t>
      </w:r>
    </w:p>
    <w:p w:rsidR="00716FC9" w:rsidRPr="00E46AB5" w:rsidRDefault="00716FC9" w:rsidP="00FC5218">
      <w:pPr>
        <w:spacing w:line="360" w:lineRule="auto"/>
        <w:ind w:firstLine="0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B605EE" w:rsidRPr="00E46AB5" w:rsidRDefault="00B605EE" w:rsidP="00FC5218">
      <w:pPr>
        <w:tabs>
          <w:tab w:val="left" w:pos="567"/>
          <w:tab w:val="left" w:pos="897"/>
        </w:tabs>
        <w:spacing w:line="360" w:lineRule="auto"/>
        <w:ind w:firstLine="0"/>
        <w:rPr>
          <w:rFonts w:ascii="GHEA Grapalat" w:hAnsi="GHEA Grapalat" w:cs="Courier New"/>
          <w:b/>
          <w:sz w:val="24"/>
          <w:szCs w:val="24"/>
          <w:lang w:val="hy-AM"/>
        </w:rPr>
      </w:pPr>
      <w:r w:rsidRPr="00E46AB5">
        <w:rPr>
          <w:rFonts w:ascii="GHEA Grapalat" w:hAnsi="GHEA Grapalat" w:cs="Courier New"/>
          <w:b/>
          <w:sz w:val="24"/>
          <w:szCs w:val="24"/>
          <w:lang w:val="hy-AM"/>
        </w:rPr>
        <w:t>2. Առաջարկվող կագավորումների բնույթը</w:t>
      </w:r>
    </w:p>
    <w:p w:rsidR="00AA533C" w:rsidRPr="00E46AB5" w:rsidRDefault="00AA533C" w:rsidP="00FC5218">
      <w:pPr>
        <w:spacing w:line="360" w:lineRule="auto"/>
        <w:ind w:firstLine="709"/>
        <w:rPr>
          <w:rFonts w:ascii="GHEA Grapalat" w:hAnsi="GHEA Grapalat" w:cs="Sylfaen"/>
          <w:sz w:val="24"/>
          <w:szCs w:val="24"/>
          <w:lang w:val="hy-AM"/>
        </w:rPr>
      </w:pPr>
      <w:r w:rsidRPr="00E46AB5">
        <w:rPr>
          <w:rFonts w:ascii="GHEA Grapalat" w:hAnsi="GHEA Grapalat" w:cs="Sylfaen"/>
          <w:bCs/>
          <w:sz w:val="24"/>
          <w:szCs w:val="24"/>
          <w:lang w:val="hy-AM"/>
        </w:rPr>
        <w:t>ՀՄԿ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հակամանրէային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սերտ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համագործակցություն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է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են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հանրային առողջապահությունը,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կլինիկական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բժշկությունը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համաճարակաբանությունը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մանրէաբանությունը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վարակի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կանխարգելումը և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դեղագիտությունը, անասնաբուժությունը</w:t>
      </w:r>
      <w:r w:rsidRPr="00E46AB5">
        <w:rPr>
          <w:rFonts w:ascii="GHEA Grapalat" w:hAnsi="GHEA Grapalat"/>
          <w:sz w:val="24"/>
          <w:szCs w:val="24"/>
          <w:lang w:val="hy-AM"/>
        </w:rPr>
        <w:t>, անասնաբուծությունը, ձկնաբուծությունը,</w:t>
      </w:r>
      <w:r w:rsidR="00B931A7">
        <w:rPr>
          <w:rFonts w:ascii="GHEA Grapalat" w:hAnsi="GHEA Grapalat"/>
          <w:sz w:val="24"/>
          <w:szCs w:val="24"/>
          <w:lang w:val="hy-AM"/>
        </w:rPr>
        <w:t xml:space="preserve"> շրջակա միջավայրը, կրթությունը </w:t>
      </w:r>
      <w:r w:rsidRPr="00E46AB5">
        <w:rPr>
          <w:rFonts w:ascii="GHEA Grapalat" w:hAnsi="GHEA Grapalat"/>
          <w:sz w:val="24"/>
          <w:szCs w:val="24"/>
          <w:lang w:val="hy-AM"/>
        </w:rPr>
        <w:t>և այլն: Ուստի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ներդնել միջոլորտային համագործակցություն` ապահովելով տարբեր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գերատեսչությունների</w:t>
      </w:r>
      <w:r w:rsidR="00C43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և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46AB5">
        <w:rPr>
          <w:rFonts w:ascii="GHEA Grapalat" w:hAnsi="GHEA Grapalat"/>
          <w:sz w:val="24"/>
          <w:szCs w:val="24"/>
          <w:lang w:val="hy-AM"/>
        </w:rPr>
        <w:t xml:space="preserve"> աշխատանքը «Մեկ առողջություն» գաղափարի շուրջ: </w:t>
      </w:r>
    </w:p>
    <w:p w:rsidR="00716FC9" w:rsidRPr="00E46AB5" w:rsidRDefault="00B931A7" w:rsidP="00FC5218">
      <w:pPr>
        <w:spacing w:line="360" w:lineRule="auto"/>
        <w:ind w:firstLine="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Անհրաժեշտուն է առաջացել </w:t>
      </w:r>
      <w:r w:rsidRPr="00B931A7">
        <w:rPr>
          <w:rFonts w:ascii="GHEA Grapalat" w:hAnsi="GHEA Grapalat"/>
          <w:color w:val="000000"/>
          <w:sz w:val="24"/>
          <w:szCs w:val="24"/>
          <w:lang w:val="hy-AM" w:eastAsia="x-none"/>
        </w:rPr>
        <w:t>միջոցառումների իրականացման գործընթացում</w:t>
      </w: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ռ</w:t>
      </w:r>
      <w:r w:rsidR="00716FC9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ազմավարական նպատակների, պետական կառավարման համակարգի մարմինների՝ </w:t>
      </w:r>
      <w:r w:rsidR="00716FC9" w:rsidRPr="00B931A7">
        <w:rPr>
          <w:rFonts w:ascii="GHEA Grapalat" w:hAnsi="GHEA Grapalat"/>
          <w:color w:val="000000"/>
          <w:sz w:val="24"/>
          <w:szCs w:val="24"/>
          <w:lang w:val="hy-AM" w:eastAsia="x-none"/>
        </w:rPr>
        <w:t>օրենքով սահմանված լիազորությունների շրջանակում իրականաց</w:t>
      </w: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վելիք </w:t>
      </w:r>
      <w:r>
        <w:rPr>
          <w:rFonts w:ascii="GHEA Grapalat" w:hAnsi="GHEA Grapalat"/>
          <w:color w:val="000000"/>
          <w:sz w:val="24"/>
          <w:szCs w:val="24"/>
          <w:lang w:val="hy-AM" w:eastAsia="x-none"/>
        </w:rPr>
        <w:lastRenderedPageBreak/>
        <w:t>միջոցառումների, այդ թվում</w:t>
      </w:r>
      <w:r w:rsidR="00716FC9" w:rsidRPr="00B931A7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միջգերատեսչական ձևաչափով իրականացվելիք միջոցառումների նկարագրերի, դրանց իրականացման ժամկետների, պատասխանատուների և այլ անհրաժեշտ տեղեկատվության</w:t>
      </w:r>
      <w:r w:rsidR="00C43080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  <w:r w:rsidR="00716FC9" w:rsidRPr="00B931A7">
        <w:rPr>
          <w:rFonts w:ascii="GHEA Grapalat" w:hAnsi="GHEA Grapalat"/>
          <w:color w:val="000000"/>
          <w:sz w:val="24"/>
          <w:szCs w:val="24"/>
          <w:lang w:val="hy-AM" w:eastAsia="x-none"/>
        </w:rPr>
        <w:t>և լիազորությունների սահ</w:t>
      </w: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>մանում</w:t>
      </w:r>
      <w:r w:rsidR="00716FC9" w:rsidRPr="00B931A7">
        <w:rPr>
          <w:rFonts w:ascii="GHEA Grapalat" w:hAnsi="GHEA Grapalat"/>
          <w:color w:val="000000"/>
          <w:sz w:val="24"/>
          <w:szCs w:val="24"/>
          <w:lang w:val="hy-AM" w:eastAsia="x-none"/>
        </w:rPr>
        <w:t>։</w:t>
      </w:r>
      <w:r w:rsidR="00C43080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</w:p>
    <w:p w:rsidR="00716FC9" w:rsidRPr="00E46AB5" w:rsidRDefault="00716FC9" w:rsidP="00FC5218">
      <w:pPr>
        <w:tabs>
          <w:tab w:val="left" w:pos="567"/>
          <w:tab w:val="left" w:pos="897"/>
        </w:tabs>
        <w:spacing w:line="360" w:lineRule="auto"/>
        <w:ind w:firstLine="709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Համագործակցություն համապատասխան միջազգային կառույցների</w:t>
      </w:r>
      <w:r w:rsidR="00C43080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հետ գիտատեխնիկական, տվյալների հավաքագրման, իրազեկման ոլորտներում լավագույն փորձի կիրարկման գործընթացում։ Արդյունավետ օրենսդրական, գործադիր, վարչական և/կամ այլ միջոցների և համապատասխան այլ մարմինների հետ համագործակցում</w:t>
      </w:r>
      <w:r w:rsidR="00C43080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  <w:r w:rsidR="00BD3AC2" w:rsidRPr="00E46AB5">
        <w:rPr>
          <w:rFonts w:ascii="GHEA Grapalat" w:hAnsi="GHEA Grapalat"/>
          <w:sz w:val="24"/>
          <w:szCs w:val="24"/>
          <w:lang w:val="hy-AM"/>
        </w:rPr>
        <w:t>հակամանրէային դեղերի նկատմամբ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AC2" w:rsidRPr="00E46AB5">
        <w:rPr>
          <w:rFonts w:ascii="GHEA Grapalat" w:hAnsi="GHEA Grapalat"/>
          <w:sz w:val="24"/>
          <w:szCs w:val="24"/>
          <w:lang w:val="hy-AM"/>
        </w:rPr>
        <w:t>կայունության</w:t>
      </w:r>
      <w:r w:rsidR="00BD3AC2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զարգացման </w:t>
      </w: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կանխման և նվազեցման համապատասխան քաղաքականության մշակման գործում։ </w:t>
      </w:r>
      <w:r w:rsidR="00BD3AC2" w:rsidRPr="00E46AB5">
        <w:rPr>
          <w:rFonts w:ascii="GHEA Grapalat" w:hAnsi="GHEA Grapalat"/>
          <w:sz w:val="24"/>
          <w:szCs w:val="24"/>
          <w:lang w:val="hy-AM"/>
        </w:rPr>
        <w:t>Հակամանրէային դեղերի նկատմամբ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AC2" w:rsidRPr="00E46AB5">
        <w:rPr>
          <w:rFonts w:ascii="GHEA Grapalat" w:hAnsi="GHEA Grapalat"/>
          <w:sz w:val="24"/>
          <w:szCs w:val="24"/>
          <w:lang w:val="hy-AM"/>
        </w:rPr>
        <w:t>կայունության</w:t>
      </w:r>
      <w:r w:rsidR="00BD3AC2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  <w:r w:rsidR="00E33DA7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որո</w:t>
      </w:r>
      <w:r w:rsidR="00BD3AC2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շման նպատակով</w:t>
      </w: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ազգային հետազոտությունների և գիտահետազոտական ծրագրերի հա</w:t>
      </w:r>
      <w:r w:rsidR="000650EC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մակարգմանն ուղղված միջոց</w:t>
      </w: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առումների պլանավորում և անցկացում։</w:t>
      </w:r>
    </w:p>
    <w:p w:rsidR="00B605EE" w:rsidRPr="00E46AB5" w:rsidRDefault="00B605EE" w:rsidP="00FC5218">
      <w:pPr>
        <w:tabs>
          <w:tab w:val="left" w:pos="567"/>
          <w:tab w:val="left" w:pos="897"/>
        </w:tabs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B605EE" w:rsidRPr="00E46AB5" w:rsidRDefault="00B605EE" w:rsidP="00FC5218">
      <w:pPr>
        <w:tabs>
          <w:tab w:val="left" w:pos="567"/>
          <w:tab w:val="left" w:pos="897"/>
        </w:tabs>
        <w:spacing w:line="360" w:lineRule="auto"/>
        <w:ind w:firstLine="0"/>
        <w:rPr>
          <w:rFonts w:ascii="GHEA Grapalat" w:hAnsi="GHEA Grapalat" w:cs="Courier New"/>
          <w:b/>
          <w:sz w:val="24"/>
          <w:szCs w:val="24"/>
          <w:lang w:val="hy-AM"/>
        </w:rPr>
      </w:pPr>
      <w:r w:rsidRPr="00E46AB5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E46AB5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605EE" w:rsidRPr="00E46AB5" w:rsidRDefault="00B605EE" w:rsidP="00FC5218">
      <w:pPr>
        <w:spacing w:line="360" w:lineRule="auto"/>
        <w:ind w:firstLine="709"/>
        <w:rPr>
          <w:rFonts w:ascii="GHEA Grapalat" w:hAnsi="GHEA Grapalat" w:cs="Arial"/>
          <w:color w:val="222222"/>
          <w:sz w:val="24"/>
          <w:szCs w:val="24"/>
          <w:lang w:val="hy-AM" w:eastAsia="en-GB"/>
        </w:rPr>
      </w:pPr>
      <w:r w:rsidRPr="00E46AB5">
        <w:rPr>
          <w:rFonts w:ascii="GHEA Grapalat" w:hAnsi="GHEA Grapalat"/>
          <w:sz w:val="24"/>
          <w:szCs w:val="24"/>
          <w:lang w:val="hy-AM"/>
        </w:rPr>
        <w:t xml:space="preserve">Նախագիծը մշակվել </w:t>
      </w:r>
      <w:r w:rsidR="008135FF" w:rsidRPr="00E46AB5">
        <w:rPr>
          <w:rFonts w:ascii="GHEA Grapalat" w:hAnsi="GHEA Grapalat"/>
          <w:sz w:val="24"/>
          <w:szCs w:val="24"/>
          <w:lang w:val="hy-AM"/>
        </w:rPr>
        <w:t xml:space="preserve">է Առողջապահության, Էկոնոմիկայի նախարարության, </w:t>
      </w:r>
      <w:r w:rsidR="008135FF" w:rsidRPr="00E46AB5">
        <w:rPr>
          <w:rFonts w:ascii="GHEA Grapalat" w:hAnsi="GHEA Grapalat" w:cs="Arial"/>
          <w:color w:val="222222"/>
          <w:sz w:val="24"/>
          <w:szCs w:val="24"/>
          <w:lang w:val="hy-AM" w:eastAsia="en-GB"/>
        </w:rPr>
        <w:t xml:space="preserve">Սննդամթերքի </w:t>
      </w:r>
      <w:r w:rsidR="00E33DA7" w:rsidRPr="00E46AB5">
        <w:rPr>
          <w:rFonts w:ascii="GHEA Grapalat" w:hAnsi="GHEA Grapalat" w:cs="Arial"/>
          <w:color w:val="222222"/>
          <w:sz w:val="24"/>
          <w:szCs w:val="24"/>
          <w:lang w:val="hy-AM" w:eastAsia="en-GB"/>
        </w:rPr>
        <w:t>անվտանգության տեսչությա</w:t>
      </w:r>
      <w:r w:rsidR="008135FF" w:rsidRPr="00E46AB5">
        <w:rPr>
          <w:rFonts w:ascii="GHEA Grapalat" w:hAnsi="GHEA Grapalat" w:cs="Arial"/>
          <w:color w:val="222222"/>
          <w:sz w:val="24"/>
          <w:szCs w:val="24"/>
          <w:lang w:val="hy-AM" w:eastAsia="en-GB"/>
        </w:rPr>
        <w:t xml:space="preserve">ն </w:t>
      </w:r>
      <w:r w:rsidRPr="00E46AB5">
        <w:rPr>
          <w:rFonts w:ascii="GHEA Grapalat" w:hAnsi="GHEA Grapalat"/>
          <w:sz w:val="24"/>
          <w:szCs w:val="24"/>
          <w:lang w:val="hy-AM"/>
        </w:rPr>
        <w:t>աշխատակիցների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t xml:space="preserve"> կողմից`</w:t>
      </w:r>
      <w:r w:rsidR="008135FF" w:rsidRPr="00E46AB5">
        <w:rPr>
          <w:rFonts w:ascii="GHEA Grapalat" w:hAnsi="GHEA Grapalat"/>
          <w:sz w:val="24"/>
          <w:szCs w:val="24"/>
          <w:lang w:val="hy-AM"/>
        </w:rPr>
        <w:t xml:space="preserve"> ԱՀԿ</w:t>
      </w:r>
      <w:r w:rsidR="00DD5DFA" w:rsidRPr="00E46AB5">
        <w:rPr>
          <w:rFonts w:ascii="GHEA Grapalat" w:hAnsi="GHEA Grapalat"/>
          <w:sz w:val="24"/>
          <w:szCs w:val="24"/>
          <w:lang w:val="hy-AM"/>
        </w:rPr>
        <w:t>-ի</w:t>
      </w:r>
      <w:r w:rsidR="00AA533C" w:rsidRPr="00E46AB5">
        <w:rPr>
          <w:rFonts w:ascii="GHEA Grapalat" w:hAnsi="GHEA Grapalat"/>
          <w:sz w:val="24"/>
          <w:szCs w:val="24"/>
          <w:lang w:val="hy-AM"/>
        </w:rPr>
        <w:t>, ՄԱԿ-ի Պարենի և գյուղատնտեսության կազմակերպության</w:t>
      </w:r>
      <w:r w:rsidR="008135FF" w:rsidRPr="00E46AB5">
        <w:rPr>
          <w:rFonts w:ascii="GHEA Grapalat" w:hAnsi="GHEA Grapalat"/>
          <w:sz w:val="24"/>
          <w:szCs w:val="24"/>
          <w:lang w:val="hy-AM"/>
        </w:rPr>
        <w:t xml:space="preserve"> միջազգային փորձագետների տեխնիկական աջակցությամբ</w:t>
      </w:r>
      <w:r w:rsidRPr="00E46AB5">
        <w:rPr>
          <w:rFonts w:ascii="GHEA Grapalat" w:hAnsi="GHEA Grapalat"/>
          <w:sz w:val="24"/>
          <w:szCs w:val="24"/>
          <w:lang w:val="hy-AM"/>
        </w:rPr>
        <w:t>:</w:t>
      </w:r>
    </w:p>
    <w:p w:rsidR="00B605EE" w:rsidRPr="00E46AB5" w:rsidRDefault="00B605EE" w:rsidP="00FC5218">
      <w:pPr>
        <w:tabs>
          <w:tab w:val="left" w:pos="567"/>
          <w:tab w:val="left" w:pos="897"/>
        </w:tabs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 w:eastAsia="x-none"/>
        </w:rPr>
      </w:pPr>
    </w:p>
    <w:p w:rsidR="00DD576E" w:rsidRPr="00E46AB5" w:rsidRDefault="00DD576E" w:rsidP="00FC5218">
      <w:pPr>
        <w:tabs>
          <w:tab w:val="left" w:pos="567"/>
          <w:tab w:val="left" w:pos="897"/>
        </w:tabs>
        <w:spacing w:line="360" w:lineRule="auto"/>
        <w:ind w:firstLine="0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E46AB5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="00716FC9" w:rsidRPr="00E46AB5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F85256" w:rsidRPr="00E46AB5" w:rsidRDefault="00DD576E" w:rsidP="00FC5218">
      <w:pPr>
        <w:spacing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Նախագծի ընդունմամբ</w:t>
      </w:r>
      <w:r w:rsidR="00716FC9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ակնկալվում է </w:t>
      </w:r>
      <w:r w:rsidR="007F5DCC" w:rsidRPr="00E46AB5">
        <w:rPr>
          <w:rFonts w:ascii="GHEA Grapalat" w:hAnsi="GHEA Grapalat"/>
          <w:color w:val="000000"/>
          <w:sz w:val="24"/>
          <w:szCs w:val="24"/>
          <w:lang w:val="hy-AM" w:eastAsia="x-none"/>
        </w:rPr>
        <w:t>ն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վազագույնի հասցնել</w:t>
      </w:r>
      <w:r w:rsidR="00C43080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 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հակամանրէային դեղերի ոչ նպատակային կիրառումը ինչպես մարդկանց, այնպես էլ կենդանիների շրջանում,</w:t>
      </w:r>
      <w:r w:rsidR="007F5DCC" w:rsidRPr="00E46AB5">
        <w:rPr>
          <w:rFonts w:ascii="GHEA Grapalat" w:eastAsiaTheme="minorEastAsia" w:hAnsi="GHEA Grapalat"/>
          <w:iCs/>
          <w:color w:val="000000"/>
          <w:kern w:val="24"/>
          <w:sz w:val="24"/>
          <w:szCs w:val="24"/>
          <w:lang w:val="hy-AM"/>
        </w:rPr>
        <w:t xml:space="preserve"> զ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արգացնել լաբորատոր</w:t>
      </w:r>
      <w:r w:rsidR="00C43080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 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հետազոտությունների</w:t>
      </w:r>
      <w:r w:rsidR="00C43080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 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կարողությունները առողջապահության,</w:t>
      </w:r>
      <w:r w:rsidR="00C43080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 </w:t>
      </w:r>
      <w:r w:rsidR="007F5DCC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սննդամթերքի անվտանգության, գյուղատնտեսության և շրջակա միջավայրի ոլորտներում, ինչպես նաև իրականացնել այլ միջոցառումներ</w:t>
      </w:r>
      <w:r w:rsidR="00DD5DFA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` ուղղված</w:t>
      </w:r>
      <w:r w:rsidR="00B931A7" w:rsidRPr="00B931A7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 </w:t>
      </w:r>
      <w:r w:rsidR="00B931A7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>ՀՄԿ կանխախարգելմանն ու հսկողությանը</w:t>
      </w:r>
      <w:r w:rsidR="000A17B7" w:rsidRPr="00E46AB5">
        <w:rPr>
          <w:rFonts w:ascii="GHEA Grapalat" w:eastAsiaTheme="minorEastAsia" w:hAnsi="GHEA Grapalat" w:cs="Cambria Math"/>
          <w:iCs/>
          <w:color w:val="000000"/>
          <w:kern w:val="24"/>
          <w:sz w:val="24"/>
          <w:szCs w:val="24"/>
          <w:lang w:val="hy-AM"/>
        </w:rPr>
        <w:t xml:space="preserve">: </w:t>
      </w:r>
    </w:p>
    <w:p w:rsidR="00F85256" w:rsidRPr="00E46AB5" w:rsidRDefault="00F85256" w:rsidP="00FC5218">
      <w:pPr>
        <w:tabs>
          <w:tab w:val="left" w:pos="284"/>
          <w:tab w:val="left" w:pos="851"/>
        </w:tabs>
        <w:spacing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p w:rsidR="00EC73C3" w:rsidRPr="00E46AB5" w:rsidRDefault="00EC73C3" w:rsidP="00FC5218">
      <w:pPr>
        <w:pStyle w:val="ListParagraph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 w:rsidRPr="00E46AB5">
        <w:rPr>
          <w:rFonts w:ascii="GHEA Grapalat" w:hAnsi="GHEA Grapalat" w:cs="IRTEK Courier"/>
          <w:b/>
          <w:sz w:val="24"/>
          <w:szCs w:val="24"/>
          <w:lang w:val="hy-AM"/>
        </w:rPr>
        <w:t xml:space="preserve">Լրացուցիչ ֆինանսական միջոցների անհրաժեշտություն և պետական բյուջեի </w:t>
      </w:r>
      <w:r w:rsidRPr="00E46AB5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r w:rsidRPr="00E46AB5">
        <w:rPr>
          <w:rFonts w:ascii="GHEA Grapalat" w:hAnsi="GHEA Grapalat" w:cs="IRTEK Courier"/>
          <w:b/>
          <w:sz w:val="24"/>
          <w:szCs w:val="24"/>
          <w:lang w:val="hy-AM"/>
        </w:rPr>
        <w:t xml:space="preserve"> և ծախսերում սպասվելիք փոփոխություններ</w:t>
      </w:r>
    </w:p>
    <w:p w:rsidR="00EC73C3" w:rsidRPr="00E46AB5" w:rsidRDefault="00FD52E3" w:rsidP="00FC5218">
      <w:pPr>
        <w:autoSpaceDE w:val="0"/>
        <w:autoSpaceDN w:val="0"/>
        <w:adjustRightInd w:val="0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B931A7">
        <w:rPr>
          <w:rFonts w:ascii="GHEA Grapalat" w:hAnsi="GHEA Grapalat"/>
          <w:sz w:val="24"/>
          <w:szCs w:val="24"/>
          <w:lang w:val="hy-AM"/>
        </w:rPr>
        <w:lastRenderedPageBreak/>
        <w:t>Նախագծի ընդունումը</w:t>
      </w:r>
      <w:r w:rsidR="00EC73C3" w:rsidRPr="00B931A7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պետական բյուջեում ծախսերի և </w:t>
      </w:r>
      <w:r w:rsidR="00EC73C3" w:rsidRPr="00E46AB5">
        <w:rPr>
          <w:rFonts w:ascii="GHEA Grapalat" w:hAnsi="GHEA Grapalat" w:cs="Sylfaen"/>
          <w:sz w:val="24"/>
          <w:szCs w:val="24"/>
          <w:lang w:val="af-ZA"/>
        </w:rPr>
        <w:t>եկամուտների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կամ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չի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3C3" w:rsidRPr="00E46AB5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="00EC73C3" w:rsidRPr="00E46AB5">
        <w:rPr>
          <w:rFonts w:ascii="GHEA Grapalat" w:hAnsi="GHEA Grapalat"/>
          <w:sz w:val="24"/>
          <w:szCs w:val="24"/>
          <w:lang w:val="hy-AM"/>
        </w:rPr>
        <w:t>:</w:t>
      </w:r>
    </w:p>
    <w:p w:rsidR="00EC73C3" w:rsidRPr="00E46AB5" w:rsidRDefault="00EC73C3" w:rsidP="00FC5218">
      <w:pPr>
        <w:autoSpaceDE w:val="0"/>
        <w:autoSpaceDN w:val="0"/>
        <w:adjustRightInd w:val="0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EC73C3" w:rsidRPr="00E46AB5" w:rsidRDefault="00EC73C3" w:rsidP="00FC5218">
      <w:pPr>
        <w:pStyle w:val="ListParagraph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6AB5">
        <w:rPr>
          <w:rFonts w:ascii="GHEA Grapalat" w:hAnsi="GHEA Grapalat"/>
          <w:b/>
          <w:sz w:val="24"/>
          <w:szCs w:val="24"/>
          <w:lang w:val="hy-AM"/>
        </w:rPr>
        <w:t xml:space="preserve">Կապը </w:t>
      </w:r>
      <w:r w:rsidR="000650EC" w:rsidRPr="00E46AB5">
        <w:rPr>
          <w:rFonts w:ascii="GHEA Grapalat" w:hAnsi="GHEA Grapalat"/>
          <w:b/>
          <w:sz w:val="24"/>
          <w:szCs w:val="24"/>
          <w:lang w:val="hy-AM"/>
        </w:rPr>
        <w:t>ռազմավարական</w:t>
      </w:r>
      <w:r w:rsidRPr="00E46A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50EC" w:rsidRPr="00E46AB5">
        <w:rPr>
          <w:rFonts w:ascii="GHEA Grapalat" w:hAnsi="GHEA Grapalat"/>
          <w:b/>
          <w:sz w:val="24"/>
          <w:szCs w:val="24"/>
          <w:lang w:val="hy-AM"/>
        </w:rPr>
        <w:t>փաստաթղթերի</w:t>
      </w:r>
      <w:r w:rsidRPr="00E46AB5">
        <w:rPr>
          <w:rFonts w:ascii="GHEA Grapalat" w:hAnsi="GHEA Grapalat"/>
          <w:b/>
          <w:sz w:val="24"/>
          <w:szCs w:val="24"/>
          <w:lang w:val="hy-AM"/>
        </w:rPr>
        <w:t xml:space="preserve"> հետ. Հայաստանի վերափոխման ռազմավարություն 2050, Կառավարության 2021-2026թթ. ծրագիր, ոլորտային և/կամ այլ </w:t>
      </w:r>
      <w:r w:rsidR="000650EC" w:rsidRPr="00E46AB5">
        <w:rPr>
          <w:rFonts w:ascii="GHEA Grapalat" w:hAnsi="GHEA Grapalat"/>
          <w:b/>
          <w:sz w:val="24"/>
          <w:szCs w:val="24"/>
          <w:lang w:val="hy-AM"/>
        </w:rPr>
        <w:t>ռազմավարություններ</w:t>
      </w:r>
    </w:p>
    <w:p w:rsidR="00D06EAB" w:rsidRPr="00C43080" w:rsidRDefault="00BC5A83" w:rsidP="00C43080">
      <w:pPr>
        <w:spacing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</w:t>
      </w:r>
      <w:r w:rsidR="000650EC" w:rsidRPr="00E46AB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6A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հավելված 1-ի</w:t>
      </w:r>
      <w:r w:rsidR="00C430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6AB5">
        <w:rPr>
          <w:rFonts w:ascii="GHEA Grapalat" w:hAnsi="GHEA Grapalat"/>
          <w:sz w:val="24"/>
          <w:szCs w:val="24"/>
          <w:lang w:val="hy-AM"/>
        </w:rPr>
        <w:t>«</w:t>
      </w:r>
      <w:r w:rsidRPr="00E46AB5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Առողջապահության նախարարություն</w:t>
      </w:r>
      <w:r w:rsidRPr="00E46AB5">
        <w:rPr>
          <w:rFonts w:ascii="GHEA Grapalat" w:hAnsi="GHEA Grapalat"/>
          <w:sz w:val="24"/>
          <w:szCs w:val="24"/>
          <w:lang w:val="hy-AM"/>
        </w:rPr>
        <w:t>» բաժնի 8.1-ին</w:t>
      </w:r>
      <w:r w:rsidRPr="00E46AB5">
        <w:rPr>
          <w:rFonts w:ascii="GHEA Grapalat" w:hAnsi="GHEA Grapalat" w:cs="Sylfaen"/>
          <w:bCs/>
          <w:sz w:val="24"/>
          <w:szCs w:val="24"/>
          <w:lang w:val="hy-AM" w:eastAsia="hy-AM"/>
        </w:rPr>
        <w:t xml:space="preserve"> կետ</w:t>
      </w:r>
      <w:r w:rsidRPr="00E46AB5">
        <w:rPr>
          <w:rFonts w:ascii="GHEA Grapalat" w:hAnsi="GHEA Grapalat"/>
          <w:sz w:val="24"/>
          <w:szCs w:val="24"/>
          <w:lang w:val="hy-AM"/>
        </w:rPr>
        <w:t>:</w:t>
      </w:r>
    </w:p>
    <w:sectPr w:rsidR="00D06EAB" w:rsidRPr="00C43080" w:rsidSect="00C43080">
      <w:pgSz w:w="11906" w:h="16838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217"/>
    <w:multiLevelType w:val="multilevel"/>
    <w:tmpl w:val="C7242B4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0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5" w:hanging="2160"/>
      </w:pPr>
      <w:rPr>
        <w:rFonts w:hint="default"/>
      </w:rPr>
    </w:lvl>
  </w:abstractNum>
  <w:abstractNum w:abstractNumId="1" w15:restartNumberingAfterBreak="0">
    <w:nsid w:val="09F817D1"/>
    <w:multiLevelType w:val="hybridMultilevel"/>
    <w:tmpl w:val="283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7EE2"/>
    <w:multiLevelType w:val="hybridMultilevel"/>
    <w:tmpl w:val="C4E2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FA6"/>
    <w:multiLevelType w:val="hybridMultilevel"/>
    <w:tmpl w:val="3FA643DE"/>
    <w:lvl w:ilvl="0" w:tplc="383A65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2521"/>
    <w:multiLevelType w:val="hybridMultilevel"/>
    <w:tmpl w:val="BA52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1F30"/>
    <w:multiLevelType w:val="hybridMultilevel"/>
    <w:tmpl w:val="1312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315"/>
    <w:multiLevelType w:val="hybridMultilevel"/>
    <w:tmpl w:val="010C6780"/>
    <w:lvl w:ilvl="0" w:tplc="1C821D4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4BE"/>
    <w:multiLevelType w:val="hybridMultilevel"/>
    <w:tmpl w:val="43346E7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1"/>
    <w:rsid w:val="00025421"/>
    <w:rsid w:val="00045577"/>
    <w:rsid w:val="00047B35"/>
    <w:rsid w:val="00054018"/>
    <w:rsid w:val="000561AF"/>
    <w:rsid w:val="000650EC"/>
    <w:rsid w:val="000802A1"/>
    <w:rsid w:val="000A17B7"/>
    <w:rsid w:val="000A3F79"/>
    <w:rsid w:val="000C6DB3"/>
    <w:rsid w:val="000D54E0"/>
    <w:rsid w:val="000F64C4"/>
    <w:rsid w:val="001221F1"/>
    <w:rsid w:val="00162994"/>
    <w:rsid w:val="00172896"/>
    <w:rsid w:val="001B4406"/>
    <w:rsid w:val="001C0B2C"/>
    <w:rsid w:val="001C2864"/>
    <w:rsid w:val="001E7270"/>
    <w:rsid w:val="001F0B3A"/>
    <w:rsid w:val="002018E8"/>
    <w:rsid w:val="00212608"/>
    <w:rsid w:val="002251E4"/>
    <w:rsid w:val="0027360D"/>
    <w:rsid w:val="0027721E"/>
    <w:rsid w:val="002778C3"/>
    <w:rsid w:val="002B224A"/>
    <w:rsid w:val="00327293"/>
    <w:rsid w:val="0037000E"/>
    <w:rsid w:val="00382529"/>
    <w:rsid w:val="00392E84"/>
    <w:rsid w:val="00394558"/>
    <w:rsid w:val="003C3763"/>
    <w:rsid w:val="003D296B"/>
    <w:rsid w:val="004253A8"/>
    <w:rsid w:val="00433E6B"/>
    <w:rsid w:val="00452084"/>
    <w:rsid w:val="004603FB"/>
    <w:rsid w:val="00462DC2"/>
    <w:rsid w:val="00472B90"/>
    <w:rsid w:val="00476BCF"/>
    <w:rsid w:val="00483480"/>
    <w:rsid w:val="004A03E7"/>
    <w:rsid w:val="004A5211"/>
    <w:rsid w:val="00501AF6"/>
    <w:rsid w:val="005767FE"/>
    <w:rsid w:val="0057748F"/>
    <w:rsid w:val="005844E7"/>
    <w:rsid w:val="005A5BA4"/>
    <w:rsid w:val="005B1F2C"/>
    <w:rsid w:val="005C42A9"/>
    <w:rsid w:val="005E2537"/>
    <w:rsid w:val="005E7799"/>
    <w:rsid w:val="006074B1"/>
    <w:rsid w:val="006373BE"/>
    <w:rsid w:val="006454E3"/>
    <w:rsid w:val="006548C6"/>
    <w:rsid w:val="00660DC9"/>
    <w:rsid w:val="00673EA3"/>
    <w:rsid w:val="00682FA0"/>
    <w:rsid w:val="006C7011"/>
    <w:rsid w:val="006E13FC"/>
    <w:rsid w:val="006F1A0F"/>
    <w:rsid w:val="00702524"/>
    <w:rsid w:val="00716FC9"/>
    <w:rsid w:val="0072327B"/>
    <w:rsid w:val="00727A76"/>
    <w:rsid w:val="00743AF3"/>
    <w:rsid w:val="00745FD1"/>
    <w:rsid w:val="00752B8B"/>
    <w:rsid w:val="007974E7"/>
    <w:rsid w:val="007E699D"/>
    <w:rsid w:val="007F5DCC"/>
    <w:rsid w:val="008135FF"/>
    <w:rsid w:val="008202A8"/>
    <w:rsid w:val="008227D9"/>
    <w:rsid w:val="008229A1"/>
    <w:rsid w:val="008304CA"/>
    <w:rsid w:val="00830C88"/>
    <w:rsid w:val="00867BED"/>
    <w:rsid w:val="00882466"/>
    <w:rsid w:val="00883A3C"/>
    <w:rsid w:val="008C0AB2"/>
    <w:rsid w:val="008E6012"/>
    <w:rsid w:val="0093485E"/>
    <w:rsid w:val="00935CBB"/>
    <w:rsid w:val="009B1611"/>
    <w:rsid w:val="00A42542"/>
    <w:rsid w:val="00A63EE5"/>
    <w:rsid w:val="00A94AE0"/>
    <w:rsid w:val="00AA533C"/>
    <w:rsid w:val="00AC094D"/>
    <w:rsid w:val="00AD1BF4"/>
    <w:rsid w:val="00B03422"/>
    <w:rsid w:val="00B40B2E"/>
    <w:rsid w:val="00B415CF"/>
    <w:rsid w:val="00B5736B"/>
    <w:rsid w:val="00B600C9"/>
    <w:rsid w:val="00B605EE"/>
    <w:rsid w:val="00B648A2"/>
    <w:rsid w:val="00B931A7"/>
    <w:rsid w:val="00BB19C1"/>
    <w:rsid w:val="00BC5A83"/>
    <w:rsid w:val="00BD3AC2"/>
    <w:rsid w:val="00C001CF"/>
    <w:rsid w:val="00C325F0"/>
    <w:rsid w:val="00C43080"/>
    <w:rsid w:val="00C72D71"/>
    <w:rsid w:val="00CD4637"/>
    <w:rsid w:val="00CF2FA6"/>
    <w:rsid w:val="00D06EAB"/>
    <w:rsid w:val="00D229CE"/>
    <w:rsid w:val="00D83D83"/>
    <w:rsid w:val="00DD0FEC"/>
    <w:rsid w:val="00DD3E6B"/>
    <w:rsid w:val="00DD576E"/>
    <w:rsid w:val="00DD5DFA"/>
    <w:rsid w:val="00DE4878"/>
    <w:rsid w:val="00DF1203"/>
    <w:rsid w:val="00E33DA7"/>
    <w:rsid w:val="00E46AB5"/>
    <w:rsid w:val="00E74601"/>
    <w:rsid w:val="00E9541C"/>
    <w:rsid w:val="00E95B09"/>
    <w:rsid w:val="00EA23A6"/>
    <w:rsid w:val="00EB32D5"/>
    <w:rsid w:val="00EC73C3"/>
    <w:rsid w:val="00EF33EA"/>
    <w:rsid w:val="00F12989"/>
    <w:rsid w:val="00F32E4A"/>
    <w:rsid w:val="00F60702"/>
    <w:rsid w:val="00F71E2F"/>
    <w:rsid w:val="00F85256"/>
    <w:rsid w:val="00FA6E84"/>
    <w:rsid w:val="00FB0DFD"/>
    <w:rsid w:val="00FC5218"/>
    <w:rsid w:val="00FD52E3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9EC1"/>
  <w15:docId w15:val="{4AFCC46F-842D-4E5E-B6A6-4274457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F0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nhideWhenUsed/>
    <w:qFormat/>
    <w:rsid w:val="00E9541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E9541C"/>
    <w:pPr>
      <w:spacing w:after="120" w:line="276" w:lineRule="auto"/>
      <w:ind w:left="283" w:firstLine="0"/>
      <w:jc w:val="left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9541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locked/>
    <w:rsid w:val="00E954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,IBL List Paragraph"/>
    <w:basedOn w:val="Normal"/>
    <w:link w:val="ListParagraphChar"/>
    <w:uiPriority w:val="34"/>
    <w:qFormat/>
    <w:rsid w:val="00E9541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C001CF"/>
    <w:rPr>
      <w:rFonts w:ascii="Sylfaen" w:hAnsi="Sylfaen" w:cs="Sylfaen" w:hint="default"/>
      <w:sz w:val="22"/>
      <w:szCs w:val="22"/>
    </w:rPr>
  </w:style>
  <w:style w:type="character" w:styleId="Strong">
    <w:name w:val="Strong"/>
    <w:uiPriority w:val="22"/>
    <w:qFormat/>
    <w:rsid w:val="00DD576E"/>
    <w:rPr>
      <w:b/>
      <w:bCs/>
    </w:rPr>
  </w:style>
  <w:style w:type="paragraph" w:customStyle="1" w:styleId="bc6k">
    <w:name w:val="bc6k"/>
    <w:basedOn w:val="Normal"/>
    <w:rsid w:val="00882466"/>
    <w:pPr>
      <w:ind w:firstLine="0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qFormat/>
    <w:locked/>
    <w:rsid w:val="00882466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F1A0F"/>
    <w:rPr>
      <w:color w:val="0563C1" w:themeColor="hyperlink"/>
      <w:u w:val="single"/>
    </w:rPr>
  </w:style>
  <w:style w:type="character" w:customStyle="1" w:styleId="ref-journal">
    <w:name w:val="ref-journal"/>
    <w:basedOn w:val="DefaultParagraphFont"/>
    <w:rsid w:val="006F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ecd.org/health/health-systems/AMR-Tackling-the-Burden-in-the-EU-OECD-ECDC-Briefing-Note-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lancet.com/journals/lanpub/article/PIIS2468-2667(22)00225-0/full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5694-9C8D-43DA-BDEE-939F180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Abrahamyan</dc:creator>
  <cp:keywords>https:/mul-moh.gov.am/tasks/docs/attachment.php?id=423305&amp;fn=Himnavorum.docx&amp;out=1&amp;token=</cp:keywords>
  <cp:lastModifiedBy>MOH</cp:lastModifiedBy>
  <cp:revision>2</cp:revision>
  <dcterms:created xsi:type="dcterms:W3CDTF">2023-07-21T05:39:00Z</dcterms:created>
  <dcterms:modified xsi:type="dcterms:W3CDTF">2023-07-21T05:39:00Z</dcterms:modified>
</cp:coreProperties>
</file>