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20" w:rsidRPr="00EC3435" w:rsidRDefault="00823420" w:rsidP="00823420">
      <w:pPr>
        <w:spacing w:after="200" w:line="276" w:lineRule="auto"/>
        <w:jc w:val="center"/>
        <w:rPr>
          <w:rFonts w:ascii="GHEA Grapalat" w:hAnsi="GHEA Grapalat"/>
          <w:b/>
          <w:lang w:val="fr-FR"/>
        </w:rPr>
      </w:pPr>
      <w:bookmarkStart w:id="0" w:name="_GoBack"/>
      <w:bookmarkEnd w:id="0"/>
      <w:proofErr w:type="spellStart"/>
      <w:r w:rsidRPr="00EC3435">
        <w:rPr>
          <w:rFonts w:ascii="GHEA Grapalat" w:hAnsi="GHEA Grapalat" w:cs="Sylfaen"/>
          <w:b/>
          <w:lang w:val="fr-FR"/>
        </w:rPr>
        <w:t>Հիմնավորում</w:t>
      </w:r>
      <w:proofErr w:type="spellEnd"/>
    </w:p>
    <w:p w:rsidR="00823420" w:rsidRPr="00EC3435" w:rsidRDefault="00823420" w:rsidP="00823420">
      <w:pPr>
        <w:pStyle w:val="BodyText"/>
        <w:spacing w:before="240" w:after="0" w:line="360" w:lineRule="auto"/>
        <w:jc w:val="center"/>
        <w:rPr>
          <w:rFonts w:ascii="GHEA Grapalat" w:hAnsi="GHEA Grapalat"/>
          <w:lang w:val="hy-AM"/>
        </w:rPr>
      </w:pPr>
      <w:r w:rsidRPr="00EC3435">
        <w:rPr>
          <w:rFonts w:ascii="GHEA Grapalat" w:hAnsi="GHEA Grapalat"/>
          <w:lang w:val="hy-AM"/>
        </w:rPr>
        <w:t>«</w:t>
      </w:r>
      <w:r w:rsidRPr="00EC3435">
        <w:rPr>
          <w:rFonts w:ascii="GHEA Grapalat" w:hAnsi="GHEA Grapalat" w:cs="Sylfaen"/>
          <w:lang w:val="hy-AM"/>
        </w:rPr>
        <w:t>Մաքսային գործի բնագավառում իրականացվող գործունեության տեսակներով զբաղվող իրավաբանական անձանց պարտավորությունների կատարման ապահովումների վերադարձման կարգը</w:t>
      </w:r>
      <w:r w:rsidRPr="00EC3435">
        <w:rPr>
          <w:rFonts w:ascii="GHEA Grapalat" w:hAnsi="GHEA Grapalat"/>
          <w:lang w:val="hy-AM"/>
        </w:rPr>
        <w:t xml:space="preserve"> </w:t>
      </w:r>
      <w:r w:rsidRPr="00EC3435">
        <w:rPr>
          <w:rFonts w:ascii="GHEA Grapalat" w:hAnsi="GHEA Grapalat" w:cs="Sylfaen"/>
          <w:lang w:val="hy-AM"/>
        </w:rPr>
        <w:t>հաստատելու</w:t>
      </w:r>
      <w:r w:rsidRPr="00EC3435">
        <w:rPr>
          <w:rFonts w:ascii="GHEA Grapalat" w:hAnsi="GHEA Grapalat" w:cs="Franklin Gothic Medium Cond"/>
          <w:lang w:val="hy-AM"/>
        </w:rPr>
        <w:t xml:space="preserve"> </w:t>
      </w:r>
      <w:r w:rsidRPr="00EC3435">
        <w:rPr>
          <w:rFonts w:ascii="GHEA Grapalat" w:hAnsi="GHEA Grapalat" w:cs="Sylfaen"/>
          <w:lang w:val="hy-AM"/>
        </w:rPr>
        <w:t>մասին</w:t>
      </w:r>
      <w:r w:rsidRPr="00EC3435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EC3435">
        <w:rPr>
          <w:rFonts w:ascii="GHEA Grapalat" w:hAnsi="GHEA Grapalat" w:cs="Arial"/>
          <w:lang w:val="fr-FR"/>
        </w:rPr>
        <w:t xml:space="preserve"> </w:t>
      </w:r>
      <w:r w:rsidRPr="00EC3435">
        <w:rPr>
          <w:rFonts w:ascii="GHEA Grapalat" w:hAnsi="GHEA Grapalat" w:cs="Sylfaen"/>
          <w:lang w:val="fr-FR"/>
        </w:rPr>
        <w:t>ՀՀ</w:t>
      </w:r>
      <w:r w:rsidRPr="00EC3435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EC3435">
        <w:rPr>
          <w:rFonts w:ascii="GHEA Grapalat" w:hAnsi="GHEA Grapalat" w:cs="Sylfaen"/>
          <w:lang w:val="fr-FR"/>
        </w:rPr>
        <w:t>կառավարության</w:t>
      </w:r>
      <w:proofErr w:type="spellEnd"/>
      <w:r w:rsidRPr="00EC3435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EC3435">
        <w:rPr>
          <w:rFonts w:ascii="GHEA Grapalat" w:hAnsi="GHEA Grapalat" w:cs="Sylfaen"/>
          <w:lang w:val="fr-FR"/>
        </w:rPr>
        <w:t>որոշման</w:t>
      </w:r>
      <w:proofErr w:type="spellEnd"/>
      <w:r w:rsidRPr="00EC3435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EC3435">
        <w:rPr>
          <w:rFonts w:ascii="GHEA Grapalat" w:hAnsi="GHEA Grapalat" w:cs="Sylfaen"/>
          <w:lang w:val="fr-FR"/>
        </w:rPr>
        <w:t>նախագծի</w:t>
      </w:r>
      <w:proofErr w:type="spellEnd"/>
      <w:r w:rsidRPr="00EC3435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EC3435">
        <w:rPr>
          <w:rFonts w:ascii="GHEA Grapalat" w:hAnsi="GHEA Grapalat" w:cs="Sylfaen"/>
          <w:lang w:val="fr-FR"/>
        </w:rPr>
        <w:t>վերաբերյալ</w:t>
      </w:r>
      <w:proofErr w:type="spellEnd"/>
    </w:p>
    <w:p w:rsidR="00823420" w:rsidRPr="00EC3435" w:rsidRDefault="00823420" w:rsidP="00823420">
      <w:pPr>
        <w:spacing w:line="360" w:lineRule="auto"/>
        <w:rPr>
          <w:rFonts w:ascii="GHEA Grapalat" w:hAnsi="GHEA Grapalat"/>
          <w:lang w:val="hy-AM"/>
        </w:rPr>
      </w:pPr>
    </w:p>
    <w:p w:rsidR="00823420" w:rsidRPr="00EC3435" w:rsidRDefault="00823420" w:rsidP="0082342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23420" w:rsidRPr="00EC3435" w:rsidRDefault="00823420" w:rsidP="0082342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/>
          <w:color w:val="000000"/>
          <w:lang w:val="hy-AM" w:eastAsia="hy-AM"/>
        </w:rPr>
      </w:pP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>Իրավական ակտի ընդունման անհրաժեշտությունը, ընթացիկ իրավիճակը և խնդիր</w:t>
      </w:r>
      <w:r w:rsidRPr="00EC3435">
        <w:rPr>
          <w:rFonts w:ascii="GHEA Grapalat" w:eastAsia="Calibri" w:hAnsi="GHEA Grapalat"/>
          <w:b/>
          <w:i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 xml:space="preserve">ները. </w:t>
      </w:r>
      <w:r w:rsidRPr="00EC3435">
        <w:rPr>
          <w:rFonts w:ascii="GHEA Grapalat" w:eastAsia="Calibri" w:hAnsi="GHEA Grapalat"/>
          <w:color w:val="000000"/>
          <w:lang w:val="hy-AM" w:eastAsia="hy-AM"/>
        </w:rPr>
        <w:t>Նախագծի մշակումը պայմանավորված է ՀՀ Ազգային Ժողովի կողմից 2022 թվա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կանի սեպտեմբերի 14-ին «Մաքսային կարգավորման մասին» ՀՕ-353-Ն ՀՀ օրենքի (այսուհետ՝ Օրենք) ընդուն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մամբ, որն ամբողջությամբ նոր մշակված և ընդունված օրենք է: Միաժամանակ, վերո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նշյալ օրենքով ուժը կորց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րած է ճանաչվել նախկինում ընդուն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ված՝ «Մաքսային կար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գավոր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ման մասին» 2014 թվա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կանի դեկտեմբերի 17-ի ՀՕ-241-Ն օրենքը: Կատար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ված օրենսդրական փոփո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խու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թյուն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ների կիրառությունն ապահովելու նպատակով նախկին օրենքի հիման վրա ընդուն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ված ենթա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օրե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նսդրա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կան իրավական ակտերի փոփոխության և նոր իրա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կան ակտերի ընդունման անհ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րաժեշ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տու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թյուն է առաջացել: Մասնավորապես, Նախա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գծի մշակումը պայմանավորված է Օրենքի 249-րդ հոդվածի 22-րդ մասով սահ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ման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ված դրութի կիրարկմամբ, որի համաձայն՝ Կառավարությունը սահմանում է մաք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սա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յին գործի բնագավառում իրականացվող գործունեության տեսակներով զբաղվող իրա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վաբանական անձանց պարտավորությունների կատարման ապահովումների վերա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դարձման կարգը:</w:t>
      </w:r>
    </w:p>
    <w:p w:rsidR="00823420" w:rsidRPr="00EC3435" w:rsidRDefault="00823420" w:rsidP="0082342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/>
          <w:color w:val="000000"/>
          <w:lang w:val="hy-AM" w:eastAsia="hy-AM"/>
        </w:rPr>
      </w:pP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 xml:space="preserve"> Կարգավորման հարաբերությունների ներկա վիճակը և առկա խնդիրները. 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t>Եվրասիական տնտեսական միության մաքսային օրենսգրքի 399-րդ հոդ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վածի 14-րդ մասի համաձայն՝ մաքսային գործի բնագավառում գործունեություն իրա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կանացնող իրավա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բա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նա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կան անձի պարտավորությունների կատարման ապա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հո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վումը վերադարձվում է այն անդամ պետության մաքսային մարմնի կողմից, որտեղ տրա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մադրվել է այդ ապահովումը՝ այդ պետու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թյան օրենսդրությամբ սահմանվող կար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>գով:</w:t>
      </w:r>
    </w:p>
    <w:p w:rsidR="00823420" w:rsidRPr="00EC3435" w:rsidRDefault="00823420" w:rsidP="00823420">
      <w:pPr>
        <w:shd w:val="clear" w:color="auto" w:fill="FFFFFF" w:themeFill="background1"/>
        <w:spacing w:line="360" w:lineRule="auto"/>
        <w:ind w:firstLine="567"/>
        <w:jc w:val="both"/>
        <w:rPr>
          <w:rFonts w:ascii="GHEA Grapalat" w:eastAsia="Calibri" w:hAnsi="GHEA Grapalat"/>
          <w:color w:val="000000"/>
          <w:lang w:val="hy-AM" w:eastAsia="hy-AM"/>
        </w:rPr>
      </w:pP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t>Խնդիրը կայանում է նրանում, որ «Մաքսային կարգավորման մասին» նախկին օրեն</w:t>
      </w:r>
      <w:r w:rsidRPr="00EC3435">
        <w:rPr>
          <w:rFonts w:ascii="GHEA Grapalat" w:eastAsia="Calibri" w:hAnsi="GHEA Grapalat"/>
          <w:bCs/>
          <w:iCs/>
          <w:color w:val="000000"/>
          <w:lang w:val="hy-AM" w:eastAsia="hy-AM"/>
        </w:rPr>
        <w:softHyphen/>
        <w:t xml:space="preserve">քով վերոնշյալ կարգի ընդունման համար լիազորող նոր սահմանված չէր, իսկ արդեն </w:t>
      </w:r>
      <w:r w:rsidRPr="00EC3435">
        <w:rPr>
          <w:rFonts w:ascii="GHEA Grapalat" w:eastAsia="Calibri" w:hAnsi="GHEA Grapalat"/>
          <w:color w:val="000000"/>
          <w:lang w:val="hy-AM" w:eastAsia="hy-AM"/>
        </w:rPr>
        <w:t xml:space="preserve">ՀՀ Ազգային </w:t>
      </w:r>
      <w:r w:rsidRPr="00EC3435">
        <w:rPr>
          <w:rFonts w:ascii="GHEA Grapalat" w:eastAsia="Calibri" w:hAnsi="GHEA Grapalat"/>
          <w:color w:val="000000"/>
          <w:lang w:val="hy-AM" w:eastAsia="hy-AM"/>
        </w:rPr>
        <w:lastRenderedPageBreak/>
        <w:t>Ժողովի կող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մից 2022 թվա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կանի սեպտեմբերի 14-ին ընդունված Օրենքով նախատեսվել է մաք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սա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յին գործի բնագավառում իրականացվող գործունեության տեսակ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նե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րով զբաղվող իրա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վաբանական անձանց պարտավորությունների կատարման ապահո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վում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ների վերա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դարձման կարգի սահմանման հնարավորություն:</w:t>
      </w:r>
    </w:p>
    <w:p w:rsidR="00823420" w:rsidRPr="00EC3435" w:rsidRDefault="00823420" w:rsidP="0082342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 w:eastAsia="en-US"/>
        </w:rPr>
      </w:pP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 xml:space="preserve">Առկա խնդիրների առաջարկվող լուծումները. </w:t>
      </w:r>
      <w:r w:rsidRPr="00EC3435">
        <w:rPr>
          <w:rFonts w:ascii="GHEA Grapalat" w:eastAsia="Calibri" w:hAnsi="GHEA Grapalat"/>
          <w:color w:val="000000"/>
          <w:lang w:val="hy-AM" w:eastAsia="hy-AM"/>
        </w:rPr>
        <w:t>Նախագծով նախատեսվում է սահ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մանել մաքսային գործի բնագավառում իրականացվող գործունեության տեսակ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նե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րով զբաղվող իրավաբանական անձանց պարտավորությունների կատարման ապա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հովումների վերադարձման կարգ: Արդյունքում, մաքսային գործի բնագավառում իրականացվող գործունեության տեսակ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նե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րով զբաղվող իրավաբանական անձանց պարտավորությունների կատարման ապա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հովումները կարող են վերադարձվել ԵԱՏՄ մաքսային օրենսգրքի 399-րդ հոդվածի 13-րդ կետով սահմանված դեպքերում: Մասնավորապես՝</w:t>
      </w:r>
    </w:p>
    <w:p w:rsidR="00823420" w:rsidRPr="00EC3435" w:rsidRDefault="00823420" w:rsidP="00823420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 w:eastAsia="en-US"/>
        </w:rPr>
      </w:pPr>
      <w:r w:rsidRPr="00EC3435">
        <w:rPr>
          <w:rFonts w:ascii="GHEA Grapalat" w:hAnsi="GHEA Grapalat"/>
          <w:color w:val="000000"/>
          <w:lang w:val="hy-AM"/>
        </w:rPr>
        <w:t>մաքսային գործի բնագավառում գործունեություն իրականացնելուն հավակնող իրավաբանական անձին մաքսային գործի բնագավառում գործունեություն իրականացնող անձանց ռեեստրում ներառելը մերժելու,</w:t>
      </w:r>
    </w:p>
    <w:p w:rsidR="00823420" w:rsidRPr="00EC3435" w:rsidRDefault="00823420" w:rsidP="0082342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C3435">
        <w:rPr>
          <w:rFonts w:ascii="GHEA Grapalat" w:hAnsi="GHEA Grapalat"/>
          <w:color w:val="000000"/>
          <w:lang w:val="hy-AM"/>
        </w:rPr>
        <w:t>ապահովման մի եղանակը մյուսով փոխարինելու,</w:t>
      </w:r>
    </w:p>
    <w:p w:rsidR="00823420" w:rsidRPr="00EC3435" w:rsidRDefault="00823420" w:rsidP="0082342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EC3435">
        <w:rPr>
          <w:rFonts w:ascii="GHEA Grapalat" w:hAnsi="GHEA Grapalat"/>
          <w:color w:val="000000"/>
          <w:lang w:val="hy-AM"/>
        </w:rPr>
        <w:t>մաքսային գործի բնագավառում գործունեություն իրականացնող անձանց ռեեստրից իրավաբանական անձին հանելու դեպքերում:</w:t>
      </w:r>
    </w:p>
    <w:p w:rsidR="00823420" w:rsidRPr="00EC3435" w:rsidRDefault="00823420" w:rsidP="0082342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/>
          <w:color w:val="000000"/>
          <w:lang w:val="hy-AM" w:eastAsia="hy-AM"/>
        </w:rPr>
      </w:pP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 xml:space="preserve">Կարգավորման առարկան. </w:t>
      </w:r>
      <w:r w:rsidRPr="00EC3435">
        <w:rPr>
          <w:rFonts w:ascii="GHEA Grapalat" w:eastAsia="Calibri" w:hAnsi="GHEA Grapalat"/>
          <w:color w:val="000000"/>
          <w:lang w:val="hy-AM" w:eastAsia="hy-AM"/>
        </w:rPr>
        <w:t>Նախագծի կարգավորման առարկան մաքսային գործի բնագավառում իրականացվող գործունեության տեսակներով զբաղվող իրա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վա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բանական անձանց պարտավորությունների կատարման ապահովումների վերա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դարձ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ման  կարգն է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:</w:t>
      </w:r>
    </w:p>
    <w:p w:rsidR="00823420" w:rsidRPr="00EC3435" w:rsidRDefault="00823420" w:rsidP="00823420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Նախագծի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մշակման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գործընթացում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ներգրավված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ինստիտուտները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և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>անձինք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fr-FR" w:eastAsia="hy-AM"/>
        </w:rPr>
        <w:t>.</w:t>
      </w:r>
      <w:r w:rsidRPr="00EC3435">
        <w:rPr>
          <w:rFonts w:ascii="GHEA Grapalat" w:eastAsia="Calibri" w:hAnsi="GHEA Grapalat"/>
          <w:b/>
          <w:bCs/>
          <w:i/>
          <w:iCs/>
          <w:color w:val="000000" w:themeColor="text1"/>
          <w:lang w:val="hy-AM" w:eastAsia="hy-AM"/>
        </w:rPr>
        <w:t xml:space="preserve"> </w:t>
      </w:r>
      <w:r w:rsidRPr="00EC3435">
        <w:rPr>
          <w:rFonts w:ascii="GHEA Grapalat" w:eastAsia="Calibri" w:hAnsi="GHEA Grapalat"/>
          <w:color w:val="000000" w:themeColor="text1"/>
          <w:lang w:val="hy-AM" w:eastAsia="hy-AM"/>
        </w:rPr>
        <w:t>Նախագիծը</w:t>
      </w:r>
      <w:r w:rsidRPr="00EC3435">
        <w:rPr>
          <w:rFonts w:ascii="GHEA Grapalat" w:eastAsia="Calibri" w:hAnsi="GHEA Grapalat"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color w:val="000000" w:themeColor="text1"/>
          <w:lang w:val="hy-AM" w:eastAsia="hy-AM"/>
        </w:rPr>
        <w:t>մշակվել</w:t>
      </w:r>
      <w:r w:rsidRPr="00EC3435">
        <w:rPr>
          <w:rFonts w:ascii="GHEA Grapalat" w:eastAsia="Calibri" w:hAnsi="GHEA Grapalat"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color w:val="000000" w:themeColor="text1"/>
          <w:lang w:val="hy-AM" w:eastAsia="hy-AM"/>
        </w:rPr>
        <w:t>է</w:t>
      </w:r>
      <w:r w:rsidRPr="00EC3435">
        <w:rPr>
          <w:rFonts w:ascii="GHEA Grapalat" w:eastAsia="Calibri" w:hAnsi="GHEA Grapalat"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color w:val="000000" w:themeColor="text1"/>
          <w:lang w:val="hy-AM" w:eastAsia="hy-AM"/>
        </w:rPr>
        <w:t>Հայաստանի</w:t>
      </w:r>
      <w:r w:rsidRPr="00EC3435">
        <w:rPr>
          <w:rFonts w:ascii="GHEA Grapalat" w:eastAsia="Calibri" w:hAnsi="GHEA Grapalat"/>
          <w:color w:val="000000" w:themeColor="text1"/>
          <w:lang w:val="fr-FR" w:eastAsia="hy-AM"/>
        </w:rPr>
        <w:t xml:space="preserve"> </w:t>
      </w:r>
      <w:r w:rsidRPr="00EC3435">
        <w:rPr>
          <w:rFonts w:ascii="GHEA Grapalat" w:eastAsia="Calibri" w:hAnsi="GHEA Grapalat"/>
          <w:color w:val="000000" w:themeColor="text1"/>
          <w:lang w:val="hy-AM" w:eastAsia="hy-AM"/>
        </w:rPr>
        <w:t>Հանրապետության ֆինանսների նախա</w:t>
      </w:r>
      <w:r w:rsidRPr="00EC3435">
        <w:rPr>
          <w:rFonts w:ascii="GHEA Grapalat" w:eastAsia="Calibri" w:hAnsi="GHEA Grapalat"/>
          <w:color w:val="000000" w:themeColor="text1"/>
          <w:lang w:val="hy-AM" w:eastAsia="hy-AM"/>
        </w:rPr>
        <w:softHyphen/>
        <w:t>րարության  կողմից</w:t>
      </w:r>
      <w:r w:rsidRPr="00EC3435">
        <w:rPr>
          <w:rFonts w:ascii="GHEA Grapalat" w:eastAsia="Calibri" w:hAnsi="GHEA Grapalat"/>
          <w:color w:val="000000" w:themeColor="text1"/>
          <w:lang w:val="fr-FR" w:eastAsia="hy-AM"/>
        </w:rPr>
        <w:t>:</w:t>
      </w:r>
    </w:p>
    <w:p w:rsidR="00823420" w:rsidRPr="00EC3435" w:rsidRDefault="00823420" w:rsidP="00823420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>Պետական բյուջեի եկամուտներում և ծախսերում սպասվելիք փոփոխու</w:t>
      </w:r>
      <w:r w:rsidRPr="00EC3435">
        <w:rPr>
          <w:rFonts w:ascii="GHEA Grapalat" w:eastAsia="Calibri" w:hAnsi="GHEA Grapalat"/>
          <w:b/>
          <w:i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>թյուն</w:t>
      </w:r>
      <w:r w:rsidRPr="00EC3435">
        <w:rPr>
          <w:rFonts w:ascii="GHEA Grapalat" w:eastAsia="Calibri" w:hAnsi="GHEA Grapalat"/>
          <w:b/>
          <w:i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b/>
          <w:bCs/>
          <w:i/>
          <w:iCs/>
          <w:color w:val="000000"/>
          <w:lang w:val="hy-AM" w:eastAsia="hy-AM"/>
        </w:rPr>
        <w:t xml:space="preserve">ները. </w:t>
      </w:r>
      <w:r w:rsidRPr="00EC3435">
        <w:rPr>
          <w:rFonts w:ascii="GHEA Grapalat" w:eastAsia="Calibri" w:hAnsi="GHEA Grapalat"/>
          <w:color w:val="000000"/>
          <w:lang w:val="hy-AM" w:eastAsia="hy-AM"/>
        </w:rPr>
        <w:t>Նախագծի ընդունմամբ Հայաստանի Հանրապետության պետական բյու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ջեում եկա</w:t>
      </w:r>
      <w:r w:rsidRPr="00EC3435">
        <w:rPr>
          <w:rFonts w:ascii="GHEA Grapalat" w:eastAsia="Calibri" w:hAnsi="GHEA Grapalat"/>
          <w:bCs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t>մուտ</w:t>
      </w:r>
      <w:r w:rsidRPr="00EC3435">
        <w:rPr>
          <w:rFonts w:ascii="GHEA Grapalat" w:eastAsia="Calibri" w:hAnsi="GHEA Grapalat"/>
          <w:bCs/>
          <w:color w:val="000000"/>
          <w:lang w:val="hy-AM" w:eastAsia="hy-AM"/>
        </w:rPr>
        <w:softHyphen/>
      </w:r>
      <w:r w:rsidRPr="00EC3435">
        <w:rPr>
          <w:rFonts w:ascii="GHEA Grapalat" w:eastAsia="Calibri" w:hAnsi="GHEA Grapalat"/>
          <w:color w:val="000000"/>
          <w:lang w:val="hy-AM" w:eastAsia="hy-AM"/>
        </w:rPr>
        <w:t>ների և ծախսերի ավելացում կամ նվազեցում չի նախատեսվում։ Նախա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գծի ընդուն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մամբ լրացուցիչ ֆինանսական միջոցների ներգրավման անհրա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ժեշ</w:t>
      </w:r>
      <w:r w:rsidRPr="00EC3435">
        <w:rPr>
          <w:rFonts w:ascii="GHEA Grapalat" w:eastAsia="Calibri" w:hAnsi="GHEA Grapalat"/>
          <w:color w:val="000000"/>
          <w:lang w:val="hy-AM" w:eastAsia="hy-AM"/>
        </w:rPr>
        <w:softHyphen/>
        <w:t>տություն առկա չէ:</w:t>
      </w:r>
    </w:p>
    <w:p w:rsidR="004070A3" w:rsidRDefault="004070A3"/>
    <w:sectPr w:rsidR="004070A3" w:rsidSect="00823420">
      <w:pgSz w:w="12240" w:h="15840"/>
      <w:pgMar w:top="1135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BB038D2"/>
    <w:multiLevelType w:val="hybridMultilevel"/>
    <w:tmpl w:val="2B4C5990"/>
    <w:lvl w:ilvl="0" w:tplc="04090011">
      <w:start w:val="1"/>
      <w:numFmt w:val="decimal"/>
      <w:lvlText w:val="%1)"/>
      <w:lvlJc w:val="left"/>
      <w:pPr>
        <w:ind w:left="1355" w:hanging="360"/>
      </w:p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20"/>
    <w:rsid w:val="004070A3"/>
    <w:rsid w:val="008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D181E-29F3-4130-BA15-E48FD24F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20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23420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234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Tepanyan</dc:creator>
  <cp:keywords/>
  <dc:description/>
  <cp:lastModifiedBy>Asya Tepanyan</cp:lastModifiedBy>
  <cp:revision>1</cp:revision>
  <dcterms:created xsi:type="dcterms:W3CDTF">2023-06-12T06:57:00Z</dcterms:created>
  <dcterms:modified xsi:type="dcterms:W3CDTF">2023-06-12T06:59:00Z</dcterms:modified>
</cp:coreProperties>
</file>