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79D92" w14:textId="77777777" w:rsidR="00FD520C" w:rsidRPr="0091634E" w:rsidRDefault="00FD520C" w:rsidP="00FD520C">
      <w:pPr>
        <w:spacing w:line="240" w:lineRule="auto"/>
        <w:jc w:val="right"/>
        <w:rPr>
          <w:b/>
          <w:bCs/>
          <w:color w:val="000000"/>
          <w:sz w:val="22"/>
          <w:szCs w:val="22"/>
        </w:rPr>
      </w:pPr>
      <w:r w:rsidRPr="0091634E">
        <w:rPr>
          <w:b/>
          <w:bCs/>
          <w:color w:val="000000"/>
          <w:sz w:val="22"/>
          <w:szCs w:val="22"/>
        </w:rPr>
        <w:t>Ձև N4</w:t>
      </w:r>
    </w:p>
    <w:p w14:paraId="31D4C2D5" w14:textId="77777777" w:rsidR="00FD520C" w:rsidRPr="00D87352" w:rsidRDefault="00FD520C" w:rsidP="00FD520C">
      <w:pPr>
        <w:spacing w:line="240" w:lineRule="auto"/>
        <w:jc w:val="right"/>
        <w:rPr>
          <w:color w:val="000000"/>
          <w:sz w:val="22"/>
          <w:szCs w:val="22"/>
        </w:rPr>
      </w:pPr>
    </w:p>
    <w:p w14:paraId="4A432DAF" w14:textId="77777777" w:rsidR="00FD520C" w:rsidRPr="00AF6526" w:rsidRDefault="00FD520C" w:rsidP="00FD520C">
      <w:pPr>
        <w:spacing w:after="120" w:line="240" w:lineRule="auto"/>
        <w:rPr>
          <w:rFonts w:eastAsiaTheme="minorEastAsia" w:cs="Arial"/>
          <w:bCs/>
        </w:rPr>
      </w:pPr>
      <w:bookmarkStart w:id="0" w:name="_Toc103941611"/>
      <w:bookmarkStart w:id="1" w:name="_Hlk106268627"/>
      <w:r w:rsidRPr="00AF6526">
        <w:rPr>
          <w:b/>
          <w:bCs/>
          <w:sz w:val="20"/>
          <w:szCs w:val="20"/>
        </w:rPr>
        <w:t xml:space="preserve">Դրամական եկամուտների բաշխումն ըստ հեշտ և դժվար ստուգելի եկամուտների </w:t>
      </w:r>
      <w:r>
        <w:rPr>
          <w:b/>
          <w:bCs/>
          <w:sz w:val="20"/>
          <w:szCs w:val="20"/>
        </w:rPr>
        <w:t>ՀՀ ընտանիքներում</w:t>
      </w:r>
      <w:r w:rsidRPr="00AF6526">
        <w:rPr>
          <w:b/>
          <w:bCs/>
          <w:sz w:val="20"/>
          <w:szCs w:val="20"/>
        </w:rPr>
        <w:t>, տոկոսը ընդամենը դրամական եկամուտների մեջ, դրանց ստուգելիությունն ու վերագրելիությունը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9248"/>
        <w:gridCol w:w="842"/>
        <w:gridCol w:w="1347"/>
        <w:gridCol w:w="1513"/>
      </w:tblGrid>
      <w:tr w:rsidR="00FD520C" w:rsidRPr="00AF6526" w14:paraId="346EA819" w14:textId="77777777" w:rsidTr="00FD520C">
        <w:trPr>
          <w:cantSplit/>
          <w:trHeight w:val="2951"/>
        </w:trPr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C7748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F652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Դրամական եկամուտների տեսակներ</w:t>
            </w:r>
            <w:bookmarkStart w:id="2" w:name="_GoBack"/>
            <w:bookmarkEnd w:id="2"/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BD6D" w14:textId="77777777" w:rsidR="00FD520C" w:rsidRPr="00AF6526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Տոկոս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A47E840" w14:textId="77777777" w:rsidR="00FD520C" w:rsidRPr="00AF6526" w:rsidRDefault="00FD520C" w:rsidP="00BF209A">
            <w:pPr>
              <w:spacing w:line="240" w:lineRule="auto"/>
              <w:ind w:left="113" w:right="113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Ստուգելիություն՝</w:t>
            </w:r>
          </w:p>
          <w:p w14:paraId="03A59713" w14:textId="77777777" w:rsidR="00FD520C" w:rsidRPr="00AF6526" w:rsidRDefault="00FD520C" w:rsidP="00BF209A">
            <w:pPr>
              <w:spacing w:line="240" w:lineRule="auto"/>
              <w:ind w:left="113" w:right="113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+ Հեշտ ստուգելի</w:t>
            </w:r>
          </w:p>
          <w:p w14:paraId="02A173BF" w14:textId="77777777" w:rsidR="00FD520C" w:rsidRPr="00AF6526" w:rsidRDefault="00FD520C" w:rsidP="00BF209A">
            <w:pPr>
              <w:pStyle w:val="a3"/>
              <w:spacing w:line="240" w:lineRule="auto"/>
              <w:ind w:left="113" w:right="113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-Դժվար ստուգելի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6E21093" w14:textId="77777777" w:rsidR="00FD520C" w:rsidRPr="00AF6526" w:rsidRDefault="00FD520C" w:rsidP="00BF209A">
            <w:pPr>
              <w:spacing w:line="240" w:lineRule="auto"/>
              <w:ind w:left="113" w:right="113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AF6526">
              <w:rPr>
                <w:rFonts w:eastAsia="Times New Roman" w:cs="Calibri"/>
                <w:sz w:val="20"/>
                <w:szCs w:val="20"/>
              </w:rPr>
              <w:t>Գնահատման և վերագրման հնարավորություն՝</w:t>
            </w:r>
          </w:p>
          <w:p w14:paraId="29A294FF" w14:textId="77777777" w:rsidR="00FD520C" w:rsidRPr="00AF6526" w:rsidRDefault="00FD520C" w:rsidP="00BF209A">
            <w:pPr>
              <w:spacing w:line="240" w:lineRule="auto"/>
              <w:ind w:left="113" w:right="113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+ Հնարավոր է</w:t>
            </w:r>
          </w:p>
          <w:p w14:paraId="5D3AD0F1" w14:textId="77777777" w:rsidR="00FD520C" w:rsidRPr="00AF6526" w:rsidRDefault="00FD520C" w:rsidP="00BF209A">
            <w:pPr>
              <w:pStyle w:val="a3"/>
              <w:tabs>
                <w:tab w:val="left" w:pos="120"/>
              </w:tabs>
              <w:spacing w:line="240" w:lineRule="auto"/>
              <w:ind w:left="113" w:right="113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-Հնարավոր չէ  + - Մասամբ է հնարավոր</w:t>
            </w:r>
          </w:p>
        </w:tc>
      </w:tr>
      <w:tr w:rsidR="00FD520C" w:rsidRPr="00AF6526" w14:paraId="6C21658F" w14:textId="77777777" w:rsidTr="00FD520C">
        <w:trPr>
          <w:trHeight w:val="197"/>
        </w:trPr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39084" w14:textId="06A52E52" w:rsidR="00FD520C" w:rsidRPr="00CD5238" w:rsidRDefault="005344DD" w:rsidP="00BF209A">
            <w:pPr>
              <w:spacing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t xml:space="preserve">Եկամուտ ֆորմալ </w:t>
            </w:r>
            <w:r>
              <w:rPr>
                <w:rFonts w:ascii="Helvetica" w:eastAsia="Times New Roman" w:hAnsi="Helvetica" w:cs="Calibri"/>
                <w:color w:val="000000"/>
                <w:sz w:val="19"/>
                <w:szCs w:val="19"/>
              </w:rPr>
              <w:t>(</w:t>
            </w: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t>գրավոր պայմանագրով</w:t>
            </w:r>
            <w:r>
              <w:rPr>
                <w:rFonts w:ascii="Helvetica" w:eastAsia="Times New Roman" w:hAnsi="Helvetica" w:cs="Calibri"/>
                <w:color w:val="000000"/>
                <w:sz w:val="19"/>
                <w:szCs w:val="19"/>
              </w:rPr>
              <w:t>)</w:t>
            </w: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t xml:space="preserve"> վարձու աշխատողի զբաղվածությունից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CBBB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41.1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8C1E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+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23CD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FD520C" w:rsidRPr="00AF6526" w14:paraId="304E2BD1" w14:textId="77777777" w:rsidTr="00FD520C">
        <w:trPr>
          <w:trHeight w:val="314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02FA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t>Եկամուտ ընտանիքի անդամներին հատկացվող պետական սոցիալական տրանսֆերտներից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1D8A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15.0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2679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+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ED29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FD520C" w:rsidRPr="00AF6526" w14:paraId="17EC08FB" w14:textId="77777777" w:rsidTr="00FD520C">
        <w:trPr>
          <w:trHeight w:val="503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3B64F" w14:textId="09EEA9FA" w:rsidR="00FD520C" w:rsidRPr="00CD5238" w:rsidRDefault="00696860" w:rsidP="00BF209A">
            <w:pPr>
              <w:spacing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3653E2">
              <w:rPr>
                <w:rFonts w:eastAsia="Times New Roman" w:cs="Calibri"/>
                <w:color w:val="000000"/>
                <w:sz w:val="19"/>
                <w:szCs w:val="19"/>
              </w:rPr>
              <w:t>Եկամուտ զբաղված գործատուի (սեփականատեր՝  վարձու աշխատող</w:t>
            </w:r>
            <w:r>
              <w:rPr>
                <w:rFonts w:ascii="Helvetica" w:eastAsia="Times New Roman" w:hAnsi="Helvetica" w:cs="Calibri"/>
                <w:color w:val="000000"/>
                <w:sz w:val="19"/>
                <w:szCs w:val="19"/>
              </w:rPr>
              <w:t>(</w:t>
            </w:r>
            <w:r w:rsidRPr="003653E2">
              <w:rPr>
                <w:rFonts w:eastAsia="Times New Roman" w:cs="Calibri"/>
                <w:color w:val="000000"/>
                <w:sz w:val="19"/>
                <w:szCs w:val="19"/>
              </w:rPr>
              <w:t>ներ</w:t>
            </w:r>
            <w:r>
              <w:rPr>
                <w:rFonts w:ascii="Helvetica" w:eastAsia="Times New Roman" w:hAnsi="Helvetica" w:cs="Calibri"/>
                <w:color w:val="000000"/>
                <w:sz w:val="19"/>
                <w:szCs w:val="19"/>
              </w:rPr>
              <w:t>)</w:t>
            </w:r>
            <w:r w:rsidRPr="0078186C">
              <w:rPr>
                <w:rFonts w:eastAsia="Times New Roman" w:cs="Calibri"/>
                <w:color w:val="000000"/>
                <w:sz w:val="19"/>
                <w:szCs w:val="19"/>
              </w:rPr>
              <w:t xml:space="preserve">ի </w:t>
            </w:r>
            <w:r w:rsidRPr="003653E2">
              <w:rPr>
                <w:color w:val="000000" w:themeColor="text1"/>
                <w:sz w:val="19"/>
                <w:szCs w:val="19"/>
              </w:rPr>
              <w:t>մշտական/կանոնավոր ներգրավմամբ</w:t>
            </w:r>
            <w:r w:rsidRPr="003653E2">
              <w:rPr>
                <w:rFonts w:eastAsia="Times New Roman" w:cs="Calibri"/>
                <w:color w:val="000000"/>
                <w:sz w:val="19"/>
                <w:szCs w:val="19"/>
              </w:rPr>
              <w:t>)</w:t>
            </w:r>
            <w:r w:rsidR="00FD520C" w:rsidRPr="00CD5238">
              <w:rPr>
                <w:rFonts w:eastAsia="Times New Roman" w:cs="Calibri"/>
                <w:color w:val="000000"/>
                <w:sz w:val="19"/>
                <w:szCs w:val="19"/>
              </w:rPr>
              <w:t>՝ ֆորմալ ձեռնարկատիրական գործունեությունից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D62E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1.5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6889E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+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CA12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FD520C" w:rsidRPr="00AF6526" w14:paraId="52968876" w14:textId="77777777" w:rsidTr="00FD520C">
        <w:trPr>
          <w:trHeight w:val="305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4300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Եկամուտ ընտանիքի անշարժ գույքի վաճառքից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2B37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1.2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E37A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+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9AF5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FD520C" w:rsidRPr="00AF6526" w14:paraId="579230E7" w14:textId="77777777" w:rsidTr="00FD520C">
        <w:trPr>
          <w:trHeight w:val="251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0070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t>Եկամուտ արտադրական կամ սպառողական կոոպերատիվի անդամի զբաղվածությունից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C644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0.01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0906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+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21CB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FD520C" w:rsidRPr="00AF6526" w14:paraId="725813F3" w14:textId="77777777" w:rsidTr="00FD520C">
        <w:trPr>
          <w:trHeight w:val="359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AE4B0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t>Եկամուտ ընտանիքին հատկացվող մասնավոր տրանսֆերտներից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474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11.5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C8AE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7A14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 +</w:t>
            </w:r>
          </w:p>
        </w:tc>
      </w:tr>
      <w:tr w:rsidR="00FD520C" w:rsidRPr="00AF6526" w14:paraId="3FDB3F1D" w14:textId="77777777" w:rsidTr="00FD520C">
        <w:trPr>
          <w:trHeight w:val="350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24471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t>Եկամուտ ոչ գյուղատնտեսական ինքնազբաղվածությունից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83EF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9.9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3C58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D19C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+</w:t>
            </w:r>
          </w:p>
        </w:tc>
      </w:tr>
      <w:tr w:rsidR="00FD520C" w:rsidRPr="00AF6526" w14:paraId="2024F0AF" w14:textId="77777777" w:rsidTr="00FD520C">
        <w:trPr>
          <w:trHeight w:val="350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1586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CD5238">
              <w:rPr>
                <w:rFonts w:eastAsiaTheme="minorEastAsia" w:cs="Arial"/>
                <w:sz w:val="19"/>
                <w:szCs w:val="19"/>
              </w:rPr>
              <w:t xml:space="preserve">Եկամուտ ֆերմերային/գյուղացիական տնտեսությունում արտադրված բուսաբուծական ու անասնապահական արտադրանքի վաճառքից կամ փոխանակությունից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9549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8.4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0909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46F5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+</w:t>
            </w:r>
          </w:p>
        </w:tc>
      </w:tr>
      <w:tr w:rsidR="00FD520C" w:rsidRPr="00AF6526" w14:paraId="66131DA7" w14:textId="77777777" w:rsidTr="00FD520C">
        <w:trPr>
          <w:trHeight w:val="296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2E95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t>Եկամուտ բանավոր պայմանավորվածությամբ ոչ ֆորմալ վարձու աշխատողի զբաղվածությունից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EF22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7.8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BF80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444D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+</w:t>
            </w:r>
          </w:p>
        </w:tc>
      </w:tr>
      <w:tr w:rsidR="00FD520C" w:rsidRPr="00AF6526" w14:paraId="710E2EC5" w14:textId="77777777" w:rsidTr="00FD520C">
        <w:trPr>
          <w:trHeight w:val="260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8E27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CD5238">
              <w:rPr>
                <w:rFonts w:eastAsia="Times New Roman" w:cs="Calibri"/>
                <w:color w:val="000000" w:themeColor="text1"/>
                <w:sz w:val="19"/>
                <w:szCs w:val="19"/>
              </w:rPr>
              <w:t>Եկամուտ գյուղատնտեսությունում ինքնազբաղվածությունից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12AA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CD5238">
              <w:rPr>
                <w:rFonts w:eastAsia="Times New Roman" w:cs="Calibri"/>
                <w:color w:val="000000" w:themeColor="text1"/>
                <w:sz w:val="19"/>
                <w:szCs w:val="19"/>
              </w:rPr>
              <w:t>2.8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A27B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AF6526">
              <w:rPr>
                <w:rFonts w:eastAsia="Times New Roman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0E4C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AF6526">
              <w:rPr>
                <w:rFonts w:eastAsia="Times New Roman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FD520C" w:rsidRPr="00AF6526" w14:paraId="4D7B3412" w14:textId="77777777" w:rsidTr="00FD520C">
        <w:trPr>
          <w:trHeight w:val="251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23C1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 xml:space="preserve">Այլ եկամուտներ՝ ալիմենտ, կրթաթոշակ, այլ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7FCC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0.33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A966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7844D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</w:tr>
      <w:tr w:rsidR="00FD520C" w:rsidRPr="00AF6526" w14:paraId="45DE5632" w14:textId="77777777" w:rsidTr="00FD520C">
        <w:trPr>
          <w:trHeight w:val="260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975ED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 xml:space="preserve">Եկամուտ ընտանիքի ունեցվածքի և թանկարժեք իրերի վաճառքից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C157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0.2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01F2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6481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</w:tr>
      <w:tr w:rsidR="00FD520C" w:rsidRPr="00AF6526" w14:paraId="6FAE511C" w14:textId="77777777" w:rsidTr="00FD520C">
        <w:trPr>
          <w:trHeight w:val="260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D91E1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Եկամուտ ընտանիքի անշարժ գույքի վարձակալումից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5D26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0.2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50C0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9656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+</w:t>
            </w:r>
          </w:p>
        </w:tc>
      </w:tr>
      <w:tr w:rsidR="00FD520C" w:rsidRPr="00AF6526" w14:paraId="57C2E9F0" w14:textId="77777777" w:rsidTr="00FD520C">
        <w:trPr>
          <w:trHeight w:val="611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A8048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t>Եկամուտ բաժնետոմսերից կամ այլ ֆինանսական գործողություններից  (շահաբաժիններ բաժնեմասերից, ներդրումներից)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0D38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0.02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E6A0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5453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</w:tr>
      <w:tr w:rsidR="00FD520C" w:rsidRPr="00AF6526" w14:paraId="062B810A" w14:textId="77777777" w:rsidTr="00FD520C">
        <w:trPr>
          <w:trHeight w:val="341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8AB4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lastRenderedPageBreak/>
              <w:t>Եկամուտ՝ ընտանիքի առանց  վարձատրության աշխատող անդամից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1885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0.01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48D58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3971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</w:tr>
      <w:tr w:rsidR="00FD520C" w:rsidRPr="00AF6526" w14:paraId="59D1EB3A" w14:textId="77777777" w:rsidTr="00FD520C">
        <w:trPr>
          <w:trHeight w:val="539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2011" w14:textId="23FB996A" w:rsidR="00FD520C" w:rsidRPr="00CD5238" w:rsidRDefault="00F72002" w:rsidP="00BF209A">
            <w:pPr>
              <w:spacing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t xml:space="preserve">Եկամուտ զբաղված գործատուի (սեփականատեր՝ </w:t>
            </w:r>
            <w:r w:rsidRPr="003653E2">
              <w:rPr>
                <w:rFonts w:eastAsia="Times New Roman" w:cs="Calibri"/>
                <w:color w:val="000000"/>
                <w:sz w:val="19"/>
                <w:szCs w:val="19"/>
              </w:rPr>
              <w:t>վարձու աշխատող</w:t>
            </w:r>
            <w:r>
              <w:rPr>
                <w:rFonts w:ascii="Helvetica" w:eastAsia="Times New Roman" w:hAnsi="Helvetica" w:cs="Calibri"/>
                <w:color w:val="000000"/>
                <w:sz w:val="19"/>
                <w:szCs w:val="19"/>
              </w:rPr>
              <w:t>(</w:t>
            </w:r>
            <w:r w:rsidRPr="003653E2">
              <w:rPr>
                <w:rFonts w:eastAsia="Times New Roman" w:cs="Calibri"/>
                <w:color w:val="000000"/>
                <w:sz w:val="19"/>
                <w:szCs w:val="19"/>
              </w:rPr>
              <w:t>ներ</w:t>
            </w:r>
            <w:r>
              <w:rPr>
                <w:rFonts w:ascii="Helvetica" w:eastAsia="Times New Roman" w:hAnsi="Helvetica" w:cs="Calibri"/>
                <w:color w:val="000000"/>
                <w:sz w:val="19"/>
                <w:szCs w:val="19"/>
              </w:rPr>
              <w:t>)</w:t>
            </w:r>
            <w:r w:rsidRPr="0078186C">
              <w:rPr>
                <w:rFonts w:eastAsia="Times New Roman" w:cs="Calibri"/>
                <w:color w:val="000000"/>
                <w:sz w:val="19"/>
                <w:szCs w:val="19"/>
              </w:rPr>
              <w:t xml:space="preserve">ի </w:t>
            </w:r>
            <w:r w:rsidRPr="003653E2">
              <w:rPr>
                <w:color w:val="000000" w:themeColor="text1"/>
                <w:sz w:val="19"/>
                <w:szCs w:val="19"/>
              </w:rPr>
              <w:t>մշտական/կանոնավոր ներգրավմամբ</w:t>
            </w: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t xml:space="preserve"> )՝ չգրանցված ձեռնարկատիրական գործունեությունից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184C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sz w:val="19"/>
                <w:szCs w:val="19"/>
              </w:rPr>
            </w:pPr>
            <w:r w:rsidRPr="00CD5238">
              <w:rPr>
                <w:rFonts w:eastAsia="Times New Roman" w:cs="Calibri"/>
                <w:sz w:val="19"/>
                <w:szCs w:val="19"/>
              </w:rPr>
              <w:t>0.0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F991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02756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F6526">
              <w:rPr>
                <w:rFonts w:eastAsia="Times New Roman" w:cs="Calibri"/>
                <w:sz w:val="20"/>
                <w:szCs w:val="20"/>
              </w:rPr>
              <w:t>-</w:t>
            </w:r>
          </w:p>
        </w:tc>
      </w:tr>
      <w:tr w:rsidR="00FD520C" w:rsidRPr="00AF6526" w14:paraId="1F31F643" w14:textId="77777777" w:rsidTr="00FD520C">
        <w:trPr>
          <w:trHeight w:val="288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F9DE" w14:textId="77777777" w:rsidR="00FD520C" w:rsidRPr="00CD5238" w:rsidRDefault="00FD520C" w:rsidP="00BF209A">
            <w:pPr>
              <w:spacing w:line="240" w:lineRule="auto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CD523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t>Ընդամենը դրամական եկամուտներ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A5C4" w14:textId="77777777" w:rsidR="00FD520C" w:rsidRPr="00CD5238" w:rsidRDefault="00FD520C" w:rsidP="00BF209A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9"/>
                <w:szCs w:val="19"/>
              </w:rPr>
            </w:pPr>
            <w:r w:rsidRPr="00CD5238">
              <w:rPr>
                <w:rFonts w:eastAsia="Times New Roman" w:cs="Calibri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5486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907E" w14:textId="77777777" w:rsidR="00FD520C" w:rsidRPr="00AF6526" w:rsidRDefault="00FD520C" w:rsidP="00BF209A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</w:tbl>
    <w:bookmarkEnd w:id="1"/>
    <w:p w14:paraId="5AC11C90" w14:textId="77777777" w:rsidR="00FD520C" w:rsidRPr="00AF6526" w:rsidRDefault="00FD520C" w:rsidP="00FD520C">
      <w:pPr>
        <w:rPr>
          <w:i/>
          <w:iCs/>
          <w:sz w:val="20"/>
          <w:szCs w:val="20"/>
        </w:rPr>
      </w:pPr>
      <w:r w:rsidRPr="00AF6526">
        <w:rPr>
          <w:i/>
          <w:iCs/>
          <w:sz w:val="20"/>
          <w:szCs w:val="20"/>
        </w:rPr>
        <w:t xml:space="preserve">  Աղբյուր՝ հաշվարկված է 2019թ</w:t>
      </w:r>
      <w:r w:rsidRPr="00AF6526">
        <w:rPr>
          <w:rFonts w:cs="Times New Roman"/>
          <w:i/>
          <w:iCs/>
          <w:sz w:val="20"/>
          <w:szCs w:val="20"/>
        </w:rPr>
        <w:t>.</w:t>
      </w:r>
      <w:r w:rsidRPr="00AF6526">
        <w:rPr>
          <w:i/>
          <w:iCs/>
          <w:sz w:val="20"/>
          <w:szCs w:val="20"/>
        </w:rPr>
        <w:t>-ի ՏՏԿԱՀ տվյալների շտեմարանի հիման վրա</w:t>
      </w:r>
    </w:p>
    <w:p w14:paraId="32099A05" w14:textId="77777777" w:rsidR="006A4654" w:rsidRDefault="00B20A04"/>
    <w:sectPr w:rsidR="006A4654" w:rsidSect="002338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22"/>
    <w:rsid w:val="002338FA"/>
    <w:rsid w:val="005344DD"/>
    <w:rsid w:val="00663722"/>
    <w:rsid w:val="00696860"/>
    <w:rsid w:val="006E212E"/>
    <w:rsid w:val="00726DD7"/>
    <w:rsid w:val="0081342A"/>
    <w:rsid w:val="009F413C"/>
    <w:rsid w:val="00B20A04"/>
    <w:rsid w:val="00D27F28"/>
    <w:rsid w:val="00F72002"/>
    <w:rsid w:val="00F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83CE"/>
  <w15:chartTrackingRefBased/>
  <w15:docId w15:val="{424527C3-DE0D-4D91-A08B-24C5C4F0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520C"/>
    <w:pPr>
      <w:spacing w:after="0" w:line="360" w:lineRule="auto"/>
      <w:jc w:val="both"/>
    </w:pPr>
    <w:rPr>
      <w:rFonts w:ascii="GHEA Grapalat" w:eastAsia="GHEA Grapalat" w:hAnsi="GHEA Grapalat" w:cs="GHEA Grapalat"/>
      <w:sz w:val="24"/>
      <w:szCs w:val="24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IBL List Paragraph"/>
    <w:basedOn w:val="a"/>
    <w:link w:val="a4"/>
    <w:uiPriority w:val="34"/>
    <w:qFormat/>
    <w:rsid w:val="00FD520C"/>
    <w:pPr>
      <w:ind w:left="720"/>
      <w:contextualSpacing/>
    </w:p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uiPriority w:val="34"/>
    <w:rsid w:val="00FD520C"/>
    <w:rPr>
      <w:rFonts w:ascii="GHEA Grapalat" w:eastAsia="GHEA Grapalat" w:hAnsi="GHEA Grapalat" w:cs="GHEA Grapalat"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Armenuhi Hovakimyan</dc:creator>
  <cp:keywords>https://mul2-mss.gov.am/tasks/1647646/oneclick/a4cdab65128c42d4249a5ef59093812441e507d9a20f1d39a29ab6a696b36fec.docx?token=8b26389bedd26a8257274cd4a22d577a</cp:keywords>
  <dc:description/>
  <cp:lastModifiedBy>Artak Harutyunyan</cp:lastModifiedBy>
  <cp:revision>6</cp:revision>
  <dcterms:created xsi:type="dcterms:W3CDTF">2022-07-18T11:29:00Z</dcterms:created>
  <dcterms:modified xsi:type="dcterms:W3CDTF">2023-04-30T06:26:00Z</dcterms:modified>
</cp:coreProperties>
</file>