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20F1" w14:textId="77777777" w:rsidR="00CC3642" w:rsidRPr="003B1DDA" w:rsidRDefault="00CC3642" w:rsidP="000D6E3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7C8A785E" w14:textId="1897B402" w:rsidR="00CC3642" w:rsidRPr="003B1DDA" w:rsidRDefault="00064E29" w:rsidP="000D6E3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64E29">
        <w:rPr>
          <w:rFonts w:ascii="GHEA Grapalat" w:hAnsi="GHEA Grapalat"/>
          <w:sz w:val="24"/>
          <w:szCs w:val="24"/>
        </w:rPr>
        <w:t xml:space="preserve">«ՀԱՅԱՍՏԱՆԻ ՀԱՆՐԱՊԵՏՈՒԹՅԱՆ ՀԱՐԿԱՅԻՆ ՕՐԵՆՍԳՐՔՈՒՄ ՓՈՓՈԽՈՒԹՅՈՒՆ ԿԱՏԱՐԵԼՈՒ ՄԱՍԻՆ» ՀԱՅԱՍՏԱՆԻ ՀԱՆՐԱՊԵՏՈՒԹՅԱՆ ՕՐԵՆՔԻ </w:t>
      </w:r>
      <w:r w:rsidR="00AC6374" w:rsidRPr="003B1DDA">
        <w:rPr>
          <w:rFonts w:ascii="GHEA Grapalat" w:hAnsi="GHEA Grapalat"/>
          <w:sz w:val="24"/>
          <w:szCs w:val="24"/>
        </w:rPr>
        <w:t xml:space="preserve">ՀԱՅԱՍՏԱՆԻ </w:t>
      </w:r>
      <w:proofErr w:type="gramStart"/>
      <w:r w:rsidR="00AC6374" w:rsidRPr="003B1DDA">
        <w:rPr>
          <w:rFonts w:ascii="GHEA Grapalat" w:hAnsi="GHEA Grapalat"/>
          <w:sz w:val="24"/>
          <w:szCs w:val="24"/>
        </w:rPr>
        <w:t>ՀԱՆՐԱՊԵՏՈԻԹՅԱՆ  ՕՐԵՆՔԻ</w:t>
      </w:r>
      <w:proofErr w:type="gramEnd"/>
      <w:r w:rsidR="00AC6374" w:rsidRPr="003B1DDA">
        <w:rPr>
          <w:rFonts w:ascii="GHEA Grapalat" w:hAnsi="GHEA Grapalat"/>
          <w:sz w:val="24"/>
          <w:szCs w:val="24"/>
        </w:rPr>
        <w:t xml:space="preserve"> ՆԱԽԱԳԾԻ</w:t>
      </w:r>
    </w:p>
    <w:tbl>
      <w:tblPr>
        <w:tblW w:w="143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4"/>
        <w:gridCol w:w="45"/>
        <w:gridCol w:w="4785"/>
        <w:gridCol w:w="2383"/>
      </w:tblGrid>
      <w:tr w:rsidR="00CC3642" w:rsidRPr="003B1DDA" w14:paraId="256F7052" w14:textId="77777777" w:rsidTr="008F2FD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2D2A9C9C" w14:textId="738A48D6" w:rsidR="00CC3642" w:rsidRPr="00346D83" w:rsidRDefault="00CC3642" w:rsidP="008F2F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6D83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="00346D83" w:rsidRPr="00337836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6C6D893" w14:textId="458D8696" w:rsidR="00CC3642" w:rsidRPr="003B1DDA" w:rsidRDefault="00346D83" w:rsidP="008622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CC3642" w:rsidRPr="003B1DD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AC6374" w:rsidRPr="003B1DD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CC3642" w:rsidRPr="003B1DD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C3642" w:rsidRPr="003B1DDA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CC3642" w:rsidRPr="003B1DDA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C3642" w:rsidRPr="003B1DDA" w14:paraId="7CFCE842" w14:textId="77777777" w:rsidTr="0086227B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4C95D" w14:textId="77777777" w:rsidR="00CC3642" w:rsidRPr="003B1DDA" w:rsidRDefault="00CC3642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71DCAE0" w14:textId="2D5D1682" w:rsidR="00CC3642" w:rsidRPr="00D47866" w:rsidRDefault="00CC3642" w:rsidP="008622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7866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="00346D83" w:rsidRPr="00D47866">
              <w:rPr>
                <w:rFonts w:ascii="GHEA Grapalat" w:hAnsi="GHEA Grapalat" w:cs="GHEA Grapalat"/>
                <w:lang w:val="hy-AM"/>
              </w:rPr>
              <w:t>ԳՍ/25</w:t>
            </w:r>
            <w:r w:rsidR="00346D83" w:rsidRPr="00D47866">
              <w:rPr>
                <w:rFonts w:ascii="Cambria Math" w:hAnsi="Cambria Math" w:cs="Cambria Math"/>
                <w:lang w:val="hy-AM"/>
              </w:rPr>
              <w:t>․</w:t>
            </w:r>
            <w:r w:rsidR="00346D83" w:rsidRPr="00D47866">
              <w:rPr>
                <w:rFonts w:ascii="GHEA Grapalat" w:hAnsi="GHEA Grapalat" w:cs="GHEA Grapalat"/>
                <w:lang w:val="hy-AM"/>
              </w:rPr>
              <w:t>2/11661-2023</w:t>
            </w:r>
          </w:p>
        </w:tc>
      </w:tr>
      <w:tr w:rsidR="00CC3642" w:rsidRPr="002A6EAC" w14:paraId="38F7D94F" w14:textId="77777777" w:rsidTr="0086227B">
        <w:trPr>
          <w:tblCellSpacing w:w="0" w:type="dxa"/>
          <w:jc w:val="center"/>
        </w:trPr>
        <w:tc>
          <w:tcPr>
            <w:tcW w:w="7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20930" w14:textId="6EB96042" w:rsidR="00CB3AF0" w:rsidRPr="003B1DDA" w:rsidRDefault="0086227B" w:rsidP="00C358F6">
            <w:pPr>
              <w:tabs>
                <w:tab w:val="center" w:pos="4844"/>
              </w:tabs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E75C95" w:rsidRPr="00E75C95">
              <w:rPr>
                <w:rFonts w:ascii="GHEA Grapalat" w:hAnsi="GHEA Grapalat"/>
                <w:sz w:val="24"/>
                <w:szCs w:val="24"/>
                <w:lang w:val="hy-AM"/>
              </w:rPr>
              <w:t>Տեղեկացնում ենք, որ ՀՀ տարածքային կառավարման և ենթակառուցվածքների նախարարությունը «Հայաստանի Հանրապետության հարկային օրենսգրքում փոփոխություն կատարելու մասին» Հայաստանի Հանրապետության օրենքի նախագծի վերաբերյալ առաջարկություններ չունի:</w:t>
            </w:r>
            <w:r w:rsidR="007B0C4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7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73514" w14:textId="77777777" w:rsidR="00CC3642" w:rsidRPr="003B1DDA" w:rsidRDefault="00CC3642" w:rsidP="000D6E3C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208C146A" w14:textId="77777777" w:rsidR="00CC3642" w:rsidRPr="003B1DDA" w:rsidRDefault="00CC3642" w:rsidP="002A1374">
            <w:pPr>
              <w:tabs>
                <w:tab w:val="left" w:pos="507"/>
              </w:tabs>
              <w:spacing w:line="360" w:lineRule="auto"/>
              <w:ind w:left="223" w:right="2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CC3642" w:rsidRPr="003B1DDA" w14:paraId="7D3A171C" w14:textId="77777777" w:rsidTr="008F2FD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3AE806B8" w14:textId="56477B59" w:rsidR="00CC3642" w:rsidRPr="003B1DDA" w:rsidRDefault="00CC3642" w:rsidP="008F2F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="00FC7473"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2568BB2" w14:textId="0AFFE322" w:rsidR="00CC3642" w:rsidRPr="003B1DDA" w:rsidRDefault="006802AB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FC7473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CC3642" w:rsidRPr="003B1DD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FC747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CC3642" w:rsidRPr="003B1DDA">
              <w:rPr>
                <w:rFonts w:ascii="GHEA Grapalat" w:hAnsi="GHEA Grapalat"/>
                <w:sz w:val="24"/>
                <w:szCs w:val="24"/>
                <w:lang w:val="hy-AM"/>
              </w:rPr>
              <w:t>.202</w:t>
            </w:r>
            <w:r w:rsidR="00FC747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CC3642" w:rsidRPr="003B1DDA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CC3642" w:rsidRPr="003B1DD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C3642" w:rsidRPr="003B1DDA" w14:paraId="158C726D" w14:textId="77777777" w:rsidTr="0086227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5794B" w14:textId="77777777" w:rsidR="00CC3642" w:rsidRPr="003B1DDA" w:rsidRDefault="00CC3642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95B1048" w14:textId="04A28700" w:rsidR="00CC3642" w:rsidRPr="003B1DDA" w:rsidRDefault="00CC3642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="001C39E5">
              <w:rPr>
                <w:rFonts w:ascii="GHEA Grapalat" w:hAnsi="GHEA Grapalat"/>
                <w:sz w:val="24"/>
                <w:szCs w:val="24"/>
              </w:rPr>
              <w:t>01/3-1/24625-2023</w:t>
            </w:r>
          </w:p>
        </w:tc>
      </w:tr>
      <w:tr w:rsidR="00CC3642" w:rsidRPr="002A6EAC" w14:paraId="2C535900" w14:textId="77777777" w:rsidTr="0086227B">
        <w:trPr>
          <w:tblCellSpacing w:w="0" w:type="dxa"/>
          <w:jc w:val="center"/>
        </w:trPr>
        <w:tc>
          <w:tcPr>
            <w:tcW w:w="7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4869E" w14:textId="77777777" w:rsidR="001142A8" w:rsidRPr="001142A8" w:rsidRDefault="000354C2" w:rsidP="00C358F6">
            <w:pPr>
              <w:tabs>
                <w:tab w:val="center" w:pos="4844"/>
              </w:tabs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42A8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հարկային օրենսգրքում փոփոխություն կատարելու մասին» Հայաստանի Հանրապետության օրենքի նախագծի վերաբերյալ, որով նախատեսվում է 2024-2025թթ. ընթացքում շարունակել կիրառել ԵԱՏՄ ԱՏԳ ԱԱ 8702 40 000, 8703 80 000 և 8711 60 ծածկագրերին դասվող էլեկտրական շարժիչով </w:t>
            </w:r>
            <w:r w:rsidRPr="001142A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տրանսպորտային միջոցների ներմուծման և օտարման մասով ԱԱՀ-ից ազատման արտոնություն, հայտնում ենք, որ սկզբունքային առարկություններ և առաջարկություններ չկան։</w:t>
            </w:r>
          </w:p>
          <w:p w14:paraId="2E5FA174" w14:textId="6BC77E48" w:rsidR="005D5EE7" w:rsidRPr="001142A8" w:rsidRDefault="000354C2" w:rsidP="00C358F6">
            <w:pPr>
              <w:tabs>
                <w:tab w:val="center" w:pos="4844"/>
              </w:tabs>
              <w:spacing w:after="0" w:line="360" w:lineRule="auto"/>
              <w:ind w:left="144" w:right="144" w:firstLine="259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1142A8">
              <w:rPr>
                <w:rFonts w:ascii="GHEA Grapalat" w:hAnsi="GHEA Grapalat"/>
                <w:sz w:val="24"/>
                <w:szCs w:val="24"/>
                <w:lang w:val="hy-AM"/>
              </w:rPr>
              <w:t>Միաժամանակ, հայտնում ենք, որ օրենսգրքի 64-րդ հոդվածի 2-րդ մասի 57-րդ կետը լրացվել է «Հայաստանի Հանրապետության հարկային օրենսգրքում լրացում կատարելու մասին» ՀՀ օրենքով (10.12.2021թ. ՀՕ-370-Ն) և այդ օրենքի 2-րդ հոդվածին համապատասխան այն գործում է մինչև 2024 թվականի հունվարի 1-ը: Հետևաբար` նախագծով առաջարկվող տարբերակը` օրենսգրքի 64-րդ հոդվածի 2-րդ մասի 57-րդ վերաշարադրելը, իրավական տեսանկյունից խնդրահարույց է:</w:t>
            </w:r>
            <w:r w:rsidRPr="00782AF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</w:tc>
        <w:tc>
          <w:tcPr>
            <w:tcW w:w="7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1B636" w14:textId="77777777" w:rsidR="00CC3642" w:rsidRPr="003B1DDA" w:rsidRDefault="00CC3642" w:rsidP="000D6E3C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1377EBA5" w14:textId="77777777" w:rsidR="002A1374" w:rsidRPr="003B1DDA" w:rsidRDefault="00CC3642" w:rsidP="002A1374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</w:p>
          <w:p w14:paraId="7A97CAFE" w14:textId="77777777" w:rsidR="00CC3642" w:rsidRPr="003B1DDA" w:rsidRDefault="00CC3642" w:rsidP="0086227B">
            <w:pPr>
              <w:spacing w:line="360" w:lineRule="auto"/>
              <w:ind w:left="82" w:right="176" w:firstLine="1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D5EE7" w:rsidRPr="003B1DDA" w14:paraId="1572210C" w14:textId="77777777" w:rsidTr="008F2FD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61BDB6" w14:textId="23965F44" w:rsidR="005D5EE7" w:rsidRPr="008F2FD4" w:rsidRDefault="00F3353E" w:rsidP="008F2FD4">
            <w:pPr>
              <w:spacing w:line="360" w:lineRule="auto"/>
              <w:jc w:val="center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 w:cs="Courier New"/>
                <w:sz w:val="24"/>
                <w:szCs w:val="24"/>
                <w:lang w:val="hy-AM"/>
              </w:rPr>
              <w:t>3</w:t>
            </w:r>
            <w:r w:rsidRPr="003B1DD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B1DD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ՀՀ շրջակա միջավայրի նախարարություն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4B7ACF0" w14:textId="68CF9C4B" w:rsidR="005D5EE7" w:rsidRPr="003B1DDA" w:rsidRDefault="00C70796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28</w:t>
            </w:r>
            <w:r w:rsidR="00F3353E" w:rsidRPr="003B1DD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3353E" w:rsidRPr="003B1DD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F3353E" w:rsidRPr="003B1DD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3353E" w:rsidRPr="003B1DDA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5D5EE7" w:rsidRPr="003B1DDA" w14:paraId="4E5F4DB6" w14:textId="77777777" w:rsidTr="0086227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566A8321" w14:textId="77777777" w:rsidR="005D5EE7" w:rsidRPr="003B1DDA" w:rsidRDefault="005D5EE7" w:rsidP="000D6E3C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4F35648D" w14:textId="71C27165" w:rsidR="005D5EE7" w:rsidRPr="003B1DDA" w:rsidRDefault="00F3353E" w:rsidP="000D6E3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="00C70796" w:rsidRPr="00F46295">
              <w:rPr>
                <w:rFonts w:ascii="GHEA Grapalat" w:hAnsi="GHEA Grapalat"/>
                <w:sz w:val="24"/>
                <w:szCs w:val="24"/>
              </w:rPr>
              <w:t>1/</w:t>
            </w:r>
            <w:r w:rsidR="00C70796" w:rsidRPr="00F46295">
              <w:rPr>
                <w:rFonts w:ascii="GHEA Grapalat" w:hAnsi="GHEA Grapalat" w:cs="Arial"/>
                <w:sz w:val="24"/>
                <w:szCs w:val="24"/>
              </w:rPr>
              <w:t>ԿԽ</w:t>
            </w:r>
            <w:r w:rsidR="00C70796" w:rsidRPr="00F46295">
              <w:rPr>
                <w:rFonts w:ascii="GHEA Grapalat" w:hAnsi="GHEA Grapalat"/>
                <w:sz w:val="24"/>
                <w:szCs w:val="24"/>
              </w:rPr>
              <w:t>/7368</w:t>
            </w:r>
          </w:p>
        </w:tc>
      </w:tr>
      <w:tr w:rsidR="00CA0AD9" w:rsidRPr="003B1DDA" w14:paraId="67A4261E" w14:textId="77777777" w:rsidTr="00950375">
        <w:trPr>
          <w:trHeight w:val="146"/>
          <w:tblCellSpacing w:w="0" w:type="dxa"/>
          <w:jc w:val="center"/>
        </w:trPr>
        <w:tc>
          <w:tcPr>
            <w:tcW w:w="714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161DC6C" w14:textId="77777777" w:rsidR="00712111" w:rsidRDefault="00712111" w:rsidP="00C358F6">
            <w:pPr>
              <w:pStyle w:val="Header"/>
              <w:spacing w:line="360" w:lineRule="auto"/>
              <w:ind w:left="144" w:right="144" w:firstLine="25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46295">
              <w:rPr>
                <w:rFonts w:ascii="GHEA Grapalat" w:hAnsi="GHEA Grapalat" w:cs="Calibri"/>
                <w:sz w:val="24"/>
                <w:szCs w:val="24"/>
                <w:lang w:val="hy-AM"/>
              </w:rPr>
              <w:t>Ի պատասխան Ձեր 2023 թվականի ապրիլի 1</w:t>
            </w:r>
            <w:r w:rsidRPr="00103EC4">
              <w:rPr>
                <w:rFonts w:ascii="GHEA Grapalat" w:hAnsi="GHEA Grapalat" w:cs="Calibri"/>
                <w:sz w:val="24"/>
                <w:szCs w:val="24"/>
                <w:lang w:val="hy-AM"/>
              </w:rPr>
              <w:t>4</w:t>
            </w:r>
            <w:r w:rsidRPr="00F46295">
              <w:rPr>
                <w:rFonts w:ascii="GHEA Grapalat" w:hAnsi="GHEA Grapalat" w:cs="Calibri"/>
                <w:sz w:val="24"/>
                <w:szCs w:val="24"/>
                <w:lang w:val="hy-AM"/>
              </w:rPr>
              <w:t>-ի N</w:t>
            </w:r>
            <w:r w:rsidRPr="00F46295">
              <w:rPr>
                <w:rFonts w:ascii="GHEA Grapalat" w:hAnsi="GHEA Grapalat"/>
                <w:sz w:val="24"/>
                <w:szCs w:val="24"/>
                <w:lang w:val="hy-AM"/>
              </w:rPr>
              <w:t xml:space="preserve">01/5734 </w:t>
            </w:r>
            <w:r w:rsidRPr="00F462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գրության՝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</w:t>
            </w:r>
            <w:r w:rsidRPr="00F462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4629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Pr="00F46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հարկային օրենսգրքում փոփոխություն կատարելու մասին» օրենքի նախագծի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1-ին հոդվածը շարադրել հետևյալ խմբագրությամբ.</w:t>
            </w:r>
          </w:p>
          <w:p w14:paraId="2251D72E" w14:textId="06F52A12" w:rsidR="00712111" w:rsidRPr="00F46295" w:rsidRDefault="00712111" w:rsidP="00C358F6">
            <w:pPr>
              <w:pStyle w:val="Header"/>
              <w:tabs>
                <w:tab w:val="clear" w:pos="4844"/>
                <w:tab w:val="clear" w:pos="9689"/>
                <w:tab w:val="right" w:pos="0"/>
              </w:tabs>
              <w:spacing w:line="360" w:lineRule="auto"/>
              <w:ind w:left="144" w:right="144" w:firstLine="25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«Հոդված 1. Հայաստանի Հանրապետության 2016 թվականի հոկտեմբերի 4-ի հարկային օրենսգրքի 64-րդ հոդվածի 2-րդ մասը լրացնել 58-րդ կետով հետևյալ բովանդակությամբ.</w:t>
            </w:r>
          </w:p>
          <w:p w14:paraId="4804FE67" w14:textId="5D3F6A43" w:rsidR="00CA0AD9" w:rsidRPr="00712111" w:rsidRDefault="00712111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30464436"/>
            <w:r>
              <w:rPr>
                <w:rFonts w:ascii="GHEA Grapalat" w:hAnsi="GHEA Grapalat"/>
                <w:sz w:val="24"/>
                <w:szCs w:val="24"/>
                <w:lang w:val="hy-AM"/>
              </w:rPr>
              <w:t>«58</w:t>
            </w:r>
            <w:r w:rsidRPr="00F46295">
              <w:rPr>
                <w:rFonts w:ascii="GHEA Grapalat" w:hAnsi="GHEA Grapalat"/>
                <w:sz w:val="24"/>
                <w:szCs w:val="24"/>
                <w:lang w:val="hy-AM"/>
              </w:rPr>
              <w:t xml:space="preserve">) 2024 թվականի հունվարի 1-ից մինչև 2026 թվականի հունվարի 1-ը ԵԱՏՄ ԱՏԳ ԱԱ </w:t>
            </w:r>
            <w:r w:rsidRPr="00F462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8702 40 000, 8703 80 000, </w:t>
            </w:r>
            <w:r w:rsidRPr="00F4629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8704 60 000 0 </w:t>
            </w:r>
            <w:r w:rsidRPr="00F462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 8711 60 ծածկագրերին  դասվող էլեկտրական շարժիչով տրանսպորտային միջոցների</w:t>
            </w:r>
            <w:r w:rsidRPr="00F4629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462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ներմուծումը կամ օտարումը</w:t>
            </w:r>
            <w:r w:rsidRPr="00F46295">
              <w:rPr>
                <w:rFonts w:ascii="GHEA Grapalat" w:hAnsi="GHEA Grapalat"/>
                <w:sz w:val="24"/>
                <w:szCs w:val="24"/>
                <w:lang w:val="hy-AM"/>
              </w:rPr>
              <w:t>։»։</w:t>
            </w:r>
            <w:bookmarkEnd w:id="0"/>
          </w:p>
        </w:tc>
        <w:tc>
          <w:tcPr>
            <w:tcW w:w="7213" w:type="dxa"/>
            <w:gridSpan w:val="3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28DCB4E" w14:textId="77777777" w:rsidR="007B0C41" w:rsidRPr="003B1DDA" w:rsidRDefault="007B0C41" w:rsidP="007B0C4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02A0A344" w14:textId="36F00F75" w:rsidR="002A6EAC" w:rsidRPr="003B1DDA" w:rsidRDefault="002A6EAC" w:rsidP="007B0C4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33854" w:rsidRPr="003B1DDA" w14:paraId="1729D1A3" w14:textId="77777777" w:rsidTr="008F2FD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6F395507" w14:textId="5AD1720B" w:rsidR="00233854" w:rsidRPr="002A6EAC" w:rsidRDefault="002A6EAC" w:rsidP="008F2F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6EA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2A6EA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A6EA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F2FD4"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57FE967" w14:textId="23B51EB6" w:rsidR="00233854" w:rsidRPr="002A6EAC" w:rsidRDefault="00C70796" w:rsidP="00FC26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="00233854" w:rsidRPr="002A6EAC">
              <w:rPr>
                <w:rFonts w:ascii="GHEA Grapalat" w:hAnsi="GHEA Grapalat"/>
                <w:sz w:val="24"/>
                <w:szCs w:val="24"/>
              </w:rPr>
              <w:t>.</w:t>
            </w:r>
            <w:r w:rsidR="002A6EAC" w:rsidRPr="002A6EAC"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 w:rsidR="002A6EAC" w:rsidRPr="002A6EA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2A6EAC" w:rsidRPr="002A6EAC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33854" w:rsidRPr="003B1DDA" w14:paraId="18A8C56F" w14:textId="77777777" w:rsidTr="00FC2680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C1D0D" w14:textId="77777777" w:rsidR="00233854" w:rsidRPr="002A6EAC" w:rsidRDefault="00233854" w:rsidP="00FC26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AD35675" w14:textId="10664D57" w:rsidR="00233854" w:rsidRPr="00D47866" w:rsidRDefault="007B0C41" w:rsidP="00FC2680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D47866">
              <w:rPr>
                <w:rFonts w:ascii="GHEA Grapalat" w:hAnsi="GHEA Grapalat" w:cs="Times New Roman"/>
                <w:bCs/>
                <w:sz w:val="24"/>
                <w:szCs w:val="24"/>
              </w:rPr>
              <w:t xml:space="preserve">N </w:t>
            </w:r>
            <w:r w:rsidR="00C70796" w:rsidRPr="00D47866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01/2-3/9269-2023</w:t>
            </w:r>
          </w:p>
        </w:tc>
      </w:tr>
      <w:tr w:rsidR="00233854" w:rsidRPr="00064E29" w14:paraId="4FB98B8A" w14:textId="77777777" w:rsidTr="00FC2680">
        <w:trPr>
          <w:trHeight w:val="146"/>
          <w:tblCellSpacing w:w="0" w:type="dxa"/>
          <w:jc w:val="center"/>
        </w:trPr>
        <w:tc>
          <w:tcPr>
            <w:tcW w:w="714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AF4B2FA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ourier New"/>
                <w:sz w:val="24"/>
                <w:szCs w:val="24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Ձեր թիվ 01/5734-2023 գրությամբ ներկայացված՝ «Հայաստանի Հան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րապետության հար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 օրենս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գրքում փոփոխություն կատարելու մասին» ՀՀ օրենքի նախա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գծի վերա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յալ հայտնում ենք հետևյալը:</w:t>
            </w:r>
          </w:p>
          <w:p w14:paraId="7882FA6E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Նախագծով առաջարկվում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երկու տարով (մինչև 2026 թվականի հուն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վարի 1-ը) երկա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րաձգել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հարկային օրենսգրքի (այսուհետ՝ Օրենսգիրք) 64-րդ հոդվածի 2-րդ մասի 57-րդ կետով սահմանված՝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ԱՏԳ ԱԱ 8702 40 000, 8703 80 000 և 8711 60 ծածկագրերին դասվող էլեկտրական շարժիչով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աշխատող տրանսպորտային միջոցների ներմուծումը և (կամ) օտա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րումն ԱԱՀ-ից ազատելու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կիրառությունը:</w:t>
            </w:r>
          </w:p>
          <w:p w14:paraId="53CE5774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ընդունման հիմնավորման համաձայն՝ առաջարկությունը հիմնավորվում է այն հանգամանքով, որ գործող արտոնության արդյուն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քում հան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թյունում ստեղծվել է առավել բարենպաստ միջավայր էլեկտրական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շարժիչով աշխա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տող տրանս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պորտային միջոց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ներկրումը խթանելու համար։ Այս առումով, ներկայացված են որոշ թվային ցուցա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խնդրո առարկա տրանսպորտային միջոցների ներմուծման ծավալների աճի վերա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յալ: Նշվում է նաև, որ 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կատվում է քաղաքներում ածխաթթու գազի արտանետումների զգալի կրճատում և քաղաքային աղտոտ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ածության մակարդակի նվազում։</w:t>
            </w:r>
          </w:p>
          <w:p w14:paraId="2DFDE2F8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Արդյունքում, նախագծի ընդունման հիմնավորման մեջ նշվում է, որ առկա դրական արդյունքներն ամրապնդելու և էլեկտրական տրանսպորտային միջոց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ների օգտագործման հետագա զարգացումն ապահովելու նպատակով անհրա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ժեշ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թյուն է առաջացել Օրենսգրքի կիրառության ժամկետը երկարաձգել ևս երկու տարով:</w:t>
            </w:r>
          </w:p>
          <w:p w14:paraId="7FF91829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Վերոգրյալի կապակցությամբ հայտնում ենք հետևյալը:</w:t>
            </w:r>
          </w:p>
          <w:p w14:paraId="1220D575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Նախ, հայտնում ենք, որ ԱՏԳ ԱԱ 8702 40 000, 8703 80 000 և 8711 60 ծած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կագ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րե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րին դաս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վող տրանս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տային միջոցների 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ծումը և (կամ) օտարումն ԱԱՀ-ից ազա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տելու արտո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նությունը 2019 թվականին սահմանելու, ինչպես նաև հետագայում արտոնության գոր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ծո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ղության ժամ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կետը երկարաձգելու օրենս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դրական նախա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ձեռ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թյունները նախկինում շրջա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նառ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վում էին ՀՀ շրջակա միջա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վայրի նախա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րության կողմից: Այդ նախաձեռնությունները նույն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պես հիմ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վում էին էլեկ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կան շարժիչով աշխա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տող տրանսպոր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յին միջոց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ների ձեռք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բե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րումն ու կիրա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ռու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թյունը խթանելու, մթնո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լոր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յին օդի աղտոտվածությունը նվա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զեց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նելու նպա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դրում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րով:</w:t>
            </w:r>
          </w:p>
          <w:p w14:paraId="10A9A706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Այս առումով, հայտնում ենք, որ ՀՀ ֆինանսների նախարարության կողմից նախկինում ներկայացվել են բազմաթիվ նկատա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ռում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 և խնդիրներ, որոնք արդիա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կան են նաև 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յացված նախագծի պարագայում:</w:t>
            </w:r>
          </w:p>
          <w:p w14:paraId="57794986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Մասնավորապես, պարզ չէ, թե ինչու է խնդրո առարկա փոխադրամիջոցների օգտա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ծավալ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ավելացումը պայմանավորվում հարկային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դրմամբ: Այդ մոտեց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մամբ հարկային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տրամադրումը կարող է հավասա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պես դիտարկ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վել որպես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բոլոր ոլորտ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համար նպաստավոր միջա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վայրի ձևավորման ուղղություն, իսկ հար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կային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 բացակայությունը՝ որպես այս կամ այն ոլորտի զարգացմանը խոչ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նդոտող գործոն: Ակնհայտ է, սակայն, որ այս թեզը բավարար մասնա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հիմ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չունի, քանի որ միաժամանակ և բոլոր ուղղություններով հարկային արտոնություններ չեն կարող տրամադրվել:</w:t>
            </w:r>
          </w:p>
          <w:p w14:paraId="63068A4C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 որում, պարզ չէ, թե հարկային արտոնությունը չկիրառելու պարագայում արդյո՞ք նման փոխադ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րամիջոցներ չեն ներմուծվի կամ կներմուծվեն ներկայումս ներմուծվող քանակ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րից էակա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նորեն քիչ քանակով: Այս առումով, հայտնում ենք, որ նախագծի ընդունման հիմ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մամբ նման ուսումնասիրություններ և վերլուծություններ չեն ներկայացվել: Մինչդեռ, կարծում ենք, որ ԱԱՀ-ից ազատման խնդրո առարկա արտոնության կիրառությունը երկա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րաձգելու նպա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տակահարմարությունը որոշելու համար նշյալ վերլուծությունների արդյունք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որոշիչ նշանակություն կարող են ունենալ: Օրինակ՝ անհրաժեշտ է ուսումնասիրել և վերլուծել, թե գնային ինչ միջա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ներառված փոխադրամիջոցներ են ներմուծվում, ներմուծված փոխադրամիջոց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րից որքանն են արտահանվում և այլն:</w:t>
            </w:r>
          </w:p>
          <w:p w14:paraId="0CF45FAD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</w:pP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lastRenderedPageBreak/>
              <w:t>Նոր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հարկային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արտոնությունների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տրամադրումը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t>կամ գործող հարկային արտո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softHyphen/>
              <w:t>թյուն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softHyphen/>
              <w:t xml:space="preserve">ների շրջանակի ընդլայնումը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դր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վում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է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ներկա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փուլում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ՀՀ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կառա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րու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կողմից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իրա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նաց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վող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՝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հայտարարված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քաղա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քա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: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Մաս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նավորապես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, ՀՀ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կառա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 w:eastAsia="x-none"/>
              </w:rPr>
              <w:softHyphen/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վա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րու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2021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թվա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կանի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օգոս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տոսի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18-ի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թիվ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1363-Ա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որոշմամբ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հավա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արժա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ցած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՝ ՀՀ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կառա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վարու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ծրագրի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6.8-րդ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բաժնի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չորրորդ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պար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բե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րու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3-րդ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կետի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համա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ձայն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՝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հանրային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ռեսուրս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ների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կառա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ման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արդ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նավետությունն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հաս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ցեա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թյունը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բարձրացնելու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և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այդ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ռեսուրս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ները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հան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րօգուտ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համա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պետական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նշա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թյուն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ունե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ցող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ծրագրերի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վրա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ծախ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սելու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ինչպես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նաև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բյու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ջե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տային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կայու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թյունն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ապա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հո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վելու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նպատակով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քայլեր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են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իրակա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նաց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վելու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եկա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մուտների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ընդ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լայն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ման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ուղղու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թյամբ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:</w:t>
            </w:r>
          </w:p>
          <w:p w14:paraId="16073010" w14:textId="77777777" w:rsidR="00C70796" w:rsidRDefault="00C70796" w:rsidP="00C358F6">
            <w:pPr>
              <w:shd w:val="clear" w:color="auto" w:fill="FFFFFF"/>
              <w:tabs>
                <w:tab w:val="left" w:pos="851"/>
              </w:tabs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</w:pP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Այլ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կերպ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ասած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՝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ներկա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փուլում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խնդիր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է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դրված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ոչ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միայն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ձեռնպահ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մնալ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նոր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արտո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թյունների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տրամադրումից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այլ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նաև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կիրառությունից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հանել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բոլոր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այն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հարկա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արտո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նու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թյունները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որոնց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կիրառությունը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չի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հիմնավորվում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ծախսեր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/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օգուտներ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հարաբե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րակ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ցու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տեսանկ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softHyphen/>
              <w:t>յունից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x-none" w:eastAsia="x-none"/>
              </w:rPr>
              <w:t>։</w:t>
            </w:r>
          </w:p>
          <w:p w14:paraId="2CCBA2D7" w14:textId="77777777" w:rsidR="00C70796" w:rsidRDefault="00C70796" w:rsidP="00C358F6">
            <w:pPr>
              <w:spacing w:after="0" w:line="360" w:lineRule="auto"/>
              <w:ind w:left="144" w:right="144" w:firstLine="259"/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lastRenderedPageBreak/>
              <w:t>Հարկ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նկատել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կառա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վարու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6.8-րդ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չոր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րորդ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պար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բե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թյան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Կառավարությունը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նպատակ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ունի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ապահովել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հարկեր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/ՀՆԱ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ցուցանիշի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բարե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լա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վում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առնվազն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2.6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տոկոսային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կետով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՝ 2026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թվականին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հարկեր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/ՀՆԱ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ցուցանիշը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հաս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softHyphen/>
              <w:t>ցնելով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առնվազն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GHEA Grapalat" w:eastAsia="Arial Unicode MS" w:hAnsi="GHEA Grapalat" w:cs="Sylfaen"/>
                <w:sz w:val="24"/>
                <w:szCs w:val="24"/>
              </w:rPr>
              <w:t>տոկոսի</w:t>
            </w:r>
            <w:proofErr w:type="spellEnd"/>
            <w:r>
              <w:rPr>
                <w:rFonts w:ascii="GHEA Grapalat" w:eastAsia="Arial Unicode MS" w:hAnsi="GHEA Grapalat" w:cs="Sylfaen"/>
                <w:sz w:val="24"/>
                <w:szCs w:val="24"/>
              </w:rPr>
              <w:t>:</w:t>
            </w:r>
          </w:p>
          <w:p w14:paraId="1B32E175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Arial Unicode MS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ԱԱՀ-ի գծով արտոնությունների կիրառության միջազգային լավագույն փորձի ուսում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սիրությամբ հաստատվում է այն թեզը, որ ԱԱՀ-ից ազատման հարկային արտոնու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ները հիմ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նականում տրամադրվում են կենսական և առաջին անհրաժեշտության ապրանք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ու ծառայությունների գծով, որպեսզի վերջիններս որոշ չափով ավելի հասանելի լինեն հասա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թյան սոցիալապես խոցելի խմբերին: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Էլեկտրականությամբ սնուցվող շար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ժիչով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աշխատող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սակայն, չեն կարող բնութագր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վել նշյալ ապրանք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հատ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նիշ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ներով հենց միայն այն պատճառով, որ դրանք, այլ հավա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սար պայ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րում, ավելի թանկ են, քան ավանդական շարժիչներով աշխատող նույ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նման ավտո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բիլ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ները, ինչը նաև նշա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կում է, 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էլեկտրականությամբ սնուցվող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շար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ժիչով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աշխատող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միջոցները շահա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գործվում են ավելի մեծ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ֆինան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կան հնա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 ունեցող սուբյեկտների կող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մից, որոնց համար ԱԱՀ-ից ազատման արտո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թյունների տրա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մադրումը որևէ տնտեսա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գիտական հիմ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վորում ունենալ չի կարող:</w:t>
            </w:r>
          </w:p>
          <w:p w14:paraId="0A0006B2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Arial Unicode MS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ԱԱՀ-ից ազատման արտոնությունները՝ որպես սպառման հարկից ազատման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թյուններ, հիմնականում պետք է նախատեսված լինեն հասարակության սոցիա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լապես անա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 խմբերի սպառումը մատչելի դարձնելու համար: Գործնականում, սակայն, ԱԱՀ-ից ազատման արտոնություններից օգտվում են ինչպես հասարակության սոցիա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լապես անա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 խմբերը, այնպես էլ բարձր եկամուտներ ունեցող խմբերը և վեր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ներս՝ թերևս անհա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 ավելի մեծ չափով, քանի որ նրանք ավելի շատ են սպառում ԱԱՀ-ից ազատված ապրանք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և ծառայություններ: Այս առումով, ԱԱՀ-ից ազատման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 կորց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են իրենց հասցեականությունը և իրենց հիմնական նպա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կին չեն ծառա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յում:</w:t>
            </w:r>
          </w:p>
          <w:p w14:paraId="3E0D8F30" w14:textId="77777777" w:rsidR="00C70796" w:rsidRDefault="00C70796" w:rsidP="00C358F6">
            <w:pPr>
              <w:tabs>
                <w:tab w:val="left" w:pos="851"/>
              </w:tabs>
              <w:spacing w:after="0" w:line="360" w:lineRule="auto"/>
              <w:ind w:left="144" w:right="144" w:firstLine="25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Այս պարագայում նույնպես, այլ հավասար պայմաններում, ենթադր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վում է, որ էլեկտրա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նությամբ սնուցվող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շարժիչով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աշխատող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ձեռք են բերում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համեմատաբար բարձր եկամուտներ ունեցող քաղա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ցիները, ինչը նշանակում է, որ առա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 ընդունման դեպքում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նության հիմ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շահառու կլինեն նշյալ անձինք: Մինչդեռ սոցիալական պետու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հիմնական գոր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ծառույթներից մեկը՝ վերաբաշխ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գոր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ծառույթը, ենթադրում է հասա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կության բարձր եկա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մուտներ ունեցող խմբերի լիար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ժեք հար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 և սոցիալապես անա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 խմբերին աջակ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մադրում:</w:t>
            </w:r>
          </w:p>
          <w:p w14:paraId="293B0AF1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t>Առաջարկվող հարկային արտոնությունների սահմա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նումը արդարացված չէ հարկ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ման հավա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սարության և արդարության սկզբունքների տեսանկ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յու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նից: Մասնավորապես, անհաս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կա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 xml:space="preserve">նալի է, թե ինչու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էլեկտրականությամբ սնուցվող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շարժիչով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աշխատող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միջոց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t xml:space="preserve"> ներմուծումը և օտարումը պետք է ազատվի ԱԱՀ-ից, իսկ սոցիա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լա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կան այն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պիսի ապրանք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ների օտարումը, ինչ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պի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սիք են հացը կամ դեղը, շարու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կվի հարկվել ընդհա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նուր սահ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մանված կանոնների ներքո:</w:t>
            </w:r>
          </w:p>
          <w:p w14:paraId="591F859C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t>ՀՀ ֆինանսների նախարարության կողմից բազմիցս նշվել է, որ որևէ նոր հար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կա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յին արտո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նու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թյուն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ների սահման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ման արդյունքում մշտապես ձևավորվում են նմանօրինակ արտո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նու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թյուն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նե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րից օգտվելու պահանջ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ներ և սպա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>սում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 xml:space="preserve">ներ: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Մաս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վո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պես, նշվել է, որ արտո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թյուններ տրամադրելու դեպքում օբյեկտիվ պահանջ կներկայացվի, որպե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սզի նույն արտո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թյունները երկարաձգվեն կամ տրամադրվեն, օրինակ, այլ փոխադրամիջոցների ներմուծման և օտար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ման համար ու այսպես շարունակ</w:t>
            </w:r>
            <w:r>
              <w:rPr>
                <w:rFonts w:ascii="GHEA Grapalat" w:eastAsia="Arial Unicode MS" w:hAnsi="GHEA Grapalat" w:cs="Sylfaen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t>Ներկայացված առաջարկություններն ապացուցում են մեր նշյալ դիտար</w:t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</w:r>
            <w:r>
              <w:rPr>
                <w:rFonts w:ascii="GHEA Grapalat" w:hAnsi="GHEA Grapalat" w:cs="Sylfaen"/>
                <w:iCs/>
                <w:sz w:val="24"/>
                <w:szCs w:val="24"/>
                <w:lang w:val="hy-AM" w:eastAsia="ru-RU"/>
              </w:rPr>
              <w:softHyphen/>
              <w:t xml:space="preserve">կումը, քանի որ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2019 թվականին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թյամբ սնուցվող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ժիչ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ով աշխատող թեթև մարդատար ավտոմոբիլների ներմուծումը և օտա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րումը ժամա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վո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պես ԱԱՀ-ից ազատելու պարագայում այժմ արդեն երկրորդ անգամ է ներ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յաց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վում արտոնության ժամ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կետը 2 տարով երկարաձգելու առաջարկություն:</w:t>
            </w:r>
          </w:p>
          <w:p w14:paraId="29558525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Հարկ ենք համարում նշել, որ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մթնոլորտային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աղտոտվածության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նվազեցման 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խնդիր կարող է լուծել ոչ միայն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թյամբ սնուցվող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ժիչ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>աշխա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տող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>կողմից արտանետված վնա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սակար նյութերի պակա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սեց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ման միջո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ցա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ռում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ների իրականացումը,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այլ նաև, օրի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 xml:space="preserve">նակ, 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կանգնվող ռեսուրսներից էլեկտ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կան էներ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գիայի արտադրության կայանների կառուցման համար անհրաժեշտ սար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քերի և սար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քա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վո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րում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ների ներմուծման խթանումը, կամ էներգա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խնա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յողու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թյանն ուղղված նյու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թերի և պարա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ների օգտագործումը խթանելու միջո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ցա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ռումների իրականացումը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: Հետևա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 xml:space="preserve">բար,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հարց է ծագում, թե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մթնոլորտային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աղտոտ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վածու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նվազեցման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խնդիրը քննարկելիս ինչու է կարևորվում հատկապես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թյամբ սնուցվող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ժիչով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տող տրանս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 միջոցների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ներ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մուծ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ման և օտար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ման խրախու</w:t>
            </w:r>
            <w:r>
              <w:rPr>
                <w:rStyle w:val="aau"/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սումը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: Մյուս կողմից, եթե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մթնոլոր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աղտոտվածության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զեց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մանն ուղղված բոլոր ապրանք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ներմու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ծումն ու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օտա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րումն ազատվի ԱԱՀ-ից, ապա պետք է հաշվի առնել, որ ոչ պակաս կարևոր է նաև հար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յին եկա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մուտ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ների հավա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քա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գրումը՝ հաշվի առնե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լով, որ այդ եկա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մուտ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ները հանդի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սանում են ՀՀ պետա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կան բյուջեի եկա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մուտների հիմնական աղբյուրը, որոնց հաշվին իրա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կանացվում են հան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րային, պաշտ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պանության, սոցիա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լական, անվտան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գու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թյան, բնա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պահ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պանական և այլ ոլորտ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ներում նախա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տես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վող ծախ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  <w:t>սերը:</w:t>
            </w:r>
          </w:p>
          <w:p w14:paraId="50E19D41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Հայտնում ենք նաև, որ </w:t>
            </w:r>
            <w:r>
              <w:rPr>
                <w:rFonts w:ascii="GHEA Grapalat" w:eastAsia="Times New Roman" w:hAnsi="GHEA Grapalat" w:cs="Arial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յուրաքանչյուր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նոր հարկային արտոնության տրա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մա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դրում ենթա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դրում է հար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կային եկամուտների կորուստ, հետևաբար նաև՝ պաշտպանության, առող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ջա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պա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հու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թյան, գյու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ղա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տնտեսու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թյան, սոցիա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լա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 xml:space="preserve">կան 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ապահովության, կրթության, բնա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պահ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պա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նության և այլ հանր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օ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գուտ ոլորտ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ներում չկա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տար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ված բյուջե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յին ծախսեր: Մյուս կող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մից, եթե հաշվի առնենք նաև այն հան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գամանքը, որ պետու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յան ծախ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սա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յին քաղաքա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 շրջա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նակ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նե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րում պետա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աջակ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ցության բյու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ջե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յին գործի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քա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կազմն ավելի հաս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ցեա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ու, հետևա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բար նաև՝ ավելի արդյու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նավետ է, ակն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հայտ է դառնում, որ հարկային արտո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թյուն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ների տրամա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դրումը պետա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աջակ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ցու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յան լա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գույն միջոցը չէ, քանի որ հար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յին արտո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թյունը դրա իրա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հասցեա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տե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րերի համար որոշա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կի կոնկրետ արդ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յունք չերա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շ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խա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վորելով հան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դերձ՝ հան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գեց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նում է հար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յին ծախսերի առա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ջացման՝ պետու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թյանը զրկե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լով աջակցու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 ավելի հաս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ցեա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ծրա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գրեր իրա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նաց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նելու հնա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րա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վո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րու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թյու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նից:</w:t>
            </w:r>
          </w:p>
          <w:p w14:paraId="7A5AA505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Նոր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հարկային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 կամ խթանների տրամադրման առաջարկու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ների ընդունումը նպատակահարմար չէ նաև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ներքին ռեսուրսների հաշվին հարկա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բյու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կայու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 ապահովելու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նպատակադրման տեսանկյունից: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Հետևաբար, ՀՀ պետա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 բյուջեի եկամուտների նվազեցմանը հանգեցնող ցանկա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ցած առա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ջար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թյան ընդու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ում հար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կաբյուջետային կայունության տեսանկյունից լուրջ ռիս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կեր է պարու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նա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 xml:space="preserve">կում, որոնք չպետք է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 xml:space="preserve">անտեսվեն: Այս առումով, </w:t>
            </w:r>
            <w:r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հարկ է նկատել նաև, որ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ԱԱՀ-ի գծով հարկային ծախսերը ԱԱՀ-ի գծով հարկային արտոնությունների առկայության արդյունքում պետական բյուջե չհա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վա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քա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գր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վող եկա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մուտները 2023 թվա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կանի համար գնահատվել են շուրջ 410 միլիարդ դրամ:</w:t>
            </w:r>
          </w:p>
          <w:p w14:paraId="0279ABED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Հարկ ենք համարում նշել, որ </w:t>
            </w:r>
            <w:r>
              <w:rPr>
                <w:rFonts w:ascii="GHEA Grapalat" w:hAnsi="GHEA Grapalat"/>
                <w:bCs/>
                <w:iCs/>
                <w:noProof/>
                <w:sz w:val="24"/>
                <w:szCs w:val="24"/>
                <w:lang w:val="hy-AM"/>
              </w:rPr>
              <w:t xml:space="preserve">2022 թվականի դեկտեմբերի 27-ի </w:t>
            </w:r>
            <w:r>
              <w:rPr>
                <w:rFonts w:ascii="GHEA Grapalat" w:hAnsi="GHEA Grapalat" w:cstheme="minorHAnsi"/>
                <w:bCs/>
                <w:iCs/>
                <w:noProof/>
                <w:sz w:val="24"/>
                <w:szCs w:val="24"/>
                <w:lang w:val="hy-AM"/>
              </w:rPr>
              <w:t>«Երևան համայն</w:t>
            </w:r>
            <w:r>
              <w:rPr>
                <w:rFonts w:ascii="GHEA Grapalat" w:hAnsi="GHEA Grapalat" w:cstheme="minorHAnsi"/>
                <w:bCs/>
                <w:iCs/>
                <w:noProof/>
                <w:sz w:val="24"/>
                <w:szCs w:val="24"/>
                <w:lang w:val="hy-AM"/>
              </w:rPr>
              <w:softHyphen/>
              <w:t>քում 2023 թվականի տեղական վճարների գծով արտո</w:t>
            </w:r>
            <w:r>
              <w:rPr>
                <w:rFonts w:ascii="GHEA Grapalat" w:hAnsi="GHEA Grapalat" w:cstheme="minorHAnsi"/>
                <w:bCs/>
                <w:iCs/>
                <w:noProof/>
                <w:sz w:val="24"/>
                <w:szCs w:val="24"/>
                <w:lang w:val="hy-AM"/>
              </w:rPr>
              <w:softHyphen/>
              <w:t>նություններ սահմանելու մասին» Երևան քաղաքի ավա</w:t>
            </w:r>
            <w:r>
              <w:rPr>
                <w:rFonts w:ascii="GHEA Grapalat" w:hAnsi="GHEA Grapalat" w:cstheme="minorHAnsi"/>
                <w:bCs/>
                <w:iCs/>
                <w:noProof/>
                <w:sz w:val="24"/>
                <w:szCs w:val="24"/>
                <w:lang w:val="hy-AM"/>
              </w:rPr>
              <w:softHyphen/>
              <w:t>գանու թիվ 689-Ն որոշման 1-ին կետի 8-րդ ենթակետով սահմանվել է, որ ո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րպես վառելիք բացա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ռապես էլեկտրա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էներ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գիա օգտա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գոր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ծող և բացառապես էլեկ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կան շար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ժիչով աշխա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տող ավտոտրանսպոր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յին միջոցի (էլեկ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տրամոբիլ) սեփա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տեր կամ այլ օրինական տիրա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պետող հան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դի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ցող և այն ղեկավարող անձանց համար 2023 թվա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կանի համար սահ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ված տեղական վճարի դրույքա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չափերի նկատմամբ կիրառ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վում է արտո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նություն` ազա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տե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լով հաշվարկված ավտո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կայա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նատեղի տեղական վճարի վճա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մից: Ընդ որում, հարկ է նշել, որ նույն արտո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նությունը սահմանված է եղել 2019-2022 թվա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ներին:</w:t>
            </w:r>
          </w:p>
          <w:p w14:paraId="10C5675C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Անհրաժեշտ է հաշվի առնել նաև այն, որ եթե խնդիր դրվի հարկային քաղա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նությամբ խրախուսել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էլեկտրականությամբ սնուցվող շարժիչով աշխատող ավտոտրանս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տային միջոց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շահագործումը, ապա հարկային քաղաքա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գործիքակազմը պետք է լինի այն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սին, որ խրախուսումը հիմնված լինի տնտե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տորեն կամ որևէ այլ կերպ բացատրելի գոր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ծոնի վրա: Այս առումով, ուշադրություն ենք հրա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այն հան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մանքի վրա, որ էլեկտրականությամբ սնուցվող շարժիչով աշխատող ավտոտրանս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տային միջոց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շահա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ծումը, այլ հավասար պայմաննե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րում, մթնոլոր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օդն ավելի քիչ է աղտոտում, սակայն արժե կարևոր վերապա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հում կատարել այն իմաստով, որ էլեկ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թյամբ սնուցվող շարժիչով աշխատող ավտո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տրանս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միջոց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ների՝ շահա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գործումից հանվող մարտկոցները կարող են բնա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պանական տեսան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յունից լուրջ վտանգ 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 շրջակա միջավայրի վրա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01AFA1D" w14:textId="77777777" w:rsidR="00C70796" w:rsidRDefault="00C70796" w:rsidP="00C358F6">
            <w:pPr>
              <w:tabs>
                <w:tab w:val="left" w:pos="851"/>
              </w:tabs>
              <w:spacing w:after="0" w:line="360" w:lineRule="auto"/>
              <w:ind w:left="144" w:right="144" w:firstLine="259"/>
              <w:jc w:val="both"/>
              <w:rPr>
                <w:rFonts w:ascii="GHEA Grapalat" w:eastAsia="Calibri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Վերոնշյալը հաշվի առնելով, գ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տնում ենք, որ առաջարկությունը անհրաժեշտ է դիտար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կել էլեկտրական շարժիչով աշխատող տրանսպորտային միջոցների մարտկոցները շահա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գոր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ծումից դուրս գալու դեպքում այդ մարտկոցների՝ բնությանը հասցված վնասը գնա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հա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 xml:space="preserve">տելու, այդ վնասը չեզոքացնելու կամ կառավարելու միջոցառումների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համար համա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պա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տաս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softHyphen/>
              <w:t>խան ֆինանսական գնահատականներ և աղբյուրներ ներկայացնելու տեսանկյունից:</w:t>
            </w:r>
          </w:p>
          <w:p w14:paraId="25F9CBCE" w14:textId="77777777" w:rsidR="00C70796" w:rsidRDefault="00C70796" w:rsidP="00C358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suppressAutoHyphens/>
              <w:autoSpaceDN w:val="0"/>
              <w:spacing w:after="0" w:line="360" w:lineRule="auto"/>
              <w:ind w:left="144" w:right="144" w:firstLine="259"/>
              <w:contextualSpacing/>
              <w:jc w:val="both"/>
              <w:textAlignment w:val="baseline"/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Միաժամանակ, նախագծի ընդունման հիմնավորման մեջ նշված՝ 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խնդրո առարկա փոխադ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>րամիջոցների ներմուծումից ԱԱՀ չի գանձվել և ՀՀ պետական բյուջե գումար չի մուտ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>քագրվել, ուստի պետական եկամուտներում հնարավոր կորուստներ չեն նախատեսվում դիտարկման վերաբերյալ նախ՝ հայտնում ենք, որ նման եզրակացությունը չի արտացոլում իրականությունը, քանի որ հարկային արտոնությունները նշանակում են չհավաքագրված եկա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>մուտներ (հարկային ծախսեր), իսկ արտոնությունների վերացումը նշանակում է եկա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>մուտ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 xml:space="preserve">ների ավելացում: Այս կապակցությամբ,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անհրաժեշտ է նաև ներկայացնել նախա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գծի ազդե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ցության գնահատականը, որտեղ Կառավարության նախանշված առաջ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համատեքստում՝</w:t>
            </w:r>
          </w:p>
          <w:p w14:paraId="7B0C6A30" w14:textId="77777777" w:rsidR="00C70796" w:rsidRDefault="00C70796" w:rsidP="00C358F6">
            <w:pPr>
              <w:pStyle w:val="NormalWeb"/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կհստակեցվի ակնկալվող վերջնարդյունքը,</w:t>
            </w:r>
          </w:p>
          <w:p w14:paraId="26529F30" w14:textId="77777777" w:rsidR="00C70796" w:rsidRDefault="00C70796" w:rsidP="00C358F6">
            <w:pPr>
              <w:pStyle w:val="NormalWeb"/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կհիմնավորվի առաջարկվող միջոցառման նշանակալիությունը վերջնարդյունքի տեսա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կետից,</w:t>
            </w:r>
          </w:p>
          <w:p w14:paraId="4AB1AFB5" w14:textId="77777777" w:rsidR="00C70796" w:rsidRDefault="00C70796" w:rsidP="00C358F6">
            <w:pPr>
              <w:pStyle w:val="NormalWeb"/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4" w:right="144" w:firstLine="25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«փողի դիմաց արժեք» սկզբունքի հաշվառմամբ կհիմնավորվի, որ </w:t>
            </w:r>
            <w:r>
              <w:rPr>
                <w:rFonts w:ascii="GHEA Grapalat" w:hAnsi="GHEA Grapalat"/>
                <w:lang w:val="hy-AM"/>
              </w:rPr>
              <w:t>կանխատեսվող ծախ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 xml:space="preserve">սերն ավելի հասցեական են և արդյունավետ, քան պետական բյուջեի </w:t>
            </w:r>
            <w:r>
              <w:rPr>
                <w:rFonts w:ascii="GHEA Grapalat" w:hAnsi="GHEA Grapalat"/>
                <w:lang w:val="hy-AM"/>
              </w:rPr>
              <w:lastRenderedPageBreak/>
              <w:t>պոտեն</w:t>
            </w:r>
            <w:r>
              <w:rPr>
                <w:rFonts w:ascii="GHEA Grapalat" w:hAnsi="GHEA Grapalat"/>
                <w:lang w:val="hy-AM"/>
              </w:rPr>
              <w:softHyphen/>
              <w:t>ցիալ հար</w:t>
            </w:r>
            <w:r>
              <w:rPr>
                <w:rFonts w:ascii="GHEA Grapalat" w:hAnsi="GHEA Grapalat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յին եկամուտների հաշվին՝ տվյալ ժամանակահատվածի պահանջներին համապա</w:t>
            </w:r>
            <w:r>
              <w:rPr>
                <w:rFonts w:ascii="GHEA Grapalat" w:hAnsi="GHEA Grapalat"/>
                <w:lang w:val="hy-AM"/>
              </w:rPr>
              <w:softHyphen/>
              <w:t>տաս</w:t>
            </w:r>
            <w:r>
              <w:rPr>
                <w:rFonts w:ascii="GHEA Grapalat" w:hAnsi="GHEA Grapalat"/>
                <w:lang w:val="hy-AM"/>
              </w:rPr>
              <w:softHyphen/>
              <w:t>խան, Կառավարության առաջնահերթություններից բխող հնարավոր ծախսերը։</w:t>
            </w:r>
          </w:p>
          <w:p w14:paraId="1DAE803B" w14:textId="77777777" w:rsidR="00C70796" w:rsidRDefault="00C70796" w:rsidP="00C358F6">
            <w:pPr>
              <w:pStyle w:val="NormalWeb"/>
              <w:spacing w:after="0" w:line="360" w:lineRule="auto"/>
              <w:ind w:left="144" w:right="144" w:firstLine="259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Հաշվի առնելով վերոգրյալը՝ հայտնում ենք, որ նախագծով ներկայացված առաջար</w:t>
            </w:r>
            <w:r>
              <w:rPr>
                <w:rFonts w:ascii="GHEA Grapalat" w:hAnsi="GHEA Grapalat"/>
                <w:lang w:val="hy-AM"/>
              </w:rPr>
              <w:softHyphen/>
              <w:t>կու</w:t>
            </w:r>
            <w:r>
              <w:rPr>
                <w:rFonts w:ascii="GHEA Grapalat" w:hAnsi="GHEA Grapalat"/>
                <w:lang w:val="hy-AM"/>
              </w:rPr>
              <w:softHyphen/>
              <w:t>թյունը հիմ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lang w:val="hy-AM"/>
              </w:rPr>
              <w:softHyphen/>
              <w:t>ված չէ, հետևաբար նաև՝ ընդունելի չէ</w:t>
            </w:r>
            <w:r>
              <w:rPr>
                <w:rFonts w:ascii="GHEA Grapalat" w:hAnsi="GHEA Grapalat" w:cs="GHEA Grapalat"/>
                <w:bCs/>
                <w:lang w:val="hy-AM"/>
              </w:rPr>
              <w:t>:</w:t>
            </w:r>
          </w:p>
          <w:p w14:paraId="660613E6" w14:textId="4A7A2A3B" w:rsidR="00233854" w:rsidRPr="00C70796" w:rsidRDefault="00233854" w:rsidP="00F67390">
            <w:pPr>
              <w:pStyle w:val="ListParagraph"/>
              <w:tabs>
                <w:tab w:val="left" w:pos="117"/>
                <w:tab w:val="left" w:pos="1253"/>
              </w:tabs>
              <w:spacing w:after="0" w:line="360" w:lineRule="auto"/>
              <w:ind w:left="0" w:firstLine="259"/>
              <w:jc w:val="both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</w:p>
        </w:tc>
        <w:tc>
          <w:tcPr>
            <w:tcW w:w="7213" w:type="dxa"/>
            <w:gridSpan w:val="3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1298F1C" w14:textId="4EED0767" w:rsidR="00C72C22" w:rsidRPr="00B65597" w:rsidRDefault="00C72C22" w:rsidP="00834063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655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Չի ընդունվել</w:t>
            </w:r>
            <w:r w:rsidR="00A10EFF" w:rsidRPr="00B655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։</w:t>
            </w:r>
          </w:p>
          <w:p w14:paraId="278705B9" w14:textId="0EE17810" w:rsidR="00A10EFF" w:rsidRDefault="00A10EFF" w:rsidP="00A10EFF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>լեկտր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շարժիչով 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միջոցների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ներմուծման և (կամ) օտա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րման ժամանակ ԱԱՀ-ից ազատման արտոնությունը գործում է 2019 թվականի հուլիսի 1-ից։ Նշված արտոնությունը թույլ է տվել տարեցտարի ավելացնել նշված տրանսպորտային միջոցի ներմուծման ծավալները, զուգահեռ ընդլայնելով լիցքավո</w:t>
            </w:r>
            <w:r w:rsidR="00CB07AF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 և սպասարկման ենթակառուցվ</w:t>
            </w:r>
            <w:r w:rsidR="0062380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ծքները։ </w:t>
            </w:r>
          </w:p>
          <w:p w14:paraId="1F052EEF" w14:textId="604C6284" w:rsidR="00834063" w:rsidRDefault="009F6026" w:rsidP="00834063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Հարկ է նշել, որ Է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>լեկտր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շարժիչով 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միջոցների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ներմուծման ժամանակ մաքսատուրքի գծով արտոնության հարցը քննարկ</w:t>
            </w:r>
            <w:r w:rsidR="00D80561">
              <w:rPr>
                <w:rFonts w:ascii="GHEA Grapalat" w:hAnsi="GHEA Grapalat"/>
                <w:sz w:val="24"/>
                <w:szCs w:val="24"/>
                <w:lang w:val="hy-AM"/>
              </w:rPr>
              <w:t>վել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  Եվրասիական տնտեսական  հանձնաժողովի հարթակում, որի արդյունքում</w:t>
            </w:r>
            <w:r w:rsidR="00D8056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2022 թվականի մարտի 17-ի 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>Եվրասիական տնտեսական  հանձնաժողովի խորհուրդի</w:t>
            </w:r>
            <w:r w:rsidR="00064E29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4E29" w:rsidRPr="00064E29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 w:rsidR="00834063" w:rsidRP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>որոշմա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մբ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սահմանվել է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սակագնային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արտոնություն՝ 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էլեկտրական շարժիչով 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միջոցների ներմուծման մաքսատուրքի վճարումից ազատման տեսքով։ </w:t>
            </w:r>
            <w:r w:rsidR="003B0498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>րոշմա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մբ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Հանրապետությանը սակագնային արտոնության շրջանակներում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թույլատրվ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լ է ներմուծել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>2022 թվականի համար 7 հազար միավոր, 2023 թվականի համար՝ 8 հազար միավոր</w:t>
            </w:r>
            <w:r w:rsidR="003B0498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էլեկտրական շարժիչով </w:t>
            </w:r>
            <w:r w:rsidR="003B0498" w:rsidRPr="00AC413C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  <w:r w:rsidR="00C358F6" w:rsidRPr="00AC413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4E29" w:rsidRPr="00064E2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3B0498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երկայումս 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ԵԱՏՄ անդամ երկրների կողմից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քննարկ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>ման փուլում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34063" w:rsidRPr="00713A4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 xml:space="preserve">գտնվում 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2024-2025 թվականների համար</w:t>
            </w:r>
            <w:r w:rsidR="007E4813"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34063" w:rsidRPr="00713A4D">
              <w:rPr>
                <w:rFonts w:ascii="GHEA Grapalat" w:hAnsi="GHEA Grapalat"/>
                <w:sz w:val="24"/>
                <w:szCs w:val="24"/>
                <w:lang w:val="hy-AM"/>
              </w:rPr>
              <w:t>էլեկտր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="00834063"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շարժիչով </w:t>
            </w:r>
            <w:r w:rsidR="00834063" w:rsidRPr="00713A4D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միջոցների սակագնային արտոնություն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B0498">
              <w:rPr>
                <w:rFonts w:ascii="GHEA Grapalat" w:hAnsi="GHEA Grapalat"/>
                <w:sz w:val="24"/>
                <w:szCs w:val="24"/>
                <w:lang w:val="hy-AM"/>
              </w:rPr>
              <w:t>տրամադրելու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հարցը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</w:p>
          <w:p w14:paraId="78985E6E" w14:textId="6D6C5018" w:rsidR="00590DC4" w:rsidRDefault="00ED3B42" w:rsidP="00834063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="00DE2F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 այսօր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ԱԱՀ-ի վճա</w:t>
            </w:r>
            <w:r w:rsidR="00F55821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ումից ազատման և  մաքսատուրքի զ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>րոյական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դրույքաչափի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կիրառման  արդյունքում 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>աննախադեպ աճ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են 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>նշված տրանսպորտային միջոց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>ների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ներմուծման ծավալները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Եթե 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Հայաստան է ներմուծվել 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17 </w:t>
            </w:r>
            <w:r w:rsidR="00C72C22" w:rsidRPr="00713A4D">
              <w:rPr>
                <w:rFonts w:ascii="GHEA Grapalat" w:hAnsi="GHEA Grapalat"/>
                <w:sz w:val="24"/>
                <w:szCs w:val="24"/>
                <w:lang w:val="hy-AM"/>
              </w:rPr>
              <w:t>էլեկտր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="00C72C22"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շարժիչով </w:t>
            </w:r>
            <w:r w:rsidR="00C72C22" w:rsidRPr="00713A4D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>, ապա 2022</w:t>
            </w:r>
            <w:r w:rsidR="00E736C0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</w:t>
            </w:r>
            <w:r w:rsidR="00F5582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>ց ներմուծումը կազմել է 3</w:t>
            </w:r>
            <w:r w:rsidR="00623809">
              <w:rPr>
                <w:rFonts w:ascii="GHEA Grapalat" w:hAnsi="GHEA Grapalat"/>
                <w:sz w:val="24"/>
                <w:szCs w:val="24"/>
                <w:lang w:val="hy-AM"/>
              </w:rPr>
              <w:t>485</w:t>
            </w:r>
            <w:r w:rsidR="00C72C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միավոր։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ավելացել 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լիցքա</w:t>
            </w:r>
            <w:r w:rsidR="00071689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>որման կայանների քանակը, եթե 2020 թվականին դրանց թիվը կազմել է 20 կայան, ապա 2022-ի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վերջին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այդ թիվը կազմել է </w:t>
            </w:r>
            <w:r w:rsidR="009F6026" w:rsidRPr="0032646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 լիցքավորման կայան, որոնց միջոցով հնարավոր է  լիցքավորել միաժամանակ 150 էլեկտրական շարժիչով տրանսպորտային միջոց</w:t>
            </w:r>
            <w:r w:rsidR="009F60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։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92E36B" w14:textId="0EADF5BE" w:rsidR="00DE2F8E" w:rsidRDefault="00DE2F8E" w:rsidP="00DE2F8E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Նշենք, որ 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>էլեկտր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շարժիչով </w:t>
            </w:r>
            <w:r w:rsidRPr="00713A4D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ներմուծման մասով</w:t>
            </w:r>
            <w:r w:rsidRPr="00D831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ԱԱՀ-ի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վճա</w:t>
            </w:r>
            <w:r w:rsidR="00071689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ումից ազատման պարագայում</w:t>
            </w:r>
            <w:r w:rsidR="00071689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 թվականին 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բյուջե 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մուտքագրվել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18,6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մլն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ԱՄՆ դոլար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0DC4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2022 թվականին ներմուծվել է 3485 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>էլեկտրական շարժիչով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տրանսպորտային միջոց, ընդհանու</w:t>
            </w:r>
            <w:r w:rsidR="004D6AF0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112,1 մլն</w:t>
            </w:r>
            <w:r w:rsidRPr="00C03B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ԱՄՆ դոլար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արժողությամբ</w:t>
            </w:r>
            <w:r w:rsidRPr="00590DC4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E20D5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E2B35AC" w14:textId="094A5BE2" w:rsidR="00DE2F8E" w:rsidRPr="00FF39FC" w:rsidRDefault="00DE2F8E" w:rsidP="00DE2F8E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Նշենք նաև, որ 2022 թվականին ներմուծման մաքսատուրքի զ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րոյական դրույքաչափի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կիրառման արդյունքում չ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վճա</w:t>
            </w:r>
            <w:r w:rsidR="009B5EE2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="00064E29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ներմուծման մաքսատուրքի գծով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մլն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ԱՄՆ դոլար, որից ՀՀ բյուջե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կմուտքագրվեր 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0,2 մլն</w:t>
            </w:r>
            <w:r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ԱՄՆ դոլար։</w:t>
            </w:r>
          </w:p>
          <w:p w14:paraId="46231808" w14:textId="1E1039D7" w:rsidR="00623809" w:rsidRDefault="003B0498" w:rsidP="00C358F6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օրենքի նախագ</w:t>
            </w:r>
            <w:r w:rsidR="00A10EFF"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A10E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թույլ կտա</w:t>
            </w:r>
            <w:r w:rsidR="009F60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պահպանել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առավել արտոնյալ հարկային ռեժիմ նշված ապրանքի համար, </w:t>
            </w:r>
            <w:r w:rsidR="004D6AF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հիմնական նպա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տակ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 է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շրջակա միջավայր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 ոչ վնասակար տրանսպոր</w:t>
            </w:r>
            <w:r w:rsidR="004D6AF0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ային միջոցի ներկրման և շրջանառության խթանումը։</w:t>
            </w:r>
            <w:r w:rsidR="00B46A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34063">
              <w:rPr>
                <w:rFonts w:ascii="GHEA Grapalat" w:hAnsi="GHEA Grapalat"/>
                <w:sz w:val="24"/>
                <w:szCs w:val="24"/>
                <w:lang w:val="hy-AM"/>
              </w:rPr>
              <w:t>Օրենքի ընդունմամբ հ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նարավորությ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B67F87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նձեռնվի </w:t>
            </w:r>
            <w:r w:rsidR="00AF7AA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նաև </w:t>
            </w:r>
            <w:r w:rsidR="00B67F87">
              <w:rPr>
                <w:rFonts w:ascii="GHEA Grapalat" w:hAnsi="GHEA Grapalat"/>
                <w:sz w:val="24"/>
                <w:szCs w:val="24"/>
                <w:lang w:val="hy-AM"/>
              </w:rPr>
              <w:t>հետագայում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վազեցնել շրջակա միջավայրի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պաշտպանության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կապված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ծախսերը, 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>որոոն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ք </w:t>
            </w:r>
            <w:r w:rsidR="007E4813">
              <w:rPr>
                <w:rFonts w:ascii="GHEA Grapalat" w:hAnsi="GHEA Grapalat"/>
                <w:sz w:val="24"/>
                <w:szCs w:val="24"/>
                <w:lang w:val="hy-AM"/>
              </w:rPr>
              <w:t>հնարավոր կլինի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7F87">
              <w:rPr>
                <w:rFonts w:ascii="GHEA Grapalat" w:hAnsi="GHEA Grapalat"/>
                <w:sz w:val="24"/>
                <w:szCs w:val="24"/>
                <w:lang w:val="hy-AM"/>
              </w:rPr>
              <w:t>ուղղել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շրջակա միջավայր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>ի պաշտպանության մասով այլ ծրագրերի իրականացմանը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C358F6" w:rsidRPr="00E20D5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>Հարկ է նշել, որ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նշված օրենսդրա</w:t>
            </w:r>
            <w:r w:rsidR="00D74478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նախաձեռնությունը պետք </w:t>
            </w:r>
            <w:r w:rsidR="00E736C0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>է համադր</w:t>
            </w:r>
            <w:r w:rsidR="00E736C0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C358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0DC4"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ԱԱՀ-ի մասով 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</w:t>
            </w:r>
            <w:r w:rsidR="006C44EA"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="00935F64">
              <w:rPr>
                <w:rFonts w:ascii="GHEA Grapalat" w:hAnsi="GHEA Grapalat"/>
                <w:sz w:val="24"/>
                <w:szCs w:val="24"/>
                <w:lang w:val="hy-AM"/>
              </w:rPr>
              <w:t>ախսերի ավելացման/նվազեցման</w:t>
            </w:r>
            <w:r w:rsidR="006C44E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ուղղված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>այլ օրենսդրական նախաձեռնությունների հետ</w:t>
            </w:r>
            <w:r w:rsidR="00A979F2">
              <w:rPr>
                <w:rFonts w:ascii="GHEA Grapalat" w:hAnsi="GHEA Grapalat"/>
                <w:sz w:val="24"/>
                <w:szCs w:val="24"/>
                <w:lang w:val="hy-AM"/>
              </w:rPr>
              <w:t xml:space="preserve">, քանի որ վերջինս ուղղված է՝ ի թիվս նշված հարցերի, նաև </w:t>
            </w:r>
            <w:r w:rsidR="00A024CC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EB68B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79F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տնտեսական </w:t>
            </w:r>
            <w:r w:rsidR="00A9259C">
              <w:rPr>
                <w:rFonts w:ascii="GHEA Grapalat" w:hAnsi="GHEA Grapalat"/>
                <w:sz w:val="24"/>
                <w:szCs w:val="24"/>
                <w:lang w:val="hy-AM"/>
              </w:rPr>
              <w:t>նշանակությ</w:t>
            </w:r>
            <w:r w:rsidR="00A024CC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A9259C">
              <w:rPr>
                <w:rFonts w:ascii="GHEA Grapalat" w:hAnsi="GHEA Grapalat"/>
                <w:sz w:val="24"/>
                <w:szCs w:val="24"/>
                <w:lang w:val="hy-AM"/>
              </w:rPr>
              <w:t>ն ունեցող խնդիրների լուծ</w:t>
            </w:r>
            <w:r w:rsidR="00EB68B3">
              <w:rPr>
                <w:rFonts w:ascii="GHEA Grapalat" w:hAnsi="GHEA Grapalat"/>
                <w:sz w:val="24"/>
                <w:szCs w:val="24"/>
                <w:lang w:val="hy-AM"/>
              </w:rPr>
              <w:t>մանը</w:t>
            </w:r>
            <w:r w:rsidR="00590DC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C358F6" w:rsidRPr="00777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7D20E5A" w14:textId="3349394D" w:rsidR="00C72C22" w:rsidRDefault="00C72C22" w:rsidP="00C358F6">
            <w:pPr>
              <w:spacing w:after="0" w:line="360" w:lineRule="auto"/>
              <w:ind w:left="144" w:right="14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B959DF" w14:textId="59378096" w:rsidR="00233854" w:rsidRPr="003B1DDA" w:rsidRDefault="00233854" w:rsidP="007B0C4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C2B0A92" w14:textId="77777777" w:rsidR="00F13331" w:rsidRPr="00661774" w:rsidRDefault="00F13331" w:rsidP="000D6E3C">
      <w:pPr>
        <w:spacing w:line="360" w:lineRule="auto"/>
        <w:rPr>
          <w:lang w:val="hy-AM"/>
        </w:rPr>
      </w:pPr>
    </w:p>
    <w:sectPr w:rsidR="00F13331" w:rsidRPr="00661774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21C"/>
    <w:multiLevelType w:val="hybridMultilevel"/>
    <w:tmpl w:val="37D67C94"/>
    <w:lvl w:ilvl="0" w:tplc="AE3A5524">
      <w:start w:val="1"/>
      <w:numFmt w:val="decimal"/>
      <w:lvlText w:val="%1."/>
      <w:lvlJc w:val="left"/>
      <w:pPr>
        <w:ind w:left="1260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25C0663"/>
    <w:multiLevelType w:val="hybridMultilevel"/>
    <w:tmpl w:val="75080E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4924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D4"/>
    <w:rsid w:val="000354C2"/>
    <w:rsid w:val="00064E29"/>
    <w:rsid w:val="00071689"/>
    <w:rsid w:val="000B1DC2"/>
    <w:rsid w:val="000D6E3C"/>
    <w:rsid w:val="000E0BA0"/>
    <w:rsid w:val="001142A8"/>
    <w:rsid w:val="0013035D"/>
    <w:rsid w:val="00140E98"/>
    <w:rsid w:val="001C39E5"/>
    <w:rsid w:val="001E6602"/>
    <w:rsid w:val="002130F4"/>
    <w:rsid w:val="00233854"/>
    <w:rsid w:val="00266CB7"/>
    <w:rsid w:val="00270639"/>
    <w:rsid w:val="002A1374"/>
    <w:rsid w:val="002A6EAC"/>
    <w:rsid w:val="00337836"/>
    <w:rsid w:val="00346D83"/>
    <w:rsid w:val="003B0498"/>
    <w:rsid w:val="003B1DDA"/>
    <w:rsid w:val="004545F4"/>
    <w:rsid w:val="004C62DF"/>
    <w:rsid w:val="004D6AF0"/>
    <w:rsid w:val="00520C29"/>
    <w:rsid w:val="00534DEE"/>
    <w:rsid w:val="00566955"/>
    <w:rsid w:val="00590DC4"/>
    <w:rsid w:val="00593AD4"/>
    <w:rsid w:val="005D5EE7"/>
    <w:rsid w:val="0061050D"/>
    <w:rsid w:val="00613E1F"/>
    <w:rsid w:val="006202AA"/>
    <w:rsid w:val="00623809"/>
    <w:rsid w:val="006528D1"/>
    <w:rsid w:val="00661774"/>
    <w:rsid w:val="00663EC8"/>
    <w:rsid w:val="006802AB"/>
    <w:rsid w:val="006C44EA"/>
    <w:rsid w:val="007035E7"/>
    <w:rsid w:val="00712111"/>
    <w:rsid w:val="00756C11"/>
    <w:rsid w:val="007B0C41"/>
    <w:rsid w:val="007E4813"/>
    <w:rsid w:val="00834063"/>
    <w:rsid w:val="00835577"/>
    <w:rsid w:val="0086227B"/>
    <w:rsid w:val="00874B8E"/>
    <w:rsid w:val="0087580F"/>
    <w:rsid w:val="008F2FD4"/>
    <w:rsid w:val="0093580C"/>
    <w:rsid w:val="00935F64"/>
    <w:rsid w:val="00950375"/>
    <w:rsid w:val="009935DF"/>
    <w:rsid w:val="009B5EE2"/>
    <w:rsid w:val="009F6026"/>
    <w:rsid w:val="009F6B23"/>
    <w:rsid w:val="00A000AC"/>
    <w:rsid w:val="00A00717"/>
    <w:rsid w:val="00A024CC"/>
    <w:rsid w:val="00A10EFF"/>
    <w:rsid w:val="00A806B7"/>
    <w:rsid w:val="00A9259C"/>
    <w:rsid w:val="00A973B1"/>
    <w:rsid w:val="00A979F2"/>
    <w:rsid w:val="00AC6374"/>
    <w:rsid w:val="00AE7376"/>
    <w:rsid w:val="00AF7AAB"/>
    <w:rsid w:val="00B14735"/>
    <w:rsid w:val="00B23319"/>
    <w:rsid w:val="00B31075"/>
    <w:rsid w:val="00B46AF0"/>
    <w:rsid w:val="00B515C5"/>
    <w:rsid w:val="00B65597"/>
    <w:rsid w:val="00B67F87"/>
    <w:rsid w:val="00B90E79"/>
    <w:rsid w:val="00BA05A1"/>
    <w:rsid w:val="00BB005C"/>
    <w:rsid w:val="00BE0CA3"/>
    <w:rsid w:val="00C33CAC"/>
    <w:rsid w:val="00C358F6"/>
    <w:rsid w:val="00C67B48"/>
    <w:rsid w:val="00C70796"/>
    <w:rsid w:val="00C72C22"/>
    <w:rsid w:val="00CA0AD9"/>
    <w:rsid w:val="00CB07AF"/>
    <w:rsid w:val="00CB3AF0"/>
    <w:rsid w:val="00CC3642"/>
    <w:rsid w:val="00D15B68"/>
    <w:rsid w:val="00D47866"/>
    <w:rsid w:val="00D73791"/>
    <w:rsid w:val="00D74478"/>
    <w:rsid w:val="00D80561"/>
    <w:rsid w:val="00DB6B40"/>
    <w:rsid w:val="00DE2F8E"/>
    <w:rsid w:val="00E154F1"/>
    <w:rsid w:val="00E35DB9"/>
    <w:rsid w:val="00E736C0"/>
    <w:rsid w:val="00E75C95"/>
    <w:rsid w:val="00EA207F"/>
    <w:rsid w:val="00EB68B3"/>
    <w:rsid w:val="00ED3B42"/>
    <w:rsid w:val="00F048D0"/>
    <w:rsid w:val="00F04D81"/>
    <w:rsid w:val="00F13331"/>
    <w:rsid w:val="00F3353E"/>
    <w:rsid w:val="00F55821"/>
    <w:rsid w:val="00F67390"/>
    <w:rsid w:val="00F859C1"/>
    <w:rsid w:val="00FA6D30"/>
    <w:rsid w:val="00FB5B1B"/>
    <w:rsid w:val="00FC7473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B620"/>
  <w15:docId w15:val="{EDE538C5-8700-4DAD-8B6A-1B72B27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3642"/>
    <w:rPr>
      <w:b/>
      <w:b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CC3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3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2A6EAC"/>
  </w:style>
  <w:style w:type="paragraph" w:styleId="Header">
    <w:name w:val="header"/>
    <w:basedOn w:val="Normal"/>
    <w:link w:val="HeaderChar"/>
    <w:uiPriority w:val="99"/>
    <w:unhideWhenUsed/>
    <w:rsid w:val="007121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11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C70796"/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C70796"/>
    <w:pPr>
      <w:suppressAutoHyphens/>
      <w:spacing w:after="120" w:line="256" w:lineRule="auto"/>
      <w:ind w:left="36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au">
    <w:name w:val="aau"/>
    <w:basedOn w:val="DefaultParagraphFont"/>
    <w:rsid w:val="00C7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keywords>https:/mul2-mineconomy.gov.am/tasks/152111/oneclick/Ampopatert.docx?token=e6b155be147d8dea8deeab9cb4ae859c</cp:keywords>
  <cp:lastModifiedBy>Azgush A. Elazyan</cp:lastModifiedBy>
  <cp:revision>5</cp:revision>
  <cp:lastPrinted>2023-06-01T08:22:00Z</cp:lastPrinted>
  <dcterms:created xsi:type="dcterms:W3CDTF">2023-06-01T10:59:00Z</dcterms:created>
  <dcterms:modified xsi:type="dcterms:W3CDTF">2023-06-02T12:56:00Z</dcterms:modified>
</cp:coreProperties>
</file>