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3EFE" w14:textId="77777777" w:rsidR="00584019" w:rsidRPr="00550963" w:rsidRDefault="00584019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68EE3E35" w14:textId="2596B6E0" w:rsidR="00584019" w:rsidRPr="00550963" w:rsidRDefault="00584019" w:rsidP="00695042">
      <w:pPr>
        <w:spacing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«ՀԱՅԱՍՏԱՆԻ ՀԱՆՐԱՊԵՏՈՒԹՅԱՆ ՀԱՐԿԱՅԻՆ ՕՐԵՆՍԳՐՔՈՒՄ </w:t>
      </w:r>
      <w:r w:rsidR="00CC26E3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ՓՈՓՈԽՈՒԹՅՈՒՆ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ԿԱՏԱՐԵԼՈՒ ՄԱՍԻՆ» ՀԱՅԱՍՏԱՆԻ ՀԱՆՐԱՊԵՏՈՒԹՅԱՆ ՕՐԵՆՔԻ ՆԱԽԱԳԾԻ ԸՆԴՈՒՆՄԱՆ</w:t>
      </w:r>
    </w:p>
    <w:p w14:paraId="16D57057" w14:textId="275CDF6C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1. Ընթացիկ իրավիճակը </w:t>
      </w:r>
      <w:r w:rsidR="000E42E2"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իրավական ակտի ընդունման անհրաժեշտությունը</w:t>
      </w:r>
    </w:p>
    <w:p w14:paraId="44FFE658" w14:textId="210D9087" w:rsidR="007334F2" w:rsidRPr="00550963" w:rsidRDefault="00CC26E3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bookmarkStart w:id="0" w:name="_Hlk130473251"/>
      <w:r w:rsidRPr="00550963">
        <w:rPr>
          <w:rFonts w:ascii="GHEA Grapalat" w:hAnsi="GHEA Grapalat"/>
          <w:sz w:val="24"/>
          <w:szCs w:val="24"/>
          <w:lang w:val="hy-AM"/>
        </w:rPr>
        <w:t xml:space="preserve">Համաձայն Հայաստանի Հանրապետության 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>հ</w:t>
      </w:r>
      <w:r w:rsidRPr="00550963">
        <w:rPr>
          <w:rFonts w:ascii="GHEA Grapalat" w:hAnsi="GHEA Grapalat"/>
          <w:sz w:val="24"/>
          <w:szCs w:val="24"/>
          <w:lang w:val="hy-AM"/>
        </w:rPr>
        <w:t>արկային օրենսգրքի 64-րդ հոդվածի 2-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>ր</w:t>
      </w:r>
      <w:r w:rsidRPr="00550963">
        <w:rPr>
          <w:rFonts w:ascii="GHEA Grapalat" w:hAnsi="GHEA Grapalat"/>
          <w:sz w:val="24"/>
          <w:szCs w:val="24"/>
          <w:lang w:val="hy-AM"/>
        </w:rPr>
        <w:t>դ մասի 57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550963">
        <w:rPr>
          <w:rFonts w:ascii="GHEA Grapalat" w:hAnsi="GHEA Grapalat"/>
          <w:sz w:val="24"/>
          <w:szCs w:val="24"/>
          <w:lang w:val="hy-AM"/>
        </w:rPr>
        <w:t>կետ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>ի՝</w:t>
      </w:r>
      <w:r w:rsidR="003A5F75" w:rsidRPr="00550963">
        <w:rPr>
          <w:rFonts w:ascii="GHEA Grapalat" w:hAnsi="GHEA Grapalat"/>
          <w:sz w:val="24"/>
          <w:szCs w:val="24"/>
          <w:lang w:val="hy-AM"/>
        </w:rPr>
        <w:t xml:space="preserve"> (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>այսուհետ՝ Օրենսգիրք</w:t>
      </w:r>
      <w:r w:rsidR="003A5F75" w:rsidRPr="00550963">
        <w:rPr>
          <w:rFonts w:ascii="GHEA Grapalat" w:hAnsi="GHEA Grapalat"/>
          <w:sz w:val="24"/>
          <w:szCs w:val="24"/>
          <w:lang w:val="hy-AM"/>
        </w:rPr>
        <w:t>)</w:t>
      </w:r>
      <w:r w:rsidRPr="00550963">
        <w:rPr>
          <w:rFonts w:ascii="GHEA Grapalat" w:hAnsi="GHEA Grapalat"/>
          <w:sz w:val="24"/>
          <w:szCs w:val="24"/>
          <w:lang w:val="hy-AM"/>
        </w:rPr>
        <w:t xml:space="preserve">  մին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>չ</w:t>
      </w:r>
      <w:r w:rsidRPr="0055096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24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թվականի հուն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վարի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ը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ավելացված արժեքի հարկից ազատվում են </w:t>
      </w:r>
      <w:r w:rsidR="007334F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ԵԱՏՄ ԱՏԳ ԱԱ </w:t>
      </w:r>
      <w:r w:rsidR="00C670F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8702 40 000, 8703 80 000 </w:t>
      </w:r>
      <w:r w:rsidR="000E42E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և </w:t>
      </w:r>
      <w:r w:rsidR="00C670F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8711 60 </w:t>
      </w:r>
      <w:r w:rsidR="007334F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ծածկագրերին 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դասվող</w:t>
      </w:r>
      <w:r w:rsidR="00EE47E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235B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տրանսպորտային միջոցների ներմուծումը </w:t>
      </w:r>
      <w:r w:rsidR="000E42E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6235B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(կամ) օտարումը (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էլեկտրական շարժիչով</w:t>
      </w:r>
      <w:r w:rsidR="006235B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E47E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մեծ, միջին </w:t>
      </w:r>
      <w:r w:rsidR="000E42E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EE47E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փոքր ավտոբուսներ, մարդատար տրանսպորտային միջոցներ, մոտոցիկլ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ետ</w:t>
      </w:r>
      <w:r w:rsidR="00EE47E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ներ </w:t>
      </w:r>
      <w:r w:rsidR="000E42E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EE47E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մոպեդներ)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: </w:t>
      </w:r>
    </w:p>
    <w:p w14:paraId="59CA6D1F" w14:textId="173D09A2" w:rsidR="00584019" w:rsidRPr="0055096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Վերոնշյալ իրավական կարգավոր</w:t>
      </w:r>
      <w:r w:rsidR="00626871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ման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արդյունքում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հանրապետությունում ստեղծվել է </w:t>
      </w:r>
      <w:r w:rsidR="006235B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առավել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բարենպաստ միջավայր 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նշյալ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էլեկտրական շարժիչով աշխատող տրանսպորտային միջոցների </w:t>
      </w:r>
      <w:r w:rsidR="003A5F7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ներկր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ումը խթանելու համար:</w:t>
      </w:r>
    </w:p>
    <w:p w14:paraId="3F6F2417" w14:textId="6FDDDF16" w:rsidR="00C670F3" w:rsidRPr="00550963" w:rsidRDefault="00C670F3" w:rsidP="00695042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Վիճակագրա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տվյալների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համաձայն՝ 2022 թվականին ԵԱՏՄ ԱՏԳ ԱԱ 8703 80 000 </w:t>
      </w:r>
      <w:r w:rsidR="00F3314C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ծածկագրով դասավ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ող՝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մարդատար ավտոտրանսպորտային միջոցների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Հայաստանի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Հանրապետություն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ներմուծման ծավալը կազմել է 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3</w:t>
      </w:r>
      <w:r w:rsidR="006A7DD7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485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միավոր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ինչը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2021 թվականի համեմատ աճ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ել է </w:t>
      </w:r>
      <w:r w:rsidR="006A7DD7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1</w:t>
      </w:r>
      <w:r w:rsidR="008F2B8B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,</w:t>
      </w:r>
      <w:r w:rsidR="006A7DD7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8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անգամ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իսկ 2020 թվականի 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համեմատ՝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ավելի քան </w:t>
      </w:r>
      <w:r w:rsidR="006A7DD7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12</w:t>
      </w:r>
      <w:r w:rsidR="000A7B60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,</w:t>
      </w:r>
      <w:r w:rsidR="006A7DD7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1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անգամ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։ 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ԵԱՏՄ ԱՏԳ ԱԱ </w:t>
      </w:r>
      <w:r w:rsidR="00DE563C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8711 60 ծածկագր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ին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դասվող </w:t>
      </w:r>
      <w:r w:rsidR="00DE563C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մոտոցիկլ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ետ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ների և մոպեդների ներմուծման ծավալների </w:t>
      </w:r>
      <w:r w:rsidR="00DE563C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աճը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A5F7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2022 թվականին 2021 թվականի համեմատ աճել է 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3,8 անգամ</w:t>
      </w:r>
      <w:r w:rsidR="003A5F7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իսկ 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2020 թվականի 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նկատմամբ</w:t>
      </w:r>
      <w:r w:rsidR="003A5F7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1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</w:t>
      </w:r>
      <w:r w:rsidR="00DE563C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անգամ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։ </w:t>
      </w:r>
      <w:r w:rsidR="00AB58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Նշենք, որ 2021 և 2022 թվականներին 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ԵԱՏՄ ԱՏԳ ԱԱ </w:t>
      </w:r>
      <w:r w:rsidR="005F721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8702 40 000 ծածկագ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րին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դասվող՝ էլեկտրական շարժիչով մեծ, միջին 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փոքր ավտոբուսներ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</w:t>
      </w:r>
      <w:r w:rsidR="00EA793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ներմուծում չի իրականացվել</w:t>
      </w:r>
      <w:r w:rsidR="00DD2D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։</w:t>
      </w:r>
    </w:p>
    <w:p w14:paraId="7BFB76C0" w14:textId="735603ED" w:rsidR="00626871" w:rsidRPr="00550963" w:rsidRDefault="00584019" w:rsidP="00626871">
      <w:pPr>
        <w:numPr>
          <w:ilvl w:val="0"/>
          <w:numId w:val="2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>20</w:t>
      </w:r>
      <w:r w:rsidR="003A5F7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21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-202</w:t>
      </w:r>
      <w:r w:rsidR="003A5F7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</w:t>
      </w:r>
      <w:r w:rsidR="00E40637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թ</w:t>
      </w:r>
      <w:r w:rsidR="003A5F7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վականների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A5F7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</w:t>
      </w:r>
      <w:r w:rsidR="00A677A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նթացքում տեղադրվ</w:t>
      </w:r>
      <w:r w:rsidR="00E40637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ել</w:t>
      </w:r>
      <w:r w:rsidR="00A677A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և</w:t>
      </w:r>
      <w:r w:rsidR="00E40637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ներկայումս հանրապետության տարածքում </w:t>
      </w:r>
      <w:r w:rsidR="00A677A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կիրառվում են 100 լիցքավորման կայաններ, որ</w:t>
      </w:r>
      <w:r w:rsidR="003A5F7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ոն</w:t>
      </w:r>
      <w:r w:rsidR="0032646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ց միջոցով </w:t>
      </w:r>
      <w:r w:rsidR="00A677A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հնարավոր</w:t>
      </w:r>
      <w:r w:rsidR="0032646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է </w:t>
      </w:r>
      <w:r w:rsidR="00A677A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2646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լիցքավորել </w:t>
      </w:r>
      <w:r w:rsidR="003A5F7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միաժամանակ</w:t>
      </w:r>
      <w:r w:rsidR="00A677A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150 էլեկտրական շարժիչով տրանսպորտային միջոց։ </w:t>
      </w:r>
      <w:r w:rsidR="00AB58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32646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շե</w:t>
      </w:r>
      <w:r w:rsidR="00AB58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նք</w:t>
      </w:r>
      <w:r w:rsidR="0032646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 որ ՀՀ տարածքում գործող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լիցքավորման կայանների </w:t>
      </w:r>
      <w:r w:rsidR="0032646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տեղակայման վերաբերյալ տեղեկատվությանը կարող եք ծանոթանալ plugshare.com  կայքում հասանելի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քարտեզ</w:t>
      </w:r>
      <w:r w:rsidR="0032646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 միջոցով։ </w:t>
      </w:r>
    </w:p>
    <w:p w14:paraId="0DA3DC8C" w14:textId="1E784F0C" w:rsidR="007E6E53" w:rsidRDefault="001E2F89" w:rsidP="007E6E5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Հարկ է նշել նաև, որ </w:t>
      </w:r>
      <w:r w:rsidR="00626871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2022 թվականի մարտի 17-ի Եվրասիական տնտեսական հանձնաժովի Խորհրդի N 39 որոշմ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ամբ</w:t>
      </w:r>
      <w:r w:rsidR="00626871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այաստանի Հանրապետությանը տրամադրվել է սակագնային արտոն</w:t>
      </w:r>
      <w:r w:rsidR="00AB5855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ու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թյուն՝ առանց մաքսատուրքի վճա</w:t>
      </w:r>
      <w:r w:rsidR="00AB5855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ր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ման </w:t>
      </w:r>
      <w:r w:rsidR="00626871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էլեկտրական շարժիչով աշխատող M1 և M1G (մարդատար)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տրանսպորտային միջոցների (ԵԱՏՄ ԱՏԳ ԱԱ </w:t>
      </w:r>
      <w:bookmarkStart w:id="1" w:name="_Hlk130475476"/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8703 80 000 2</w:t>
      </w:r>
      <w:bookmarkEnd w:id="1"/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ծածկագրին դասվող)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ներմուծման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համար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համապատասխանաբար՝ 2022 թվականին՝ 7,0 հազ</w:t>
      </w:r>
      <w:r w:rsidRPr="00550963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  <w14:ligatures w14:val="none"/>
        </w:rPr>
        <w:t>․</w:t>
      </w:r>
      <w:r w:rsidRPr="00550963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հտ</w:t>
      </w:r>
      <w:r w:rsidRPr="00550963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  <w14:ligatures w14:val="none"/>
        </w:rPr>
        <w:t>․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և 2023 թվականին՝ 8,0 հազ</w:t>
      </w:r>
      <w:r w:rsidRPr="00550963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  <w14:ligatures w14:val="none"/>
        </w:rPr>
        <w:t>․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հտ</w:t>
      </w:r>
      <w:r w:rsidRPr="00550963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  <w14:ligatures w14:val="none"/>
        </w:rPr>
        <w:t>․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։  </w:t>
      </w:r>
    </w:p>
    <w:p w14:paraId="0711CB08" w14:textId="0BDD569B" w:rsidR="001F4DA2" w:rsidRPr="00550963" w:rsidRDefault="00AB5855" w:rsidP="007E6E5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Միաժամանակ,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</w:t>
      </w:r>
      <w:r w:rsidR="003300C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ան քաղաքի ավագանու 2020 թվականի դեկտեմբերի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22-ի N 307-Ն որոշմա</w:t>
      </w:r>
      <w:r w:rsidR="003300C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 համաձայն՝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F4DA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որպես վառելիք բացառապես էլեկտրաէներգիա օգտագործող և բացառապես էլեկտրական շարժիչով աշխատող ավտոտրանսպորտային միջոցի (էլեկտրամոբիլ) սեփականատեր կամ այլ օրինական տիրապետող հանդիսացող և այն ղեկավարող անձանց համար 2021 թվականի համար սահմանված տեղական վճարի դրույքաչափերի նկատմամբ կիրառվում է արտոնություն` ազատելով հաշվարկված ավտոկայանատեղի տեղական վճարի վճարումից. </w:t>
      </w:r>
    </w:p>
    <w:p w14:paraId="2C7EA075" w14:textId="02FAE592" w:rsidR="006D7243" w:rsidRPr="00550963" w:rsidRDefault="001F4DA2" w:rsidP="00695042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ab/>
      </w:r>
      <w:r w:rsidR="006D724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Էլեկտրական շարժիչով աշխատող տրանսպորտային միջոցների ձեռքբերումն ու շահագործման խթանումը համահունչ է կանաչ տնտեսության նպատակների հետ։ Նկատվում է քաղաքներում ածխաթթու գազի 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արտանետումների </w:t>
      </w:r>
      <w:r w:rsidR="006D724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զգալի կրճատում և քաղաքային աղտոտվածության մակարդակի նվազում։</w:t>
      </w:r>
    </w:p>
    <w:p w14:paraId="2258A6E2" w14:textId="7EB7F10B" w:rsidR="006D7243" w:rsidRPr="00550963" w:rsidRDefault="006D7243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Վերոնշյալ դրական արդյունքներ</w:t>
      </w:r>
      <w:r w:rsidR="003B4E5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ամրապնդելու </w:t>
      </w:r>
      <w:r w:rsidR="001F4DA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էլեկտրական տրանսպոորտային միջոցների օգտագործման հետագա զարգացում</w:t>
      </w:r>
      <w:r w:rsidR="001F4DA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ապահովելու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նպատակով </w:t>
      </w:r>
      <w:r w:rsidR="00AB58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առաջարկվում է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երկարաձգել Օրեն</w:t>
      </w:r>
      <w:r w:rsidR="001F4DA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սգրքի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AB58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համապատասխան կետով տրված արտոնության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կիրառության ժամկետը </w:t>
      </w:r>
      <w:r w:rsidR="001F4DA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 երկու տարով:</w:t>
      </w:r>
    </w:p>
    <w:bookmarkEnd w:id="0"/>
    <w:p w14:paraId="03F2F5CA" w14:textId="4B476DC0" w:rsidR="0010679E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0B801F84" w14:textId="12EF5DED" w:rsidR="00584019" w:rsidRPr="00550963" w:rsidRDefault="003B4E5B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ախագծով առաջարկվում է Հայաuտանի Հանրապետության հարկային օրենսգրքի (ՀO-165) 64-րդ հոդվածով սահմանված ավելացված արժեքի հարկի արտոնությունը երկարաձգել </w:t>
      </w:r>
      <w:r w:rsidR="00B241B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 եր</w:t>
      </w:r>
      <w:r w:rsidR="007B0C26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կու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տարով՝ մինչ</w:t>
      </w:r>
      <w:r w:rsidR="00B241B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202</w:t>
      </w:r>
      <w:r w:rsidR="007B0C26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6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թվականի հունվարի 1-ը:</w:t>
      </w:r>
    </w:p>
    <w:p w14:paraId="4D45BB22" w14:textId="640E2A5E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0728D954" w14:textId="3DA90449" w:rsidR="00584019" w:rsidRPr="0055096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Նախագիծը մշակվել է </w:t>
      </w:r>
      <w:r w:rsidR="008F1E9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Էկոնոմիկայի նախարարության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կողմից:</w:t>
      </w:r>
    </w:p>
    <w:p w14:paraId="4526140D" w14:textId="6E2170F2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60DC1AD3" w14:textId="1E572C8B" w:rsidR="00584019" w:rsidRPr="00550963" w:rsidRDefault="003C09BF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ընդունմամբ նպաստավոր պայմաններ կ</w:t>
      </w:r>
      <w:r w:rsidR="001E3DAE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տեղծվեն երկրում էլեկտրական շարժիչով տրանսպորտային միջոցների ձեռքբերումն ու </w:t>
      </w:r>
      <w:r w:rsidR="006D724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շահագործումը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խթանելու, արդեն իսկ արձանագրված դրական արդյունքների շարունակականության ապահովման, մթնոլորտային օդի աղտոտվածության նվազեցման համար: Հարկ է 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նաև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նշել, որ էլեկտրական շարժիչով տրանսպորտային միջոցների քանակի ավելացումն ուղղակիորեն կխթանի հանրապետությունում գիշերային ժամերին էլեկտրաէներգիայի սպառ</w:t>
      </w:r>
      <w:r w:rsidR="00AB58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մանը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քանի որ </w:t>
      </w:r>
      <w:r w:rsidR="006D724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վերջիններիս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լիցքավորումը մեծամասամբ իրականացվում է գիշերային ժամերին: Միաժամանակ էլեկտրական շարժիչով տրանսպորտային միջոցների քանակի զգալի աճը կնպաստի նա</w:t>
      </w:r>
      <w:r w:rsidR="008360E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դրանց շահագործման համար անհրաժեշտ ենթակառուցվածքների (լիցքավորման կայաններ, վերանորոգման կետեր </w:t>
      </w:r>
      <w:r w:rsidR="008360E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այլն) զարգացմանը՝ լրացուցիչ ներդրումների</w:t>
      </w:r>
      <w:r w:rsidR="008360E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(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միջազգային </w:t>
      </w:r>
      <w:r w:rsidR="008360E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մասնավոր հատվածի կողմից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)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8360E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նոր աշխատատեղերի ստեղծման միջոցով:</w:t>
      </w:r>
    </w:p>
    <w:p w14:paraId="45076A26" w14:textId="48800973" w:rsidR="007E6E53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09F688F6" w14:textId="357E3015" w:rsidR="00584019" w:rsidRPr="0055096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Հայաստանի</w:t>
      </w:r>
      <w:r w:rsidR="008F2B8B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Հանրապետության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վերափոխման ռազմավարություն 2050, Կառավարության 2021-2026թթ. ծրագիր, ոլորտային </w:t>
      </w:r>
      <w:r w:rsidR="00933BE8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/կամ այլ ռազմավարություններ</w:t>
      </w:r>
    </w:p>
    <w:p w14:paraId="51F0FA57" w14:textId="790FF647" w:rsidR="00584019" w:rsidRPr="00550963" w:rsidRDefault="00933BE8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ՀՀ կ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առավարության 2021 թվականի օգոստոսի 18-ի N1363-Ն որոշմամբ հաստատված կառավարության ծրագրի 4.10-րդ կետով, որպես շրջակա միջավայրի կառավարման առաջնահերթ ուղղություններ ամրագրված են մթնոլորտային օդի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>պահպանության քաղաքականության մշակումը` ուղղված արտանետումների նվազեցմանն ու սահմանափակմանը, ինչպես նա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կանաչ տնտեսության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կայուն զարգացման երկարաժամկետ նպատակի խթանմանն ուղղված քաղաքականության մշակումն ու իրականացումը:</w:t>
      </w:r>
    </w:p>
    <w:p w14:paraId="1CB849A2" w14:textId="7299D627" w:rsidR="005D1565" w:rsidRPr="0055096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 ընդունումն ուղղակիորեն բխում է Կառավարության կողմից 2021թ. ապրիլի 22-ին ընդունված «Փարիզյան համաձայնագրի ներքո Հայաստանի Հանրապետության 2021-2030 թվականների Ազգային մակարդակով սահմանված գործողությունները հաստատելու մասին» որոշմամբ ամրագրված՝ մինչ</w:t>
      </w:r>
      <w:r w:rsidR="00933BE8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2030թ. ջերմոցային գազերի արտանետումները 1990թ. արտանետումների մակարդակի համեմատ 40 տոկոսով նվազեցնելու մասին ՀՀ պարտավորության իրականացման ապահովման անհրաժեշտությունից, հաշվի առնելով, որ շարժական աղբյուրներից մթնոլորտային օդի աղտոտում</w:t>
      </w:r>
      <w:r w:rsidR="00AB58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ունի կար</w:t>
      </w:r>
      <w:r w:rsidR="00933BE8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 դերակատարում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մասնավորապես արտանետվող ջերմոցային գազերի հանրագումարում:</w:t>
      </w:r>
    </w:p>
    <w:p w14:paraId="42E05D1E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34610E42" w14:textId="77777777" w:rsidR="00D843D3" w:rsidRPr="0055096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0A6CC2F6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61CC58AC" w14:textId="18970479" w:rsidR="008F2B8B" w:rsidRPr="00550963" w:rsidRDefault="00695042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>Հաշվի առնելով այն հանգամանքը, որ նախորդ</w:t>
      </w:r>
      <w:r w:rsidR="008F2B8B" w:rsidRPr="00550963">
        <w:rPr>
          <w:rFonts w:ascii="GHEA Grapalat" w:hAnsi="GHEA Grapalat"/>
          <w:iCs/>
          <w:sz w:val="24"/>
          <w:szCs w:val="24"/>
          <w:lang w:val="hy-AM"/>
        </w:rPr>
        <w:t xml:space="preserve"> 2021-2022 թթ</w:t>
      </w:r>
      <w:r w:rsidR="008F2B8B" w:rsidRPr="00550963">
        <w:rPr>
          <w:rFonts w:ascii="Cambria Math" w:hAnsi="Cambria Math" w:cs="Cambria Math"/>
          <w:iCs/>
          <w:sz w:val="24"/>
          <w:szCs w:val="24"/>
          <w:lang w:val="hy-AM"/>
        </w:rPr>
        <w:t>․</w:t>
      </w:r>
      <w:r w:rsidR="008F2B8B" w:rsidRPr="00550963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550963">
        <w:rPr>
          <w:rFonts w:ascii="GHEA Grapalat" w:hAnsi="GHEA Grapalat"/>
          <w:iCs/>
          <w:sz w:val="24"/>
          <w:szCs w:val="24"/>
          <w:lang w:val="hy-AM"/>
        </w:rPr>
        <w:t>գործ</w:t>
      </w:r>
      <w:r w:rsidR="008F2B8B" w:rsidRPr="00550963">
        <w:rPr>
          <w:rFonts w:ascii="GHEA Grapalat" w:hAnsi="GHEA Grapalat"/>
          <w:iCs/>
          <w:sz w:val="24"/>
          <w:szCs w:val="24"/>
          <w:lang w:val="hy-AM"/>
        </w:rPr>
        <w:t>ող Օրենսգրքի շրջանակներում</w:t>
      </w:r>
      <w:r w:rsidRPr="00550963">
        <w:rPr>
          <w:rFonts w:ascii="GHEA Grapalat" w:hAnsi="GHEA Grapalat"/>
          <w:iCs/>
          <w:sz w:val="24"/>
          <w:szCs w:val="24"/>
          <w:lang w:val="hy-AM"/>
        </w:rPr>
        <w:t xml:space="preserve"> ԱԱՀ-ի</w:t>
      </w:r>
      <w:r w:rsidR="008F2B8B" w:rsidRPr="00550963">
        <w:rPr>
          <w:rFonts w:ascii="GHEA Grapalat" w:hAnsi="GHEA Grapalat"/>
          <w:iCs/>
          <w:sz w:val="24"/>
          <w:szCs w:val="24"/>
          <w:lang w:val="hy-AM"/>
        </w:rPr>
        <w:t xml:space="preserve"> և նշված ապրանքատեսակների ներմուծումից ԱԱՀ չի գանձվել և ՀՀ պետական բյուջե գումար չի մուտքագրվել, ուստի պետական եկամուտներում հնարավոր կորուստներ չեն նախատեսվում։</w:t>
      </w:r>
    </w:p>
    <w:p w14:paraId="68DB0713" w14:textId="7493539F" w:rsidR="00695042" w:rsidRPr="00550963" w:rsidRDefault="00695042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5E6AD0FD" w14:textId="77777777" w:rsidR="00D843D3" w:rsidRPr="00550963" w:rsidRDefault="00D843D3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sectPr w:rsidR="00D843D3" w:rsidRPr="00550963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7C"/>
    <w:multiLevelType w:val="multilevel"/>
    <w:tmpl w:val="27D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B7C47"/>
    <w:multiLevelType w:val="multilevel"/>
    <w:tmpl w:val="21005490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B5BD1"/>
    <w:multiLevelType w:val="multilevel"/>
    <w:tmpl w:val="569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169079">
    <w:abstractNumId w:val="1"/>
  </w:num>
  <w:num w:numId="2" w16cid:durableId="1105996336">
    <w:abstractNumId w:val="2"/>
  </w:num>
  <w:num w:numId="3" w16cid:durableId="208748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19"/>
    <w:rsid w:val="00093E49"/>
    <w:rsid w:val="000A7B60"/>
    <w:rsid w:val="000D1A95"/>
    <w:rsid w:val="000E42E2"/>
    <w:rsid w:val="0010679E"/>
    <w:rsid w:val="001E2F89"/>
    <w:rsid w:val="001E3DAE"/>
    <w:rsid w:val="001F4DA2"/>
    <w:rsid w:val="00265922"/>
    <w:rsid w:val="003018C7"/>
    <w:rsid w:val="0032646B"/>
    <w:rsid w:val="003300C2"/>
    <w:rsid w:val="003963A6"/>
    <w:rsid w:val="003A5F75"/>
    <w:rsid w:val="003B4E5B"/>
    <w:rsid w:val="003C09BF"/>
    <w:rsid w:val="00430192"/>
    <w:rsid w:val="00550963"/>
    <w:rsid w:val="00584019"/>
    <w:rsid w:val="00585B4D"/>
    <w:rsid w:val="005D1565"/>
    <w:rsid w:val="005F721B"/>
    <w:rsid w:val="006235B9"/>
    <w:rsid w:val="00626871"/>
    <w:rsid w:val="00695042"/>
    <w:rsid w:val="006A7DD7"/>
    <w:rsid w:val="006D7243"/>
    <w:rsid w:val="007334F2"/>
    <w:rsid w:val="007B0C26"/>
    <w:rsid w:val="007E6E53"/>
    <w:rsid w:val="008360E5"/>
    <w:rsid w:val="00855E43"/>
    <w:rsid w:val="008A4CFC"/>
    <w:rsid w:val="008A512D"/>
    <w:rsid w:val="008F1E9A"/>
    <w:rsid w:val="008F2B8B"/>
    <w:rsid w:val="00933BE8"/>
    <w:rsid w:val="009F304B"/>
    <w:rsid w:val="00A677AA"/>
    <w:rsid w:val="00AB5855"/>
    <w:rsid w:val="00B20A9E"/>
    <w:rsid w:val="00B241B2"/>
    <w:rsid w:val="00B55BE7"/>
    <w:rsid w:val="00C378BD"/>
    <w:rsid w:val="00C670F3"/>
    <w:rsid w:val="00CC26E3"/>
    <w:rsid w:val="00D14155"/>
    <w:rsid w:val="00D843D3"/>
    <w:rsid w:val="00DD2D72"/>
    <w:rsid w:val="00DE563C"/>
    <w:rsid w:val="00E40637"/>
    <w:rsid w:val="00EA7932"/>
    <w:rsid w:val="00EE47E9"/>
    <w:rsid w:val="00EE7E55"/>
    <w:rsid w:val="00F3314C"/>
    <w:rsid w:val="00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6C19"/>
  <w15:chartTrackingRefBased/>
  <w15:docId w15:val="{E378ECF2-E02F-4B25-8B43-BFB23FE0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4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84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0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8401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84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/>
  <dc:description/>
  <cp:lastModifiedBy>Azgush A. Elazyan</cp:lastModifiedBy>
  <cp:revision>5</cp:revision>
  <dcterms:created xsi:type="dcterms:W3CDTF">2023-04-12T08:38:00Z</dcterms:created>
  <dcterms:modified xsi:type="dcterms:W3CDTF">2023-06-02T09:07:00Z</dcterms:modified>
</cp:coreProperties>
</file>