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142EE2" w:rsidRDefault="004B6F0A" w:rsidP="00142EE2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05F68887" w:rsidR="004B6F0A" w:rsidRDefault="004B6F0A" w:rsidP="00142EE2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«</w:t>
      </w:r>
      <w:r w:rsidR="00B03C89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ԿԱՌԱՎԱՐՈՒԹՅԱՆ 2019 ԹՎԱԿԱՆԻ 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ՕԳՈՍՏՈՍԻ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</w:t>
      </w:r>
      <w:r w:rsidR="0065531F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0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8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-Ի N 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1025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-Ն </w:t>
      </w:r>
      <w:r w:rsidR="00E96BAF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ԵՎ </w:t>
      </w:r>
      <w:r w:rsidR="00E96BAF" w:rsidRPr="00E96BA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="00E96BAF" w:rsidRPr="00E96BA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  <w:r w:rsidR="00E96BAF" w:rsidRPr="00E96BAF">
        <w:rPr>
          <w:rFonts w:ascii="GHEA Grapalat" w:hAnsi="GHEA Grapalat"/>
          <w:b/>
          <w:sz w:val="24"/>
          <w:szCs w:val="24"/>
          <w:lang w:val="hy-AM"/>
        </w:rPr>
        <w:t>2023 ԹՎԱԿԱՆԻ ԱՊՐԻԼԻ 21-Ի N 568-Ն</w:t>
      </w:r>
      <w:r w:rsidR="00E96BAF" w:rsidRPr="00E96BAF">
        <w:rPr>
          <w:rFonts w:ascii="GHEA Grapalat" w:hAnsi="GHEA Grapalat"/>
          <w:sz w:val="24"/>
          <w:szCs w:val="24"/>
          <w:lang w:val="hy-AM"/>
        </w:rPr>
        <w:t xml:space="preserve"> </w:t>
      </w:r>
      <w:r w:rsidR="00E96BAF" w:rsidRPr="00E96BA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ՈՐՈՇՈՒՄՆԵՐՈՒՄ </w:t>
      </w:r>
      <w:r w:rsidR="00830D45" w:rsidRPr="00E96BAF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ՓՈՓՈԽՈՒԹՅՈՒՆՆԵՐ ԵՎ ԼՐԱՑՈՒՄ ԿԱՏԱՐԵԼՈՒ ՄԱՍԻՆ</w:t>
      </w:r>
      <w:r w:rsidRPr="00E96B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E96BA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E96BA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E96B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(ԱՅՍՈՒՀԵՏ` ՆԱԽԱԳԻԾ) ԸՆԴՈՒՆՄԱՆ</w:t>
      </w:r>
    </w:p>
    <w:p w14:paraId="478626B1" w14:textId="77777777" w:rsidR="00006E33" w:rsidRPr="00142EE2" w:rsidRDefault="00006E33" w:rsidP="00142EE2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7A35E331" w14:textId="1E60C1D3" w:rsidR="004B6F0A" w:rsidRPr="00142EE2" w:rsidRDefault="00983456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</w:t>
      </w:r>
      <w:r w:rsidR="00473BDF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33C17273" w14:textId="70850A5A" w:rsidR="00606A3A" w:rsidRDefault="00095F40" w:rsidP="00954E18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954E18" w:rsidRPr="00954E1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ՀՀ կառավարության 2021 թվականի ապրիլի 22-ի N 634-Ն որոշման 2-րդ կետի</w:t>
      </w:r>
      <w:r w:rsidR="00F60EA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համաձայն՝</w:t>
      </w:r>
      <w:r w:rsidR="00E8796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954E18" w:rsidRPr="00954E1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2023 թվականի ապրիլի 23-ից ուժը կորցրած են ճանաչվելու մի շարք տեխնիկական կանոնակարգեր</w:t>
      </w:r>
      <w:r w:rsidR="00954E18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այդ թվում՝ Կառավարության 2005 թվականի դեկտեմբերի 22-ի «Անվտանգության կանոնները գազի տնտեսությունում» տեխնիկական կանոնակարգը հաստատելու մասին» N 2399-Ն</w:t>
      </w:r>
      <w:r w:rsidR="00CA43D0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7F50CE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Կառավարության 2004 թվականի հոկտեմբերի 29-ի «Գազի տնտեսությունում տարրերի տեխնիկական շահագործման կանոններ և աշխատանքի անվտանգության պահանջներ տեխնիկական կանոնակարգը հաստատելու մասին» N 1843-Ն</w:t>
      </w:r>
      <w:r w:rsidR="00CA43D0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CA43D0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Կ</w:t>
      </w:r>
      <w:r w:rsidR="00CA43D0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2007 թվականի դեկտեմբերի 27-ի «Էլեկտրակայանների և ցանցերի շահագործման վերաբերյալ» տեխնիկական կանոնակարգը հաս</w:t>
      </w:r>
      <w:r w:rsidR="004B039A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տատելու մասին» N 1605-Ն, </w:t>
      </w:r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Կ</w:t>
      </w:r>
      <w:r w:rsidR="004B039A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</w:t>
      </w:r>
      <w:r w:rsidR="004450B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յան 2006 թվականի նոյեմբերի 23-ի</w:t>
      </w:r>
      <w:r w:rsidR="004B039A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«</w:t>
      </w:r>
      <w:proofErr w:type="spellStart"/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Էլեկտրակայանքների</w:t>
      </w:r>
      <w:proofErr w:type="spellEnd"/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շահագործման անվտանգության կանոններ» տեխնիկական կանոնակարգը հաս</w:t>
      </w:r>
      <w:r w:rsidR="004450B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տատելու մասին» N 1933-Ն</w:t>
      </w:r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, Կ</w:t>
      </w:r>
      <w:r w:rsidR="004B039A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</w:t>
      </w:r>
      <w:r w:rsidR="004450B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յան 2007 թվականի նոյեմբերի 08-ի</w:t>
      </w:r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«Մայրուղային </w:t>
      </w:r>
      <w:proofErr w:type="spellStart"/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գազատարների</w:t>
      </w:r>
      <w:proofErr w:type="spellEnd"/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տեխնիկական շահագործման կանոններ» տեխնիկական կանոնակարգը հաստատելու մասին» N 1438-Ն, </w:t>
      </w:r>
      <w:r w:rsidR="004B039A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Կառավարության 2009 թվականի հունվարի 15-ի </w:t>
      </w:r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«Անվտանգության պահանջները մայրուղային </w:t>
      </w:r>
      <w:proofErr w:type="spellStart"/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գազատարներում</w:t>
      </w:r>
      <w:proofErr w:type="spellEnd"/>
      <w:r w:rsidR="004B039A" w:rsidRP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» տեխնիկական կանոնակարգը հաստատելու մասին» N 119-Ն,   Կ</w:t>
      </w:r>
      <w:r w:rsidR="004B039A" w:rsidRP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առավարության 2007 թվականի հուլիսի 12-ի </w:t>
      </w:r>
      <w:r w:rsidR="004B039A" w:rsidRPr="004B039A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«Էլեկտրական էներգիայի </w:t>
      </w:r>
      <w:proofErr w:type="spellStart"/>
      <w:r w:rsidR="004B039A" w:rsidRPr="004B039A">
        <w:rPr>
          <w:rFonts w:ascii="GHEA Grapalat" w:eastAsia="Times New Roman" w:hAnsi="GHEA Grapalat"/>
          <w:sz w:val="24"/>
          <w:szCs w:val="24"/>
          <w:lang w:val="hy-AM" w:eastAsia="en-GB"/>
        </w:rPr>
        <w:t>հաղորդաբաշխման</w:t>
      </w:r>
      <w:proofErr w:type="spellEnd"/>
      <w:r w:rsidR="004B039A" w:rsidRPr="004B039A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վերաբերյալ» տեխնիկական կանոնակարգը հաստատելու մասին» N 961-Ն</w:t>
      </w:r>
      <w:r w:rsidR="004B039A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, </w:t>
      </w:r>
      <w:r w:rsidR="004B039A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Կ</w:t>
      </w:r>
      <w:r w:rsid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առավարության </w:t>
      </w:r>
      <w:r w:rsidR="004B039A" w:rsidRPr="00CA43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200</w:t>
      </w:r>
      <w:r w:rsid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8</w:t>
      </w:r>
      <w:r w:rsidR="004B039A" w:rsidRPr="00CA43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</w:t>
      </w:r>
      <w:r w:rsid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վականի սեպտեմբերի 04-ի </w:t>
      </w:r>
      <w:r w:rsidR="004B039A" w:rsidRPr="004B039A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«Էլեկտրական բաշխիչ սարքերին և ենթակայանների </w:t>
      </w:r>
      <w:proofErr w:type="spellStart"/>
      <w:r w:rsidR="004B039A" w:rsidRPr="004B039A">
        <w:rPr>
          <w:rFonts w:ascii="GHEA Grapalat" w:eastAsia="Times New Roman" w:hAnsi="GHEA Grapalat"/>
          <w:sz w:val="24"/>
          <w:szCs w:val="24"/>
          <w:lang w:val="hy-AM" w:eastAsia="en-GB"/>
        </w:rPr>
        <w:t>սարքվածքին</w:t>
      </w:r>
      <w:proofErr w:type="spellEnd"/>
      <w:r w:rsidR="004B039A" w:rsidRPr="004B039A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ներկայացվող պահանջներ» տեխնիկական կանոնակարգը հաստատելու մասին» </w:t>
      </w:r>
      <w:r w:rsidR="004B039A" w:rsidRPr="004B039A">
        <w:rPr>
          <w:rFonts w:ascii="GHEA Grapalat" w:eastAsia="Times New Roman" w:hAnsi="GHEA Grapalat"/>
          <w:sz w:val="24"/>
          <w:szCs w:val="24"/>
          <w:lang w:val="hy-AM" w:eastAsia="en-GB"/>
        </w:rPr>
        <w:lastRenderedPageBreak/>
        <w:t>N 1033-Ն</w:t>
      </w:r>
      <w:r w:rsidR="004B039A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և </w:t>
      </w:r>
      <w:r w:rsid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Կառավարության 2006 թվականի նոյեմբերի</w:t>
      </w:r>
      <w:r w:rsidR="004B039A" w:rsidRP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2</w:t>
      </w:r>
      <w:r w:rsidR="004B03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3-ի</w:t>
      </w:r>
      <w:r w:rsidR="004B039A" w:rsidRPr="004B039A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«Սպառողների </w:t>
      </w:r>
      <w:proofErr w:type="spellStart"/>
      <w:r w:rsidR="004B039A" w:rsidRPr="004B039A">
        <w:rPr>
          <w:rFonts w:ascii="GHEA Grapalat" w:eastAsia="Times New Roman" w:hAnsi="GHEA Grapalat"/>
          <w:sz w:val="24"/>
          <w:szCs w:val="24"/>
          <w:lang w:val="hy-AM" w:eastAsia="en-GB"/>
        </w:rPr>
        <w:t>էլեկտրատեղակայանքների</w:t>
      </w:r>
      <w:proofErr w:type="spellEnd"/>
      <w:r w:rsidR="004B039A" w:rsidRPr="004B039A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տեխնիկական շահագործման կանոններ» տեխնիկական կանոնակարգը հաստատելու մասին» N 1939-Ն </w:t>
      </w:r>
      <w:r w:rsidR="004B039A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որոշումներով </w:t>
      </w:r>
      <w:r w:rsid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սահանված կանոնակարգերը:</w:t>
      </w:r>
    </w:p>
    <w:p w14:paraId="25686887" w14:textId="3AEB00DA" w:rsidR="007F50CE" w:rsidRDefault="004B039A" w:rsidP="007F50CE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        Վերոհիշյալ</w:t>
      </w:r>
      <w:r w:rsid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կանոնակրագերով սահմնված պահանջների նկատմ</w:t>
      </w:r>
      <w:r w:rsidR="00BD7CD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ամբ</w:t>
      </w:r>
      <w:r w:rsid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վերահսկողությունը իրականացնում է էներգետիկայի բնա</w:t>
      </w:r>
      <w:r w:rsidR="00BD7CD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</w:t>
      </w:r>
      <w:r w:rsid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ավառում վերահսկողություն իրականացնող տեսչական մարմինը, այն է՝ </w:t>
      </w:r>
      <w:r w:rsidR="007F50CE" w:rsidRP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Քաղաքաշինության, տեխնիկական և հրդեհային անվտանգության տեսչական մարմին</w:t>
      </w:r>
      <w:r w:rsid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ը </w:t>
      </w:r>
      <w:r w:rsidR="007F50CE" w:rsidRP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այսուհետ՝ Տեսչական մարմինը</w:t>
      </w:r>
      <w:r w:rsidR="007F50CE" w:rsidRP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)</w:t>
      </w:r>
      <w:r w:rsid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: Տեսչական մարմինը </w:t>
      </w:r>
      <w:r w:rsidR="00BD7CD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վերոհիշյալ տեխնիկական կանոնակարգերով սահմանված պահանջների մասերով </w:t>
      </w:r>
      <w:r w:rsid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ստուգումները </w:t>
      </w:r>
      <w:r w:rsidR="00BD7CD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մասնավորապես </w:t>
      </w:r>
      <w:r w:rsid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իրականացնում է Կառավարության </w:t>
      </w:r>
      <w:r w:rsidR="007F50CE" w:rsidRPr="00E9367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2019 թվականի օգո</w:t>
      </w:r>
      <w:r w:rsidR="004450B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</w:t>
      </w:r>
      <w:r w:rsidR="007F50CE" w:rsidRPr="00E9367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տոսի 8-ի  N 1025-Ն որոշուման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N 2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-րդ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, N 3-րդ, </w:t>
      </w:r>
      <w:r w:rsidR="00FD153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4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-րդ</w:t>
      </w:r>
      <w:r w:rsidR="00FD153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և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FD153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6-րդ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հավելվածով սահմանված ստուգաթերթ</w:t>
      </w:r>
      <w:r w:rsidR="00FD153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եր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ի հիման վրա, </w:t>
      </w:r>
      <w:r w:rsidR="00BD7CD7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այդ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կանոնակարգերի ուժը կորցրած ճանաչելու արդյունքում ուժը կորցրած կճանաչվեն նաև 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նշված ստուգաթերթ</w:t>
      </w:r>
      <w:r w:rsidR="00FD153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եր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ի հարցաշարում նորմատիվ իրավական ակտերին սահմանված 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հղումները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, ինչի արդյունքում անհնարին կդառնան  իրականացնել 2023 թվականի 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Տեսչական մարմնի ստուգումների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տարեկան ծրագրով նախատեսված էներգետիկայի ոլորտի 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պալանային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ստուգումներ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։ </w:t>
      </w:r>
    </w:p>
    <w:p w14:paraId="514DB956" w14:textId="24830DFC" w:rsidR="007F50CE" w:rsidRDefault="0065531F" w:rsidP="0065531F">
      <w:pPr>
        <w:tabs>
          <w:tab w:val="left" w:pos="0"/>
        </w:tabs>
        <w:spacing w:after="0" w:line="360" w:lineRule="auto"/>
        <w:ind w:left="-72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         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Նշվածի մասով հարկ է նշել, որ 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ՀՀ կառավարության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կողմից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13.04.2023 թ. 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հաստավել է 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</w:t>
      </w:r>
      <w:r w:rsidR="00F65215" w:rsidRPr="00F6521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Գազաբաշխման համակարգի անվտանգության և շահագործման կանոնները հաստատելու մասին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N </w:t>
      </w:r>
      <w:r w:rsidR="0063182D" w:rsidRPr="0063182D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539</w:t>
      </w:r>
      <w:r w:rsidR="007F50CE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-Ն որոշում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ը</w:t>
      </w:r>
      <w:r w:rsidR="00FD153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 և 2</w:t>
      </w:r>
      <w:r w:rsidR="00FD1534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1.04.2023 թ</w:t>
      </w:r>
      <w:r w:rsidR="00FD153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հաստավել են </w:t>
      </w:r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«Էլեկտրակայանների, ցանցերի և սպառողների </w:t>
      </w:r>
      <w:proofErr w:type="spellStart"/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էլեկտրատեղակայանքների</w:t>
      </w:r>
      <w:proofErr w:type="spellEnd"/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տեխնիկական շահագործման կանոնները հաստատելու մասին» </w:t>
      </w:r>
      <w:r w:rsid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N 568-Ն, </w:t>
      </w:r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«</w:t>
      </w:r>
      <w:proofErr w:type="spellStart"/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Էլեկտրատեղակայանքների</w:t>
      </w:r>
      <w:proofErr w:type="spellEnd"/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շահագործման անվտանգության կանոնները հա</w:t>
      </w:r>
      <w:r w:rsid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ստատելու մասին» N 583-Ն, </w:t>
      </w:r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«</w:t>
      </w:r>
      <w:proofErr w:type="spellStart"/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էլեկտրատեղակայանքների</w:t>
      </w:r>
      <w:proofErr w:type="spellEnd"/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սարքվածքի</w:t>
      </w:r>
      <w:proofErr w:type="spellEnd"/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կանոնները հաստատելու մասին» N </w:t>
      </w:r>
      <w:r w:rsid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592</w:t>
      </w:r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-Ն</w:t>
      </w:r>
      <w:r w:rsid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և </w:t>
      </w:r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«</w:t>
      </w:r>
      <w:proofErr w:type="spellStart"/>
      <w:r w:rsid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Գ</w:t>
      </w:r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ազափոխադր</w:t>
      </w:r>
      <w:r w:rsid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ման</w:t>
      </w:r>
      <w:proofErr w:type="spellEnd"/>
      <w:r w:rsid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համակարգում անվտանգության և </w:t>
      </w:r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շահագործման կանոնները հաստատելու մասին» N </w:t>
      </w:r>
      <w:r w:rsid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584</w:t>
      </w:r>
      <w:r w:rsidR="00FD1534" w:rsidRP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-Ն</w:t>
      </w:r>
      <w:r w:rsidR="00FD1534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որոշումները, որոնցով 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փոխարինվել են ուժը կորցրած վերոհիշյալ </w:t>
      </w:r>
      <w:r w:rsidR="00BD7CD7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կանոնակար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գերը:</w:t>
      </w:r>
    </w:p>
    <w:p w14:paraId="5E1A1572" w14:textId="34741C9B" w:rsidR="007F50CE" w:rsidRDefault="0065531F" w:rsidP="007F50CE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        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Ներկայումս անհրաժետշություն է առաջացել </w:t>
      </w:r>
      <w:r w:rsidR="00454F7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Կառավարության </w:t>
      </w:r>
      <w:r w:rsidR="007F50CE" w:rsidRPr="00E9367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2019 թվականի օգո</w:t>
      </w:r>
      <w:r w:rsidR="00E96BA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</w:t>
      </w:r>
      <w:r w:rsidR="007F50CE" w:rsidRPr="00E9367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տոսի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0</w:t>
      </w:r>
      <w:r w:rsidR="007F50CE" w:rsidRPr="00E9367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8-ի  N 1025-Ն որոշման </w:t>
      </w:r>
      <w:r w:rsidR="00FD153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2-րդ, N 3-րդ, N 4-րդ և N 6-րդ 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հավելված</w:t>
      </w:r>
      <w:r w:rsidR="00FD153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ներ</w:t>
      </w:r>
      <w:r w:rsid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ով սահմանված ստուգաթերթի հարցերը և համապատասխան հղումները համապատասխանեցնել Կառավարության կողմից ընդունված նոր որոշման պահանջներին:</w:t>
      </w:r>
    </w:p>
    <w:p w14:paraId="657A2C37" w14:textId="7D1D565D" w:rsidR="00E96BAF" w:rsidRPr="00F536B7" w:rsidRDefault="00F536B7" w:rsidP="00F536B7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lastRenderedPageBreak/>
        <w:tab/>
        <w:t xml:space="preserve">Հաշվի առնելով Կադաստրի կոմիտեի առաջարկությունը </w:t>
      </w:r>
      <w:r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</w:t>
      </w:r>
      <w:r w:rsidRPr="00F536B7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Հայաստանի</w:t>
      </w:r>
      <w:r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</w:t>
      </w:r>
      <w:r w:rsidRPr="00F536B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Հանրապետության կառավարության</w:t>
      </w:r>
      <w:r w:rsidRPr="00F536B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  <w:r w:rsidRPr="00F536B7">
        <w:rPr>
          <w:rFonts w:ascii="GHEA Grapalat" w:hAnsi="GHEA Grapalat"/>
          <w:sz w:val="24"/>
          <w:szCs w:val="24"/>
          <w:lang w:val="hy-AM"/>
        </w:rPr>
        <w:t xml:space="preserve">2023 թվականի ապրիլի 21-ի N 568-Ն որոշման հավելվածի 104 կետի 1-ին ենթակետում կատարվել է փոփոխություն, մասնավորապես՝ «հողամասերի կադաստրային պետական գրանցման </w:t>
      </w:r>
      <w:proofErr w:type="spellStart"/>
      <w:r w:rsidRPr="00F536B7">
        <w:rPr>
          <w:rFonts w:ascii="GHEA Grapalat" w:hAnsi="GHEA Grapalat"/>
          <w:sz w:val="24"/>
          <w:szCs w:val="24"/>
          <w:lang w:val="hy-AM"/>
        </w:rPr>
        <w:t>վկայագրերը</w:t>
      </w:r>
      <w:proofErr w:type="spellEnd"/>
      <w:r w:rsidRPr="00F536B7">
        <w:rPr>
          <w:rFonts w:ascii="GHEA Grapalat" w:hAnsi="GHEA Grapalat"/>
          <w:sz w:val="24"/>
          <w:szCs w:val="24"/>
          <w:lang w:val="hy-AM"/>
        </w:rPr>
        <w:t>» բառերը փոխարինվել է «հողամասերի նկատմամբ իրավունքների պետական գրանցման վկայականները» բառերով</w:t>
      </w:r>
      <w:r w:rsidR="006D5F10">
        <w:rPr>
          <w:rFonts w:ascii="GHEA Grapalat" w:hAnsi="GHEA Grapalat"/>
          <w:sz w:val="24"/>
          <w:szCs w:val="24"/>
          <w:lang w:val="hy-AM"/>
        </w:rPr>
        <w:t xml:space="preserve">, որով կապահովի </w:t>
      </w:r>
      <w:r w:rsidR="006D5F10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Տեսչական մարմնի ստուգումների</w:t>
      </w:r>
      <w:r w:rsidR="006D5F10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տարեկան ծրագրով նախատեսված էներգետիկայի ոլորտի </w:t>
      </w:r>
      <w:r w:rsidR="006D5F10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պալանային</w:t>
      </w:r>
      <w:r w:rsidR="006D5F10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6D5F10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ստուգումների անխափան կատարումը</w:t>
      </w:r>
      <w:r w:rsidRPr="00F536B7">
        <w:rPr>
          <w:rFonts w:ascii="GHEA Grapalat" w:hAnsi="GHEA Grapalat"/>
          <w:sz w:val="24"/>
          <w:szCs w:val="24"/>
          <w:lang w:val="hy-AM"/>
        </w:rPr>
        <w:t>։</w:t>
      </w:r>
      <w:bookmarkStart w:id="0" w:name="_GoBack"/>
      <w:bookmarkEnd w:id="0"/>
    </w:p>
    <w:p w14:paraId="0ED56D8E" w14:textId="77777777" w:rsidR="00606A3A" w:rsidRPr="007B4A33" w:rsidRDefault="00606A3A" w:rsidP="00F536B7">
      <w:pPr>
        <w:tabs>
          <w:tab w:val="left" w:pos="-180"/>
        </w:tabs>
        <w:spacing w:after="0" w:line="360" w:lineRule="auto"/>
        <w:jc w:val="both"/>
        <w:rPr>
          <w:rFonts w:ascii="GHEA Grapalat" w:eastAsia="Times New Roman" w:hAnsi="GHEA Grapalat" w:cs="GHEA Grapalat"/>
          <w:iCs/>
          <w:sz w:val="24"/>
          <w:szCs w:val="24"/>
          <w:lang w:val="hy-AM"/>
        </w:rPr>
      </w:pPr>
    </w:p>
    <w:p w14:paraId="1F84F39E" w14:textId="126AB1F3" w:rsidR="00E75571" w:rsidRPr="00142EE2" w:rsidRDefault="004B6F0A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142EE2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142EE2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9D0813F" w14:textId="04D97528" w:rsidR="00155381" w:rsidRDefault="00006E33" w:rsidP="00454F72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Նախագծի </w:t>
      </w:r>
      <w:r w:rsidR="004B6F0A" w:rsidRPr="00142EE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ընդունման նպատակն է </w:t>
      </w:r>
      <w:r w:rsidR="00454F7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խմբագրել Էներգետիկայի բնագավառում ստուգումների իրականացնելո</w:t>
      </w:r>
      <w:r w:rsidR="00FD1534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ւ համար անհրաժեշտ </w:t>
      </w:r>
      <w:proofErr w:type="spellStart"/>
      <w:r w:rsidR="00FD1534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ստուգաթերթերը</w:t>
      </w:r>
      <w:proofErr w:type="spellEnd"/>
      <w:r w:rsidR="00454F7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՝ այն համապատասխանեցնելով Կառավարության կողմից </w:t>
      </w:r>
      <w:r w:rsidR="00841359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նոր </w:t>
      </w:r>
      <w:r w:rsidR="00454F7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հաստատված </w:t>
      </w:r>
      <w:proofErr w:type="spellStart"/>
      <w:r w:rsidR="00454F7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գ</w:t>
      </w:r>
      <w:r w:rsidR="00454F72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ազափոխադրման</w:t>
      </w:r>
      <w:proofErr w:type="spellEnd"/>
      <w:r w:rsidR="00454F72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համակարգում անվտանգության և շահագործման </w:t>
      </w:r>
      <w:r w:rsidR="0084135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մասով սահամնված պահանջներին:</w:t>
      </w:r>
    </w:p>
    <w:p w14:paraId="7A5DDFA0" w14:textId="77777777" w:rsidR="00CE27AF" w:rsidRPr="00142EE2" w:rsidRDefault="00CE27AF" w:rsidP="00CE27AF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1FC88AB0" w14:textId="7372B3DA" w:rsidR="004B6F0A" w:rsidRPr="00142EE2" w:rsidRDefault="000D1140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986FC00" w14:textId="5CA5E0E2" w:rsidR="0096628E" w:rsidRPr="00142EE2" w:rsidRDefault="0096628E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841359">
        <w:rPr>
          <w:rFonts w:ascii="GHEA Grapalat" w:hAnsi="GHEA Grapalat"/>
          <w:noProof/>
          <w:sz w:val="24"/>
          <w:lang w:val="hy-AM"/>
        </w:rPr>
        <w:t>Նախագծի ընդունման արդյունքում ակնկալվում է ապահովել Տեսչական մարմնի կողմից</w:t>
      </w:r>
      <w:r w:rsidRPr="00841359">
        <w:rPr>
          <w:rFonts w:ascii="GHEA Grapalat" w:hAnsi="GHEA Grapalat" w:cs="GHEA Grapalat"/>
          <w:noProof/>
          <w:sz w:val="24"/>
          <w:lang w:val="hy-AM"/>
        </w:rPr>
        <w:t xml:space="preserve"> </w:t>
      </w:r>
      <w:r w:rsidR="00454F72" w:rsidRPr="00841359">
        <w:rPr>
          <w:rFonts w:ascii="GHEA Grapalat" w:hAnsi="GHEA Grapalat" w:cs="Sylfaen"/>
          <w:sz w:val="24"/>
          <w:lang w:val="hy-AM"/>
        </w:rPr>
        <w:t>էներգետիկայի բնագավառում</w:t>
      </w:r>
      <w:r w:rsidRPr="00841359">
        <w:rPr>
          <w:rFonts w:ascii="GHEA Grapalat" w:hAnsi="GHEA Grapalat" w:cs="Sylfaen"/>
          <w:sz w:val="24"/>
          <w:lang w:val="hy-AM"/>
        </w:rPr>
        <w:t xml:space="preserve"> </w:t>
      </w:r>
      <w:r w:rsidR="00454F72" w:rsidRPr="00841359">
        <w:rPr>
          <w:rFonts w:ascii="GHEA Grapalat" w:hAnsi="GHEA Grapalat"/>
          <w:noProof/>
          <w:sz w:val="24"/>
          <w:lang w:val="hy-AM"/>
        </w:rPr>
        <w:t>ստուգումներ</w:t>
      </w:r>
      <w:r w:rsidR="00841359" w:rsidRPr="00841359">
        <w:rPr>
          <w:rFonts w:ascii="GHEA Grapalat" w:hAnsi="GHEA Grapalat"/>
          <w:noProof/>
          <w:sz w:val="24"/>
          <w:lang w:val="hy-AM"/>
        </w:rPr>
        <w:t>ի անխափան ընթացքը:</w:t>
      </w:r>
    </w:p>
    <w:p w14:paraId="1B094D6E" w14:textId="77777777" w:rsidR="00155381" w:rsidRPr="00142EE2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142EE2" w:rsidRDefault="000D1140" w:rsidP="00142EE2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142EE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142EE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184112D7" w:rsidR="004B6F0A" w:rsidRPr="00142EE2" w:rsidRDefault="004B6F0A" w:rsidP="00142EE2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142E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142E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142E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454F72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կողմից:</w:t>
      </w:r>
    </w:p>
    <w:p w14:paraId="5889D7CF" w14:textId="77777777" w:rsidR="00155381" w:rsidRPr="00142EE2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142EE2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142EE2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3C25AD8B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42EE2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0C7F7103" w14:textId="77777777" w:rsidR="00614B3D" w:rsidRPr="00142EE2" w:rsidRDefault="00614B3D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142EE2" w:rsidRDefault="00C9519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0AA7FD13" w:rsidR="004B6F0A" w:rsidRPr="00142EE2" w:rsidRDefault="00C95195" w:rsidP="00142EE2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 w:rsidRPr="00142EE2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60EE1" w:rsidRPr="00142EE2">
        <w:rPr>
          <w:rFonts w:ascii="GHEA Grapalat" w:hAnsi="GHEA Grapalat"/>
          <w:sz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="00E60EE1" w:rsidRPr="00142EE2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="00E60EE1" w:rsidRPr="00142EE2">
        <w:rPr>
          <w:rFonts w:ascii="GHEA Grapalat" w:hAnsi="GHEA Grapalat"/>
          <w:sz w:val="24"/>
          <w:lang w:val="hy-AM"/>
        </w:rPr>
        <w:t>։</w:t>
      </w:r>
    </w:p>
    <w:sectPr w:rsidR="004B6F0A" w:rsidRPr="00142EE2" w:rsidSect="00614B3D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9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6E33"/>
    <w:rsid w:val="0001022F"/>
    <w:rsid w:val="0004330F"/>
    <w:rsid w:val="00052EBE"/>
    <w:rsid w:val="00054F08"/>
    <w:rsid w:val="00095F40"/>
    <w:rsid w:val="0009748B"/>
    <w:rsid w:val="000A7804"/>
    <w:rsid w:val="000B27B1"/>
    <w:rsid w:val="000D1140"/>
    <w:rsid w:val="000D1BFE"/>
    <w:rsid w:val="000D6E33"/>
    <w:rsid w:val="000E7E81"/>
    <w:rsid w:val="00102B81"/>
    <w:rsid w:val="0011213E"/>
    <w:rsid w:val="001222C1"/>
    <w:rsid w:val="001249BC"/>
    <w:rsid w:val="00132DD0"/>
    <w:rsid w:val="00142EE2"/>
    <w:rsid w:val="00154130"/>
    <w:rsid w:val="00155381"/>
    <w:rsid w:val="001640F8"/>
    <w:rsid w:val="00173EDB"/>
    <w:rsid w:val="00175B3B"/>
    <w:rsid w:val="001D0111"/>
    <w:rsid w:val="001D543F"/>
    <w:rsid w:val="00204BA0"/>
    <w:rsid w:val="002223A9"/>
    <w:rsid w:val="00250385"/>
    <w:rsid w:val="002621AC"/>
    <w:rsid w:val="002856EE"/>
    <w:rsid w:val="002C665A"/>
    <w:rsid w:val="002D24F2"/>
    <w:rsid w:val="00312216"/>
    <w:rsid w:val="00353C0A"/>
    <w:rsid w:val="00360346"/>
    <w:rsid w:val="00383BD8"/>
    <w:rsid w:val="003B6405"/>
    <w:rsid w:val="003D7D3D"/>
    <w:rsid w:val="003F1CF6"/>
    <w:rsid w:val="003F2193"/>
    <w:rsid w:val="003F66B9"/>
    <w:rsid w:val="00412D31"/>
    <w:rsid w:val="00412F93"/>
    <w:rsid w:val="004220A2"/>
    <w:rsid w:val="004231C5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94A01"/>
    <w:rsid w:val="00495257"/>
    <w:rsid w:val="004A1A4D"/>
    <w:rsid w:val="004B039A"/>
    <w:rsid w:val="004B35C5"/>
    <w:rsid w:val="004B6F0A"/>
    <w:rsid w:val="004C725C"/>
    <w:rsid w:val="004E230E"/>
    <w:rsid w:val="004E4B69"/>
    <w:rsid w:val="004E500F"/>
    <w:rsid w:val="005106B7"/>
    <w:rsid w:val="005330CD"/>
    <w:rsid w:val="0053545D"/>
    <w:rsid w:val="005474E0"/>
    <w:rsid w:val="00580A33"/>
    <w:rsid w:val="005C1789"/>
    <w:rsid w:val="005D19CD"/>
    <w:rsid w:val="005E3CE0"/>
    <w:rsid w:val="005E4272"/>
    <w:rsid w:val="005F4DD3"/>
    <w:rsid w:val="00601E68"/>
    <w:rsid w:val="00606A3A"/>
    <w:rsid w:val="00614B3D"/>
    <w:rsid w:val="00616624"/>
    <w:rsid w:val="0063182D"/>
    <w:rsid w:val="00641304"/>
    <w:rsid w:val="0065531F"/>
    <w:rsid w:val="0065583E"/>
    <w:rsid w:val="00662B06"/>
    <w:rsid w:val="006968C9"/>
    <w:rsid w:val="00696ABF"/>
    <w:rsid w:val="006B4940"/>
    <w:rsid w:val="006C3CC4"/>
    <w:rsid w:val="006C7173"/>
    <w:rsid w:val="006D4664"/>
    <w:rsid w:val="006D5F10"/>
    <w:rsid w:val="006D7E9C"/>
    <w:rsid w:val="006E14A2"/>
    <w:rsid w:val="00714BE0"/>
    <w:rsid w:val="00715BA5"/>
    <w:rsid w:val="007215E5"/>
    <w:rsid w:val="00747F8F"/>
    <w:rsid w:val="0075170A"/>
    <w:rsid w:val="00765AF0"/>
    <w:rsid w:val="00792122"/>
    <w:rsid w:val="00792BFE"/>
    <w:rsid w:val="007B4A33"/>
    <w:rsid w:val="007C0377"/>
    <w:rsid w:val="007C5A56"/>
    <w:rsid w:val="007D581D"/>
    <w:rsid w:val="007F50CE"/>
    <w:rsid w:val="007F6485"/>
    <w:rsid w:val="007F693B"/>
    <w:rsid w:val="00800634"/>
    <w:rsid w:val="00801FD3"/>
    <w:rsid w:val="008137A8"/>
    <w:rsid w:val="00824803"/>
    <w:rsid w:val="00830D45"/>
    <w:rsid w:val="00833476"/>
    <w:rsid w:val="00841359"/>
    <w:rsid w:val="00854099"/>
    <w:rsid w:val="008572C8"/>
    <w:rsid w:val="008A4464"/>
    <w:rsid w:val="008A564D"/>
    <w:rsid w:val="008E5805"/>
    <w:rsid w:val="009056A1"/>
    <w:rsid w:val="009138BA"/>
    <w:rsid w:val="00925DD8"/>
    <w:rsid w:val="00942AA1"/>
    <w:rsid w:val="009464BF"/>
    <w:rsid w:val="00954E18"/>
    <w:rsid w:val="0096628E"/>
    <w:rsid w:val="0097389F"/>
    <w:rsid w:val="00983456"/>
    <w:rsid w:val="009852EE"/>
    <w:rsid w:val="00995F39"/>
    <w:rsid w:val="009B2386"/>
    <w:rsid w:val="009B2965"/>
    <w:rsid w:val="009B3D97"/>
    <w:rsid w:val="009E23C0"/>
    <w:rsid w:val="009F6C3B"/>
    <w:rsid w:val="00A01F81"/>
    <w:rsid w:val="00A15A05"/>
    <w:rsid w:val="00A23F41"/>
    <w:rsid w:val="00A317DB"/>
    <w:rsid w:val="00A43EA1"/>
    <w:rsid w:val="00A53872"/>
    <w:rsid w:val="00A61CD8"/>
    <w:rsid w:val="00AA4580"/>
    <w:rsid w:val="00AC51CB"/>
    <w:rsid w:val="00AD4F21"/>
    <w:rsid w:val="00AE1E8A"/>
    <w:rsid w:val="00AF16E0"/>
    <w:rsid w:val="00AF259E"/>
    <w:rsid w:val="00B03C89"/>
    <w:rsid w:val="00B10D00"/>
    <w:rsid w:val="00B1324F"/>
    <w:rsid w:val="00B21D11"/>
    <w:rsid w:val="00B22629"/>
    <w:rsid w:val="00B2440A"/>
    <w:rsid w:val="00B35BAF"/>
    <w:rsid w:val="00B70074"/>
    <w:rsid w:val="00BD258A"/>
    <w:rsid w:val="00BD7CD7"/>
    <w:rsid w:val="00C209B4"/>
    <w:rsid w:val="00C21520"/>
    <w:rsid w:val="00C22D77"/>
    <w:rsid w:val="00C25091"/>
    <w:rsid w:val="00C63A67"/>
    <w:rsid w:val="00C75A55"/>
    <w:rsid w:val="00C94D63"/>
    <w:rsid w:val="00C95195"/>
    <w:rsid w:val="00CA43D0"/>
    <w:rsid w:val="00CA54E0"/>
    <w:rsid w:val="00CD78A8"/>
    <w:rsid w:val="00CE27AF"/>
    <w:rsid w:val="00CE5C24"/>
    <w:rsid w:val="00CE79AD"/>
    <w:rsid w:val="00CF6BB2"/>
    <w:rsid w:val="00D252A4"/>
    <w:rsid w:val="00D25A13"/>
    <w:rsid w:val="00D30AE5"/>
    <w:rsid w:val="00D40E35"/>
    <w:rsid w:val="00D42A30"/>
    <w:rsid w:val="00DA1A6D"/>
    <w:rsid w:val="00DB607E"/>
    <w:rsid w:val="00DC7454"/>
    <w:rsid w:val="00DD4F1F"/>
    <w:rsid w:val="00DF78EB"/>
    <w:rsid w:val="00E267F1"/>
    <w:rsid w:val="00E32830"/>
    <w:rsid w:val="00E47FBD"/>
    <w:rsid w:val="00E510FC"/>
    <w:rsid w:val="00E56523"/>
    <w:rsid w:val="00E60EE1"/>
    <w:rsid w:val="00E75571"/>
    <w:rsid w:val="00E8144F"/>
    <w:rsid w:val="00E84817"/>
    <w:rsid w:val="00E85DCA"/>
    <w:rsid w:val="00E87960"/>
    <w:rsid w:val="00E87F3C"/>
    <w:rsid w:val="00E96BAF"/>
    <w:rsid w:val="00EA5FA3"/>
    <w:rsid w:val="00EB0FBD"/>
    <w:rsid w:val="00EC2154"/>
    <w:rsid w:val="00F125BA"/>
    <w:rsid w:val="00F161CF"/>
    <w:rsid w:val="00F25BA7"/>
    <w:rsid w:val="00F2700B"/>
    <w:rsid w:val="00F536B7"/>
    <w:rsid w:val="00F57540"/>
    <w:rsid w:val="00F60EA0"/>
    <w:rsid w:val="00F647E7"/>
    <w:rsid w:val="00F65215"/>
    <w:rsid w:val="00F84366"/>
    <w:rsid w:val="00F85DB6"/>
    <w:rsid w:val="00F94625"/>
    <w:rsid w:val="00FA5AF2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Arusyak Aghajanyan</cp:lastModifiedBy>
  <cp:revision>22</cp:revision>
  <dcterms:created xsi:type="dcterms:W3CDTF">2023-01-12T12:24:00Z</dcterms:created>
  <dcterms:modified xsi:type="dcterms:W3CDTF">2023-05-30T11:25:00Z</dcterms:modified>
</cp:coreProperties>
</file>