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AA" w:rsidRPr="00942EC8" w:rsidRDefault="003E1CAA" w:rsidP="003C6888">
      <w:pPr>
        <w:spacing w:after="0" w:line="360" w:lineRule="auto"/>
        <w:jc w:val="center"/>
        <w:rPr>
          <w:rFonts w:ascii="GHEA Grapalat" w:eastAsia="Times New Roman" w:hAnsi="GHEA Grapalat" w:cs="Arial"/>
          <w:sz w:val="24"/>
          <w:szCs w:val="24"/>
        </w:rPr>
      </w:pPr>
      <w:r w:rsidRPr="00942EC8">
        <w:rPr>
          <w:rFonts w:ascii="GHEA Grapalat" w:eastAsia="Times New Roman" w:hAnsi="GHEA Grapalat" w:cs="Arial"/>
          <w:sz w:val="24"/>
          <w:szCs w:val="24"/>
        </w:rPr>
        <w:t>ՀԻՄՆԱՎՈՐՈՒՄ</w:t>
      </w:r>
    </w:p>
    <w:p w:rsidR="003E1CAA" w:rsidRPr="00942EC8" w:rsidRDefault="003E1CAA" w:rsidP="00D22E5A">
      <w:pPr>
        <w:spacing w:after="0" w:line="360" w:lineRule="auto"/>
        <w:jc w:val="center"/>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«ՍՆԱՆԿՈՒԹՅԱՆ ՄԱՍԻՆ» ՀԱՅԱՍՏԱՆԻ ՀԱՆՐԱՊԵՏՈՒԹՅԱՆ ՕՐԵՆՔՈՒՄ ՓՈ</w:t>
      </w:r>
      <w:r w:rsidR="00D22E5A" w:rsidRPr="00942EC8">
        <w:rPr>
          <w:rFonts w:ascii="GHEA Grapalat" w:eastAsia="Times New Roman" w:hAnsi="GHEA Grapalat" w:cs="Arial"/>
          <w:sz w:val="24"/>
          <w:szCs w:val="24"/>
          <w:lang w:val="hy-AM"/>
        </w:rPr>
        <w:t xml:space="preserve">ՓՈԽՈՒԹՅՈՒՆՆԵՐ ԵՎ ԼՐԱՑՈՒՄ ԿԱՏԱՐԵԼՈՒ ՄԱՍԻՆ» </w:t>
      </w:r>
      <w:r w:rsidRPr="00942EC8">
        <w:rPr>
          <w:rFonts w:ascii="GHEA Grapalat" w:eastAsia="Times New Roman" w:hAnsi="GHEA Grapalat" w:cs="Arial"/>
          <w:sz w:val="24"/>
          <w:szCs w:val="24"/>
          <w:lang w:val="hy-AM"/>
        </w:rPr>
        <w:t>ԵՎ «ՊԵՏԱԿԱՆ ՏՈՒՐՔԻ ՄԱՍԻՆ» ՀԱՅԱՍՏԱՆԻ ՀԱՆՐԱՊԵՏՈՒԹՅԱՆ ՕՐԵՆՔՈՒՄ ԼՐԱՑՈՒՄ ԿԱՏԱՐԵԼՈՒ ՄԱՍԻՆ» ՀԱՅԱՍՏԱՆԻ ՀԱՆՐԱՊԵՏՈՒԹՅԱՆ ՕՐԵՆՔՆԵՐԻ ՆԱԽԱԳԾԵՐԻ ԸՆԴՈՒՆՄԱՆ</w:t>
      </w:r>
    </w:p>
    <w:p w:rsidR="003E1CAA" w:rsidRPr="00942EC8" w:rsidRDefault="003E1CAA" w:rsidP="003C6888">
      <w:pPr>
        <w:spacing w:after="0" w:line="360" w:lineRule="auto"/>
        <w:rPr>
          <w:rFonts w:ascii="GHEA Grapalat" w:eastAsia="Times New Roman" w:hAnsi="GHEA Grapalat" w:cs="Arial"/>
          <w:sz w:val="24"/>
          <w:szCs w:val="24"/>
          <w:lang w:val="hy-AM"/>
        </w:rPr>
      </w:pPr>
    </w:p>
    <w:p w:rsidR="003E1CAA" w:rsidRPr="00942EC8" w:rsidRDefault="003E1CAA" w:rsidP="003C6888">
      <w:pPr>
        <w:pStyle w:val="ListParagraph"/>
        <w:numPr>
          <w:ilvl w:val="0"/>
          <w:numId w:val="4"/>
        </w:numPr>
        <w:spacing w:after="0" w:line="360" w:lineRule="auto"/>
        <w:jc w:val="both"/>
        <w:rPr>
          <w:rFonts w:ascii="GHEA Grapalat" w:eastAsia="Times New Roman" w:hAnsi="GHEA Grapalat" w:cs="Arial"/>
          <w:b/>
          <w:bCs/>
          <w:sz w:val="24"/>
          <w:szCs w:val="24"/>
          <w:shd w:val="clear" w:color="auto" w:fill="FFFFFF"/>
          <w:lang w:val="hy-AM"/>
        </w:rPr>
      </w:pPr>
      <w:r w:rsidRPr="00942EC8">
        <w:rPr>
          <w:rFonts w:ascii="GHEA Grapalat" w:eastAsia="Times New Roman" w:hAnsi="GHEA Grapalat" w:cs="Arial"/>
          <w:b/>
          <w:bCs/>
          <w:sz w:val="24"/>
          <w:szCs w:val="24"/>
          <w:shd w:val="clear" w:color="auto" w:fill="FFFFFF"/>
          <w:lang w:val="hy-AM"/>
        </w:rPr>
        <w:t>Ընդունման անհրաժեշտությունը</w:t>
      </w:r>
    </w:p>
    <w:p w:rsidR="003C6888" w:rsidRPr="00942EC8" w:rsidRDefault="003C6888" w:rsidP="003C6888">
      <w:pPr>
        <w:spacing w:after="0" w:line="360" w:lineRule="auto"/>
        <w:jc w:val="both"/>
        <w:rPr>
          <w:rFonts w:ascii="GHEA Grapalat" w:eastAsia="Times New Roman" w:hAnsi="GHEA Grapalat" w:cs="Arial"/>
          <w:sz w:val="24"/>
          <w:szCs w:val="24"/>
          <w:lang w:val="hy-AM"/>
        </w:rPr>
      </w:pPr>
    </w:p>
    <w:p w:rsidR="003E1CAA" w:rsidRPr="00942EC8" w:rsidRDefault="00D22E5A" w:rsidP="003C6888">
      <w:pPr>
        <w:spacing w:after="240" w:line="360" w:lineRule="auto"/>
        <w:ind w:firstLine="720"/>
        <w:jc w:val="both"/>
        <w:rPr>
          <w:rFonts w:ascii="GHEA Grapalat" w:eastAsia="Times New Roman" w:hAnsi="GHEA Grapalat" w:cs="Arial"/>
          <w:sz w:val="24"/>
          <w:szCs w:val="24"/>
          <w:lang w:val="hy-AM"/>
        </w:rPr>
      </w:pPr>
      <w:r w:rsidRPr="00942EC8">
        <w:rPr>
          <w:rFonts w:ascii="GHEA Grapalat" w:hAnsi="GHEA Grapalat" w:cs="Arial"/>
          <w:color w:val="000000"/>
          <w:sz w:val="24"/>
          <w:szCs w:val="24"/>
          <w:lang w:val="hy-AM"/>
        </w:rPr>
        <w:t xml:space="preserve">Նախագծի ընդունումը պայմանավորված է սնանկության ոլորտում մի շարք տնտեսավարողների կողմից բարձրացված խնդիրների առկայությամբ և ուղղված է կենսունակ պարտապաններին հնարավորինս կարճ ժամկետում ակտիվ տնտեսական շրջանառություն վերադարձնելուն, ոչ կենսունակներին՝ տնտեսական դաշտից </w:t>
      </w:r>
      <w:r w:rsidR="00397347" w:rsidRPr="00942EC8">
        <w:rPr>
          <w:rFonts w:ascii="GHEA Grapalat" w:hAnsi="GHEA Grapalat" w:cs="Arial"/>
          <w:color w:val="000000"/>
          <w:sz w:val="24"/>
          <w:szCs w:val="24"/>
          <w:lang w:val="hy-AM"/>
        </w:rPr>
        <w:t>հեռացնելուն</w:t>
      </w:r>
      <w:r w:rsidR="003A781B" w:rsidRPr="00942EC8">
        <w:rPr>
          <w:rFonts w:ascii="GHEA Grapalat" w:hAnsi="GHEA Grapalat" w:cs="Arial"/>
          <w:color w:val="000000"/>
          <w:sz w:val="24"/>
          <w:szCs w:val="24"/>
          <w:lang w:val="hy-AM"/>
        </w:rPr>
        <w:t xml:space="preserve">, </w:t>
      </w:r>
      <w:r w:rsidRPr="00942EC8">
        <w:rPr>
          <w:rFonts w:ascii="GHEA Grapalat" w:hAnsi="GHEA Grapalat" w:cs="Arial"/>
          <w:color w:val="000000"/>
          <w:sz w:val="24"/>
          <w:szCs w:val="24"/>
          <w:lang w:val="hy-AM"/>
        </w:rPr>
        <w:t xml:space="preserve">ինչպես նաև </w:t>
      </w:r>
      <w:r w:rsidRPr="00942EC8">
        <w:rPr>
          <w:rFonts w:ascii="GHEA Grapalat" w:eastAsia="Times New Roman" w:hAnsi="GHEA Grapalat" w:cs="Arial"/>
          <w:sz w:val="24"/>
          <w:szCs w:val="24"/>
          <w:lang w:val="hy-AM"/>
        </w:rPr>
        <w:t xml:space="preserve">«Սնանկության մասին» Հայաստանի Հանրապետության </w:t>
      </w:r>
      <w:r w:rsidR="009932D7">
        <w:rPr>
          <w:rFonts w:ascii="GHEA Grapalat" w:eastAsia="Times New Roman" w:hAnsi="GHEA Grapalat" w:cs="Arial"/>
          <w:sz w:val="24"/>
          <w:szCs w:val="24"/>
          <w:lang w:val="hy-AM"/>
        </w:rPr>
        <w:t>օ</w:t>
      </w:r>
      <w:r w:rsidR="003C6888" w:rsidRPr="00942EC8">
        <w:rPr>
          <w:rFonts w:ascii="GHEA Grapalat" w:eastAsia="Times New Roman" w:hAnsi="GHEA Grapalat" w:cs="Arial"/>
          <w:sz w:val="24"/>
          <w:szCs w:val="24"/>
          <w:lang w:val="hy-AM"/>
        </w:rPr>
        <w:t>րենքի</w:t>
      </w:r>
      <w:r w:rsidR="009932D7">
        <w:rPr>
          <w:rFonts w:ascii="GHEA Grapalat" w:eastAsia="Times New Roman" w:hAnsi="GHEA Grapalat" w:cs="Arial"/>
          <w:sz w:val="24"/>
          <w:szCs w:val="24"/>
          <w:lang w:val="hy-AM"/>
        </w:rPr>
        <w:t xml:space="preserve"> </w:t>
      </w:r>
      <w:r w:rsidR="009932D7" w:rsidRPr="009932D7">
        <w:rPr>
          <w:rFonts w:ascii="GHEA Grapalat" w:eastAsia="Times New Roman" w:hAnsi="GHEA Grapalat" w:cs="Arial"/>
          <w:sz w:val="24"/>
          <w:szCs w:val="24"/>
          <w:lang w:val="hy-AM"/>
        </w:rPr>
        <w:t>(</w:t>
      </w:r>
      <w:r w:rsidR="009932D7">
        <w:rPr>
          <w:rFonts w:ascii="GHEA Grapalat" w:eastAsia="Times New Roman" w:hAnsi="GHEA Grapalat" w:cs="Arial"/>
          <w:sz w:val="24"/>
          <w:szCs w:val="24"/>
          <w:lang w:val="hy-AM"/>
        </w:rPr>
        <w:t>այսուհետ նաև Օրենք</w:t>
      </w:r>
      <w:r w:rsidR="009932D7" w:rsidRPr="009932D7">
        <w:rPr>
          <w:rFonts w:ascii="GHEA Grapalat" w:eastAsia="Times New Roman" w:hAnsi="GHEA Grapalat" w:cs="Arial"/>
          <w:sz w:val="24"/>
          <w:szCs w:val="24"/>
          <w:lang w:val="hy-AM"/>
        </w:rPr>
        <w:t>)</w:t>
      </w:r>
      <w:r w:rsidR="003C6888" w:rsidRPr="00942EC8">
        <w:rPr>
          <w:rFonts w:ascii="GHEA Grapalat" w:eastAsia="Times New Roman" w:hAnsi="GHEA Grapalat" w:cs="Arial"/>
          <w:sz w:val="24"/>
          <w:szCs w:val="24"/>
          <w:lang w:val="hy-AM"/>
        </w:rPr>
        <w:t xml:space="preserve"> կարգավորումների հստակեցմանը, մասնավորապես տնտեսավարողների համար պարզ և կանխատեսելի իրավակարգավորումների սահմանմանը, ինչը կնպաստի սնանկության ինստիտուտի նկատմամբ վստահության բարձրացմանը, ինչպես նաև այդ ոլորտում հնարավոր կոռուպցիոն ռիսկերի կանխմանը։</w:t>
      </w:r>
    </w:p>
    <w:p w:rsidR="003E1CAA" w:rsidRPr="00942EC8" w:rsidRDefault="003E1CAA" w:rsidP="003C6888">
      <w:pPr>
        <w:spacing w:after="0" w:line="360" w:lineRule="auto"/>
        <w:ind w:firstLine="720"/>
        <w:jc w:val="both"/>
        <w:rPr>
          <w:rFonts w:ascii="GHEA Grapalat" w:eastAsia="Times New Roman" w:hAnsi="GHEA Grapalat" w:cs="Arial"/>
          <w:sz w:val="24"/>
          <w:szCs w:val="24"/>
          <w:lang w:val="hy-AM"/>
        </w:rPr>
      </w:pPr>
      <w:r w:rsidRPr="00942EC8">
        <w:rPr>
          <w:rFonts w:ascii="GHEA Grapalat" w:eastAsia="Times New Roman" w:hAnsi="GHEA Grapalat" w:cs="Arial"/>
          <w:b/>
          <w:bCs/>
          <w:sz w:val="24"/>
          <w:szCs w:val="24"/>
          <w:shd w:val="clear" w:color="auto" w:fill="FFFFFF"/>
          <w:lang w:val="hy-AM"/>
        </w:rPr>
        <w:t>2. Ընթացիկ իրավիճակը և խնդիրները</w:t>
      </w:r>
      <w:r w:rsidRPr="00942EC8">
        <w:rPr>
          <w:rFonts w:ascii="Calibri" w:eastAsia="Times New Roman" w:hAnsi="Calibri" w:cs="Calibri"/>
          <w:b/>
          <w:bCs/>
          <w:sz w:val="24"/>
          <w:szCs w:val="24"/>
          <w:shd w:val="clear" w:color="auto" w:fill="FFFFFF"/>
          <w:lang w:val="hy-AM"/>
        </w:rPr>
        <w:t> </w:t>
      </w:r>
    </w:p>
    <w:p w:rsidR="003A781B" w:rsidRPr="00942EC8" w:rsidRDefault="003E1CAA" w:rsidP="003A781B">
      <w:pPr>
        <w:spacing w:after="0" w:line="360" w:lineRule="auto"/>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ab/>
      </w:r>
    </w:p>
    <w:p w:rsidR="003C6888" w:rsidRPr="00942EC8" w:rsidRDefault="003A781B" w:rsidP="003A781B">
      <w:pPr>
        <w:spacing w:after="0" w:line="360" w:lineRule="auto"/>
        <w:ind w:firstLine="720"/>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1</w:t>
      </w:r>
      <w:r w:rsidR="003C6888" w:rsidRPr="00942EC8">
        <w:rPr>
          <w:rFonts w:ascii="GHEA Grapalat" w:eastAsia="Times New Roman" w:hAnsi="GHEA Grapalat" w:cs="Arial"/>
          <w:sz w:val="24"/>
          <w:szCs w:val="24"/>
          <w:lang w:val="hy-AM"/>
        </w:rPr>
        <w:t>. Օրենքի 10-րդ հոդվածի 3-րդ մասը նախատեսում է չհիմնավորված կարճ ժամկետային սահմանափակում դիմողի կողմից դիմումը հետ վերցնելու համար, օրինակ, մինչև դատական նիստը սկսվելը, այն դեպքում երբ օրինակ ՀՀ քաղաքացիական դատավարության օրենսգրքով հայցվորը հայցից կարող է հրաժարվել մինչև դատաքննության ավարտը /ՀՀ քաղաքացիական դատավարության օրենսգրքի 149-րդ հոդված 1-ին մաս/։</w:t>
      </w:r>
    </w:p>
    <w:p w:rsidR="003C6888" w:rsidRPr="00942EC8" w:rsidRDefault="003C6888" w:rsidP="003C6888">
      <w:pPr>
        <w:spacing w:after="0" w:line="360" w:lineRule="auto"/>
        <w:ind w:firstLine="720"/>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 xml:space="preserve">Ընդ որում հարկ է նկատել, որ դիմումից հրաժարվելը տնօրինչականության դատավարական սկզբունքի բաղադրատարն է, որը կիրառման համար անհրաժեշտ է ապահովել նպաստավոր պայմաններ՝ հաշվի առնելով որ այն կողմերի միջև առկա վեճը լուծելու </w:t>
      </w:r>
      <w:r w:rsidRPr="00942EC8">
        <w:rPr>
          <w:rFonts w:ascii="GHEA Grapalat" w:eastAsia="Times New Roman" w:hAnsi="GHEA Grapalat" w:cs="Arial"/>
          <w:sz w:val="24"/>
          <w:szCs w:val="24"/>
          <w:lang w:val="hy-AM"/>
        </w:rPr>
        <w:lastRenderedPageBreak/>
        <w:t>ամենակարճ տարբերակն է և թեթևացնում է դատարանի աշխատանքը, ով գործի վարույթը կարճում է՝ առանց գործի ըստ էության քննություն կատարելու։</w:t>
      </w:r>
    </w:p>
    <w:p w:rsidR="003C6888" w:rsidRPr="00942EC8" w:rsidRDefault="003C6888" w:rsidP="003C6888">
      <w:pPr>
        <w:spacing w:after="0" w:line="360" w:lineRule="auto"/>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ab/>
        <w:t>Հետևաբար դիմումից հրաժարվելու ավելի երկար ժամկետի սահմանումը բխում է ինչպես դիմումատուի և պարտապանի շահերից, այնպես էլ դրական ազդեցություն է ունենում դատարանի ծանրաբեռնվածության նվազման համար։</w:t>
      </w:r>
    </w:p>
    <w:p w:rsidR="003C6888" w:rsidRPr="00942EC8" w:rsidRDefault="003C6888" w:rsidP="003C6888">
      <w:pPr>
        <w:spacing w:after="0" w:line="360" w:lineRule="auto"/>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ab/>
      </w:r>
      <w:r w:rsidR="003A781B" w:rsidRPr="00942EC8">
        <w:rPr>
          <w:rFonts w:ascii="GHEA Grapalat" w:eastAsia="Times New Roman" w:hAnsi="GHEA Grapalat" w:cs="Arial"/>
          <w:sz w:val="24"/>
          <w:szCs w:val="24"/>
          <w:lang w:val="hy-AM"/>
        </w:rPr>
        <w:t>2</w:t>
      </w:r>
      <w:r w:rsidRPr="00942EC8">
        <w:rPr>
          <w:rFonts w:ascii="GHEA Grapalat" w:eastAsia="Times New Roman" w:hAnsi="GHEA Grapalat" w:cs="Arial"/>
          <w:sz w:val="24"/>
          <w:szCs w:val="24"/>
          <w:lang w:val="hy-AM"/>
        </w:rPr>
        <w:t xml:space="preserve">  Օրենքի 12-րդ հոդվածի 1-ին մասը սահմանում է կամավոր սնանկության կամ սնանկության վտանգի դիմումին կից ներկայացվող փաստաթղթերի ցանկը։ Սակայն ցանկը սպառիչ չէ, իսկ դատարանները տարբերակված պահանջներ են առաջադրում դիմումին կից ներկայացվող փաստաթղթերի համար։ Արդյունքում մեկ սնանկության դիմումը կարող է վերադարձվել տարբեր դատավորների կողմից դիմումին կից տարբեր փաստաթղթեր ներկայացնելու պահանջով մի քանի անգամ։ Նման մոտեցումը ծախսատար և ժամանակատար է ինչպես սեփական սնանկության դիմում ներկայացնելու ցանկություն ունեցող անձանց, այնպես էլ պետության համար։ </w:t>
      </w:r>
    </w:p>
    <w:p w:rsidR="003C6888" w:rsidRPr="00942EC8" w:rsidRDefault="003C6888" w:rsidP="003C6888">
      <w:pPr>
        <w:spacing w:after="0" w:line="360" w:lineRule="auto"/>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ab/>
        <w:t>Դատական իշխանության պաշտոնական կայքում հրապարակված դատարանների 2022թ</w:t>
      </w:r>
      <w:r w:rsidRPr="00942EC8">
        <w:rPr>
          <w:rFonts w:ascii="Cambria Math" w:eastAsia="Times New Roman" w:hAnsi="Cambria Math" w:cs="Cambria Math"/>
          <w:sz w:val="24"/>
          <w:szCs w:val="24"/>
          <w:lang w:val="hy-AM"/>
        </w:rPr>
        <w:t>․</w:t>
      </w:r>
      <w:r w:rsidRPr="00942EC8">
        <w:rPr>
          <w:rFonts w:ascii="GHEA Grapalat" w:eastAsia="Times New Roman" w:hAnsi="GHEA Grapalat" w:cs="Arial"/>
          <w:sz w:val="24"/>
          <w:szCs w:val="24"/>
          <w:lang w:val="hy-AM"/>
        </w:rPr>
        <w:t xml:space="preserve"> գործունեության վերաբերյալ հաշվետվության համաձայն՝ 2022թ</w:t>
      </w:r>
      <w:r w:rsidRPr="00942EC8">
        <w:rPr>
          <w:rFonts w:ascii="Cambria Math" w:eastAsia="Times New Roman" w:hAnsi="Cambria Math" w:cs="Cambria Math"/>
          <w:sz w:val="24"/>
          <w:szCs w:val="24"/>
          <w:lang w:val="hy-AM"/>
        </w:rPr>
        <w:t>․</w:t>
      </w:r>
      <w:r w:rsidRPr="00942EC8">
        <w:rPr>
          <w:rFonts w:ascii="GHEA Grapalat" w:eastAsia="Times New Roman" w:hAnsi="GHEA Grapalat" w:cs="Arial"/>
          <w:sz w:val="24"/>
          <w:szCs w:val="24"/>
          <w:lang w:val="hy-AM"/>
        </w:rPr>
        <w:t xml:space="preserve"> ներկայացվել է սնանկության ընդհանուր 4058 սնանկության դիմում, որից 2845-ը կամավոր սնանկության դիմում։ 4058 սնանկության դիմումից 1869-ը, այսինքն 46 տոկոսը վերադարձվել է</w:t>
      </w:r>
      <w:r w:rsidRPr="00942EC8">
        <w:rPr>
          <w:rStyle w:val="FootnoteReference"/>
          <w:rFonts w:ascii="GHEA Grapalat" w:eastAsia="Times New Roman" w:hAnsi="GHEA Grapalat" w:cs="Arial"/>
          <w:sz w:val="24"/>
          <w:szCs w:val="24"/>
          <w:lang w:val="hy-AM"/>
        </w:rPr>
        <w:footnoteReference w:id="1"/>
      </w:r>
      <w:r w:rsidRPr="00942EC8">
        <w:rPr>
          <w:rFonts w:ascii="GHEA Grapalat" w:eastAsia="Times New Roman" w:hAnsi="GHEA Grapalat" w:cs="Arial"/>
          <w:sz w:val="24"/>
          <w:szCs w:val="24"/>
          <w:lang w:val="hy-AM"/>
        </w:rPr>
        <w:t xml:space="preserve">։ </w:t>
      </w:r>
    </w:p>
    <w:p w:rsidR="003C6888" w:rsidRPr="00942EC8" w:rsidRDefault="003C6888" w:rsidP="003C6888">
      <w:pPr>
        <w:spacing w:after="0" w:line="360" w:lineRule="auto"/>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ab/>
        <w:t xml:space="preserve">Ընդ որում թեպետ վերադարձված կամավոր սնանկության դիմումների վերաբերյալ հաշվետվությունում տվյալներ առկա չեն, այնուամենայնիվ </w:t>
      </w:r>
      <w:r w:rsidR="00745966">
        <w:fldChar w:fldCharType="begin"/>
      </w:r>
      <w:r w:rsidR="00745966" w:rsidRPr="009932D7">
        <w:rPr>
          <w:lang w:val="hy-AM"/>
        </w:rPr>
        <w:instrText xml:space="preserve"> HYPERLINK "http://www.datal</w:instrText>
      </w:r>
      <w:r w:rsidR="00745966" w:rsidRPr="009932D7">
        <w:rPr>
          <w:lang w:val="hy-AM"/>
        </w:rPr>
        <w:instrText xml:space="preserve">ex.am" </w:instrText>
      </w:r>
      <w:r w:rsidR="00745966">
        <w:fldChar w:fldCharType="separate"/>
      </w:r>
      <w:r w:rsidRPr="00942EC8">
        <w:rPr>
          <w:rStyle w:val="Hyperlink"/>
          <w:rFonts w:ascii="GHEA Grapalat" w:eastAsia="Times New Roman" w:hAnsi="GHEA Grapalat" w:cs="Arial"/>
          <w:sz w:val="24"/>
          <w:szCs w:val="24"/>
          <w:lang w:val="hy-AM"/>
        </w:rPr>
        <w:t>www.datalex.am</w:t>
      </w:r>
      <w:r w:rsidR="00745966">
        <w:rPr>
          <w:rStyle w:val="Hyperlink"/>
          <w:rFonts w:ascii="GHEA Grapalat" w:eastAsia="Times New Roman" w:hAnsi="GHEA Grapalat" w:cs="Arial"/>
          <w:sz w:val="24"/>
          <w:szCs w:val="24"/>
          <w:lang w:val="hy-AM"/>
        </w:rPr>
        <w:fldChar w:fldCharType="end"/>
      </w:r>
      <w:r w:rsidRPr="00942EC8">
        <w:rPr>
          <w:rFonts w:ascii="GHEA Grapalat" w:eastAsia="Times New Roman" w:hAnsi="GHEA Grapalat" w:cs="Arial"/>
          <w:sz w:val="24"/>
          <w:szCs w:val="24"/>
          <w:lang w:val="hy-AM"/>
        </w:rPr>
        <w:t xml:space="preserve"> կայքի ուսումնասիրությունը և անձանց բողոքները ցույց են տալիս, որ կամավոր սնանկության վերադարձված դիմումները գերակշիռ մասն են կազմում։</w:t>
      </w:r>
    </w:p>
    <w:p w:rsidR="003C6888" w:rsidRPr="00942EC8" w:rsidRDefault="003C6888" w:rsidP="003A781B">
      <w:pPr>
        <w:spacing w:after="0" w:line="360" w:lineRule="auto"/>
        <w:ind w:firstLine="720"/>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 xml:space="preserve">Դատական ակտերի ուսումնասիրությունը ցույց է տվել, որ Սնանկության դատարանի կողմից հիմնականում պարտապաններից պահանջվում է ներկայացնել վերջիններիս գույքի և գույքային իրավունքների վերաբերյալ տարբեր պետական մարմիններից և ՀՀ առևտրային բանկերից ստացված տեղեկություններ՝ անկախ նրանից պարտապանները գույք ունեն թե ոչ։ Ընդ որում նման պահանջի հիմնավորումը հանգում է նրան, որ դիմումը վարույթ ընդունելուց </w:t>
      </w:r>
      <w:r w:rsidRPr="00942EC8">
        <w:rPr>
          <w:rFonts w:ascii="GHEA Grapalat" w:eastAsia="Times New Roman" w:hAnsi="GHEA Grapalat" w:cs="Arial"/>
          <w:sz w:val="24"/>
          <w:szCs w:val="24"/>
          <w:lang w:val="hy-AM"/>
        </w:rPr>
        <w:lastRenderedPageBreak/>
        <w:t>հետո՝ պարտապանին սնանկ ճանաչելու փուլում անհրաժեշտ է լինելու պարզել պարտապանի հաշվեկշռային անվճարունակության հարցը՝ (կատարման ենթակա պարտավորությունները գերազանցում են պարտապանի ակտիվների արժեքը) որը չի կարող իրականացվել առանց պարտապանի գույքի կազմի վերաբերյալ ապացույցների</w:t>
      </w:r>
      <w:r w:rsidRPr="00942EC8">
        <w:rPr>
          <w:rStyle w:val="FootnoteReference"/>
          <w:rFonts w:ascii="GHEA Grapalat" w:eastAsia="Times New Roman" w:hAnsi="GHEA Grapalat" w:cs="Arial"/>
          <w:sz w:val="24"/>
          <w:szCs w:val="24"/>
          <w:lang w:val="hy-AM"/>
        </w:rPr>
        <w:footnoteReference w:id="2"/>
      </w:r>
      <w:r w:rsidRPr="00942EC8">
        <w:rPr>
          <w:rFonts w:ascii="GHEA Grapalat" w:eastAsia="Times New Roman" w:hAnsi="GHEA Grapalat" w:cs="Arial"/>
          <w:sz w:val="24"/>
          <w:szCs w:val="24"/>
          <w:lang w:val="hy-AM"/>
        </w:rPr>
        <w:t>։</w:t>
      </w:r>
    </w:p>
    <w:p w:rsidR="003C6888" w:rsidRPr="00942EC8" w:rsidRDefault="003C6888" w:rsidP="003C6888">
      <w:pPr>
        <w:spacing w:after="0" w:line="360" w:lineRule="auto"/>
        <w:ind w:firstLine="720"/>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Այս առումով առկա չէ միասնական դատական պրակտիկա։ Վերաքննիչ քաղաքացիական դատարանը մի շարք գործերով հայտնել է դիրքորոշում այն մասին, որ պարտապանի գույքի բացակայության մասին հայտարարությունը բավարար է և անհրաժեշտություն չկա պարտապանին պարտավորեցնել ներկայացնել իր գույքի կամ գույքային իրավունքների բացակայության մասին ապացույցներ, քանի որ քաղաքացիական շրջանառությունում գոյություն ունեն գույքի և գույքային իրավունքների բազմաթիվ տեսակներ, որոնցից յուրաքանչյուրի բացակայությունը հիմնավորելը ապացուցման անհամաչափ մեծ բեռ է դիմողի համար</w:t>
      </w:r>
      <w:r w:rsidRPr="00942EC8">
        <w:rPr>
          <w:rStyle w:val="FootnoteReference"/>
          <w:rFonts w:ascii="GHEA Grapalat" w:eastAsia="Times New Roman" w:hAnsi="GHEA Grapalat" w:cs="Arial"/>
          <w:sz w:val="24"/>
          <w:szCs w:val="24"/>
          <w:lang w:val="hy-AM"/>
        </w:rPr>
        <w:footnoteReference w:id="3"/>
      </w:r>
      <w:r w:rsidRPr="00942EC8">
        <w:rPr>
          <w:rFonts w:ascii="GHEA Grapalat" w:eastAsia="Times New Roman" w:hAnsi="GHEA Grapalat" w:cs="Arial"/>
          <w:sz w:val="24"/>
          <w:szCs w:val="24"/>
          <w:lang w:val="hy-AM"/>
        </w:rPr>
        <w:t>։</w:t>
      </w:r>
    </w:p>
    <w:p w:rsidR="003C6888" w:rsidRPr="00942EC8" w:rsidRDefault="003C6888" w:rsidP="003C6888">
      <w:pPr>
        <w:spacing w:after="0" w:line="360" w:lineRule="auto"/>
        <w:ind w:firstLine="720"/>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Վերոգրյալի հաշվառմամբ կարևոր է, որ նախևառաջ Օրենքը ձևակերպվի բավարար հստակությամբ, լինի կանխատեսելի որպիսի քաղաքացիական շրջանառության մասնակիցները հնարավորություն ունենան դրսևորել համապատասխան վարքագիծ։ Բացի այդ անհրաժեշտ է նաև ձեռնպահ մնալ պարտապաններին առանց անհրաժեշտության փաստաթղթեր ներկայացնելու պարտականությամբ ծանրաբեռնելով։</w:t>
      </w:r>
    </w:p>
    <w:p w:rsidR="003C6888" w:rsidRPr="00942EC8" w:rsidRDefault="003C6888" w:rsidP="003C6888">
      <w:pPr>
        <w:spacing w:after="0" w:line="360" w:lineRule="auto"/>
        <w:ind w:firstLine="720"/>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Նշվածի համատեքստում առաջարկվում է գույքի կամ գույքային իրավունքների նկատմամբ իրավունքը հավաստող փաստաթղթերի ներկայացման պահանջ սահմանել միայն պարտապանի մոտ գույքի կամ գույքային իրավունքների առկայության դեպքում։ Ընդ որում այդ դեպքում պարտապանը պարտավորություն կունենա նաև ներկայացնել գույքի արժեքի վերաբերյալ փորձագիտական եզրակացություն, ինչով կլուծվի նաև հետագայում՝ սնանկ ճանաչելու փուլում պարտապանի հաշվեկշռային անվճարունակությունը գնահատելու խնդիրը։</w:t>
      </w:r>
    </w:p>
    <w:p w:rsidR="003C6888" w:rsidRPr="00942EC8" w:rsidRDefault="003C6888" w:rsidP="003C6888">
      <w:pPr>
        <w:spacing w:after="0" w:line="360" w:lineRule="auto"/>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 xml:space="preserve">Գույքի կազմն ամբողջությամբ պարզելու նպատակով առաջարկվում է ֆիզիկական անձ պարտապանների համար սահմանել ամուսնության կամ դրա բացակայության վերաբերյալ </w:t>
      </w:r>
      <w:r w:rsidRPr="00942EC8">
        <w:rPr>
          <w:rFonts w:ascii="GHEA Grapalat" w:eastAsia="Times New Roman" w:hAnsi="GHEA Grapalat" w:cs="Arial"/>
          <w:sz w:val="24"/>
          <w:szCs w:val="24"/>
          <w:lang w:val="hy-AM"/>
        </w:rPr>
        <w:lastRenderedPageBreak/>
        <w:t>Քաղաքացիական կացության ակտերի գրանցման գործակալությունից ստացված տեղեկություններ (ապացույցներ) ներկայացնելու պահանջ։</w:t>
      </w:r>
    </w:p>
    <w:p w:rsidR="003C6888" w:rsidRPr="00942EC8" w:rsidRDefault="003C6888" w:rsidP="003C6888">
      <w:pPr>
        <w:spacing w:after="0" w:line="360" w:lineRule="auto"/>
        <w:ind w:firstLine="720"/>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Օրենքի 12-րդ հոդվածի 1-ին մասի ա ենթակետը սահմանում է պարտապանին սեփականության իրավունքով պատկանող գույքի ցանկի ներկայացման պահանջ։ Հարկ է նկատել, որ Օրենքի 54</w:t>
      </w:r>
      <w:r w:rsidRPr="00942EC8">
        <w:rPr>
          <w:rFonts w:ascii="Cambria Math" w:eastAsia="Times New Roman" w:hAnsi="Cambria Math" w:cs="Cambria Math"/>
          <w:sz w:val="24"/>
          <w:szCs w:val="24"/>
          <w:lang w:val="hy-AM"/>
        </w:rPr>
        <w:t>․</w:t>
      </w:r>
      <w:r w:rsidRPr="00942EC8">
        <w:rPr>
          <w:rFonts w:ascii="GHEA Grapalat" w:eastAsia="Times New Roman" w:hAnsi="GHEA Grapalat" w:cs="Arial"/>
          <w:sz w:val="24"/>
          <w:szCs w:val="24"/>
          <w:lang w:val="hy-AM"/>
        </w:rPr>
        <w:t>1 հոդվածի 3-րդ մասի հիմքով Արդարադատության նախարարի հրամանով հաստատվել է պարտապանի կողմից սնանկության գործով կառավարչին ներկայացվող` գույքի և գույքային իրավունքների կազմի, քանակի և գտնվելու վայրի վերաբերյալ հայտարարագրի ձևը։ Կարծում ենք, որ նույնանման կամ անգամ նույն ձևով հայտարարագրի ներկայացման պահանջը որոշակի և կանխատեսելի կդարձնի գույքի ցանկի ներկայացման մասով օրենսդրական պահանջը։</w:t>
      </w:r>
    </w:p>
    <w:p w:rsidR="003C6888" w:rsidRPr="00942EC8" w:rsidRDefault="003C6888" w:rsidP="003C6888">
      <w:pPr>
        <w:spacing w:after="0" w:line="360" w:lineRule="auto"/>
        <w:ind w:firstLine="720"/>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Բացի այդ պետք է նկատել, որ հայտարա</w:t>
      </w:r>
      <w:r w:rsidR="00BA4588" w:rsidRPr="00942EC8">
        <w:rPr>
          <w:rFonts w:ascii="GHEA Grapalat" w:eastAsia="Times New Roman" w:hAnsi="GHEA Grapalat" w:cs="Arial"/>
          <w:sz w:val="24"/>
          <w:szCs w:val="24"/>
          <w:lang w:val="hy-AM"/>
        </w:rPr>
        <w:t>րա</w:t>
      </w:r>
      <w:r w:rsidRPr="00942EC8">
        <w:rPr>
          <w:rFonts w:ascii="GHEA Grapalat" w:eastAsia="Times New Roman" w:hAnsi="GHEA Grapalat" w:cs="Arial"/>
          <w:sz w:val="24"/>
          <w:szCs w:val="24"/>
          <w:lang w:val="hy-AM"/>
        </w:rPr>
        <w:t>գրում կեղծ տեղեկատվության ներառումը քրեական օրենսգրքով պատժելի է, հետևաբար հայտարա</w:t>
      </w:r>
      <w:r w:rsidR="00BA4588" w:rsidRPr="00942EC8">
        <w:rPr>
          <w:rFonts w:ascii="GHEA Grapalat" w:eastAsia="Times New Roman" w:hAnsi="GHEA Grapalat" w:cs="Arial"/>
          <w:sz w:val="24"/>
          <w:szCs w:val="24"/>
          <w:lang w:val="hy-AM"/>
        </w:rPr>
        <w:t>րա</w:t>
      </w:r>
      <w:r w:rsidRPr="00942EC8">
        <w:rPr>
          <w:rFonts w:ascii="GHEA Grapalat" w:eastAsia="Times New Roman" w:hAnsi="GHEA Grapalat" w:cs="Arial"/>
          <w:sz w:val="24"/>
          <w:szCs w:val="24"/>
          <w:lang w:val="hy-AM"/>
        </w:rPr>
        <w:t>գրի ներկայացման պահանջը կստիպի պարտապաններին առավել պատասխանատու և հետևողական լինել իրենց գույքի և գույքային իրավունքների վերաբերյալ սնանկության դիմումին կից դատարանին ներկայացվող տեղեկատվության հարցում։</w:t>
      </w:r>
    </w:p>
    <w:p w:rsidR="003C6888" w:rsidRPr="00942EC8" w:rsidRDefault="003C6888" w:rsidP="003C6888">
      <w:pPr>
        <w:spacing w:after="0" w:line="360" w:lineRule="auto"/>
        <w:ind w:firstLine="720"/>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 xml:space="preserve"> Հետևաբար հայտարարագրի և գույքի կամ գույքային իրավունքների առկայության դեպքում դրանց նկատմամբ իրավունքը հավաստող փաստաթղթերի և գույքի գնահատման փորձագիտական եզրակացության ներկայացման պահանջները կապահովեն պարտապանի հաշվեկշռային անվճարունակության հատկանիշների պարզումը, ինչպես նաև գույքի բացակայության դեպքում դիմումատուները պարտավորություն չեն ունենա դիմել և պետական մարմիններից, Կենտրոնական դեպոզիտարիայից և առևտրային բանկերից ստանալ և դատարանին ներկայացնել գույքի բացակայության վերաբերյալ ապացույցներ։ Սա կխնայի ինչպես դիմումատուների, այնպես էլ վերոնշյալ մարմինների ժամանակը և միջոցները՝ հատկապես հաշվի առնելով, որ նույն մարմինները պարտապանի սնանկ ճանաչվելուց հետո պարտապանի գույքի և իրավունքների վերաբերյալ տեղեկատվությունը բոլոր դեպքերում ներկայացնում են Սնանկության դատարանին, հետևաբար պարտապանի կողմից </w:t>
      </w:r>
      <w:r w:rsidRPr="00942EC8">
        <w:rPr>
          <w:rFonts w:ascii="GHEA Grapalat" w:eastAsia="Times New Roman" w:hAnsi="GHEA Grapalat" w:cs="Arial"/>
          <w:sz w:val="24"/>
          <w:szCs w:val="24"/>
          <w:lang w:val="hy-AM"/>
        </w:rPr>
        <w:lastRenderedPageBreak/>
        <w:t>հայտարա</w:t>
      </w:r>
      <w:r w:rsidR="00BA4588" w:rsidRPr="00942EC8">
        <w:rPr>
          <w:rFonts w:ascii="GHEA Grapalat" w:eastAsia="Times New Roman" w:hAnsi="GHEA Grapalat" w:cs="Arial"/>
          <w:sz w:val="24"/>
          <w:szCs w:val="24"/>
          <w:lang w:val="hy-AM"/>
        </w:rPr>
        <w:t>րա</w:t>
      </w:r>
      <w:r w:rsidRPr="00942EC8">
        <w:rPr>
          <w:rFonts w:ascii="GHEA Grapalat" w:eastAsia="Times New Roman" w:hAnsi="GHEA Grapalat" w:cs="Arial"/>
          <w:sz w:val="24"/>
          <w:szCs w:val="24"/>
          <w:lang w:val="hy-AM"/>
        </w:rPr>
        <w:t>գրում կեղծ տեղեկությունների ներառումը անխուսափելիորեն բացահայտվելու է սնանկության վարույթի ընթացքում։</w:t>
      </w:r>
    </w:p>
    <w:p w:rsidR="00BC6264" w:rsidRPr="00942EC8" w:rsidRDefault="003A781B" w:rsidP="00BC6264">
      <w:pPr>
        <w:pStyle w:val="NormalWeb"/>
        <w:spacing w:before="0" w:beforeAutospacing="0" w:after="0" w:afterAutospacing="0" w:line="360" w:lineRule="auto"/>
        <w:ind w:firstLine="720"/>
        <w:jc w:val="both"/>
        <w:rPr>
          <w:rFonts w:ascii="GHEA Grapalat" w:hAnsi="GHEA Grapalat"/>
          <w:lang w:val="hy-AM"/>
        </w:rPr>
      </w:pPr>
      <w:r w:rsidRPr="00942EC8">
        <w:rPr>
          <w:rFonts w:ascii="GHEA Grapalat" w:hAnsi="GHEA Grapalat" w:cs="Arial"/>
          <w:lang w:val="hy-AM"/>
        </w:rPr>
        <w:t>3</w:t>
      </w:r>
      <w:r w:rsidRPr="00942EC8">
        <w:rPr>
          <w:rFonts w:ascii="Cambria Math" w:hAnsi="Cambria Math" w:cs="Cambria Math"/>
          <w:lang w:val="hy-AM"/>
        </w:rPr>
        <w:t>․</w:t>
      </w:r>
      <w:r w:rsidRPr="00942EC8">
        <w:rPr>
          <w:rFonts w:ascii="GHEA Grapalat" w:hAnsi="GHEA Grapalat" w:cs="Arial"/>
          <w:lang w:val="hy-AM"/>
        </w:rPr>
        <w:t xml:space="preserve"> </w:t>
      </w:r>
      <w:r w:rsidR="00BC6264" w:rsidRPr="00942EC8">
        <w:rPr>
          <w:rFonts w:ascii="GHEA Grapalat" w:hAnsi="GHEA Grapalat" w:cs="Arial"/>
          <w:color w:val="000000"/>
          <w:lang w:val="hy-AM"/>
        </w:rPr>
        <w:t>Գործող օրենսդրությամբ սահմանված չէ սնանկության վարույթի տևողության առավելագույն ժամկետ։ Սնանկության վարույթները տարբեր պատճառներով կարող են տևել տարիներ։ Արդյունքում հետաձգվում է պարտապանների ակտիվ տնտեսական շրջանառություն վերադարձը և ոչ կենսունակ բիզնեսի շրջանառությունից դուրսբերումը: Այս երևույթներն իրենց բացասական ազդեցությունն են ունենում տնտեսության վրա։</w:t>
      </w:r>
    </w:p>
    <w:p w:rsidR="00BC6264" w:rsidRPr="00942EC8" w:rsidRDefault="00BC6264" w:rsidP="00BC6264">
      <w:pPr>
        <w:spacing w:after="0" w:line="360" w:lineRule="auto"/>
        <w:ind w:firstLine="720"/>
        <w:jc w:val="both"/>
        <w:rPr>
          <w:rFonts w:ascii="GHEA Grapalat" w:eastAsia="Times New Roman" w:hAnsi="GHEA Grapalat" w:cs="Times New Roman"/>
          <w:sz w:val="24"/>
          <w:szCs w:val="24"/>
          <w:lang w:val="hy-AM"/>
        </w:rPr>
      </w:pPr>
      <w:r w:rsidRPr="00942EC8">
        <w:rPr>
          <w:rFonts w:ascii="GHEA Grapalat" w:eastAsia="Times New Roman" w:hAnsi="GHEA Grapalat" w:cs="Arial"/>
          <w:color w:val="000000"/>
          <w:sz w:val="24"/>
          <w:szCs w:val="24"/>
          <w:lang w:val="hy-AM"/>
        </w:rPr>
        <w:t>Ընդ որում եթե որոշ դեպքերում սնանկության վարույթի երկար տևողությունն ունենում է օբյեկտիվ հիմք՝ պայմանավորված վարույթի բարդությամբ, պարտատերերի քանակով, պարտապանի գույքի</w:t>
      </w:r>
      <w:r w:rsidRPr="00942EC8">
        <w:rPr>
          <w:rFonts w:ascii="Calibri" w:eastAsia="Times New Roman" w:hAnsi="Calibri" w:cs="Calibri"/>
          <w:color w:val="000000"/>
          <w:sz w:val="24"/>
          <w:szCs w:val="24"/>
          <w:lang w:val="hy-AM"/>
        </w:rPr>
        <w:t> </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մեծ</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ծավալով</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և</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այլն</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ապա</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մի</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շարք</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դեպքերում</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էլ</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վարույթի</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տևողությունը</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պայմանավորված</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է</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լինելում</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սնանկության</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գործով</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կառավարչի</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կամ</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դատարանի</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անգործությամբ։</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Խոսքը</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հատկապես</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առանց</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գույքի</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պարտապանների</w:t>
      </w:r>
      <w:r w:rsidRPr="00942EC8">
        <w:rPr>
          <w:rFonts w:ascii="GHEA Grapalat" w:eastAsia="Times New Roman" w:hAnsi="GHEA Grapalat" w:cs="Arial"/>
          <w:color w:val="000000"/>
          <w:sz w:val="24"/>
          <w:szCs w:val="24"/>
          <w:lang w:val="hy-AM"/>
        </w:rPr>
        <w:t xml:space="preserve"> </w:t>
      </w:r>
      <w:r w:rsidRPr="00942EC8">
        <w:rPr>
          <w:rFonts w:ascii="GHEA Grapalat" w:eastAsia="Times New Roman" w:hAnsi="GHEA Grapalat" w:cs="GHEA Grapalat"/>
          <w:color w:val="000000"/>
          <w:sz w:val="24"/>
          <w:szCs w:val="24"/>
          <w:lang w:val="hy-AM"/>
        </w:rPr>
        <w:t>ս</w:t>
      </w:r>
      <w:r w:rsidRPr="00942EC8">
        <w:rPr>
          <w:rFonts w:ascii="GHEA Grapalat" w:eastAsia="Times New Roman" w:hAnsi="GHEA Grapalat" w:cs="Arial"/>
          <w:color w:val="000000"/>
          <w:sz w:val="24"/>
          <w:szCs w:val="24"/>
          <w:lang w:val="hy-AM"/>
        </w:rPr>
        <w:t>նանկության վարույթի մասին է, որոնցով կառավարչի վարձատրությունը կախված չի լինում պարտապանի գույքի վաճառքից։ Հետևաբար մինչև Սնանկության նոր օրենսգրքի ընդունմամբ առավել համակարգային մեխանիզմների ներդրումը՝ առաջարկվում է սահմանել գույք չունեցող պարտապանների սնանկության վարույթի առավելագույն ժամկետ, որպիսի պայմաններում թե կառավարիչը և թե դատարանը սահմանափակված կլինեն օրենքով սահմանված ժամկետով, իսկ վերջիններիս կողմից ժամկետի խախտումը կհանգեցնի օրենքով սահմանված պատասխանատվության միջոցների կիրառման։</w:t>
      </w:r>
      <w:r w:rsidRPr="00942EC8">
        <w:rPr>
          <w:rFonts w:ascii="Calibri" w:eastAsia="Times New Roman" w:hAnsi="Calibri" w:cs="Calibri"/>
          <w:color w:val="000000"/>
          <w:sz w:val="24"/>
          <w:szCs w:val="24"/>
          <w:lang w:val="hy-AM"/>
        </w:rPr>
        <w:t> </w:t>
      </w:r>
    </w:p>
    <w:p w:rsidR="003C6888" w:rsidRPr="00942EC8" w:rsidRDefault="00BC6264" w:rsidP="00BC6264">
      <w:pPr>
        <w:spacing w:after="0" w:line="360" w:lineRule="auto"/>
        <w:ind w:firstLine="720"/>
        <w:jc w:val="both"/>
        <w:rPr>
          <w:rFonts w:ascii="GHEA Grapalat" w:eastAsia="Times New Roman" w:hAnsi="GHEA Grapalat" w:cs="Times New Roman"/>
          <w:sz w:val="24"/>
          <w:szCs w:val="24"/>
          <w:lang w:val="hy-AM"/>
        </w:rPr>
      </w:pPr>
      <w:r w:rsidRPr="00942EC8">
        <w:rPr>
          <w:rFonts w:ascii="GHEA Grapalat" w:eastAsia="Times New Roman" w:hAnsi="GHEA Grapalat" w:cs="Arial"/>
          <w:color w:val="000000"/>
          <w:sz w:val="24"/>
          <w:szCs w:val="24"/>
          <w:lang w:val="hy-AM"/>
        </w:rPr>
        <w:t>Նման կարգավորումը կբացառի գույք չունեցող պարտապանների սնանկության վարույթների անհարկի ձգձգումը, արդյունքում տնտեսությունը արագ կմաքրվի ոչ կենսունակ բիզնեսներից, իսկ ֆիզիկական անձինք ավելի արագ կվերադառնան ակտիվ տնտեսական շրջանառություն։</w:t>
      </w:r>
    </w:p>
    <w:p w:rsidR="003C6888" w:rsidRPr="00942EC8" w:rsidRDefault="003C6888" w:rsidP="00BC6264">
      <w:pPr>
        <w:spacing w:after="0" w:line="360" w:lineRule="auto"/>
        <w:ind w:firstLine="720"/>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4. Մեկ այլ խնդիր է պարտատիրոջ կողմից առանձին քաղաքացիական գործի շրջանակներում նախապես վճարված պետական տուրքի հարցը։</w:t>
      </w:r>
    </w:p>
    <w:p w:rsidR="003C6888" w:rsidRPr="00942EC8" w:rsidRDefault="003C6888" w:rsidP="003C6888">
      <w:pPr>
        <w:spacing w:after="0" w:line="360" w:lineRule="auto"/>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ab/>
        <w:t xml:space="preserve">Այսպես, եթե պատասխանողի դեմ հարուցված քաղաքացիական գործը կարճվում է վերջինիս սնանկ ճանաչված լինելու հիմքով, ապա հայցվորի կողմից քաղաքացիական գործի </w:t>
      </w:r>
      <w:r w:rsidRPr="00942EC8">
        <w:rPr>
          <w:rFonts w:ascii="GHEA Grapalat" w:eastAsia="Times New Roman" w:hAnsi="GHEA Grapalat" w:cs="Arial"/>
          <w:sz w:val="24"/>
          <w:szCs w:val="24"/>
          <w:lang w:val="hy-AM"/>
        </w:rPr>
        <w:lastRenderedPageBreak/>
        <w:t>քննության համար նախապես վճարված պետական տուրքի հարցի առնչությամբ պրակտիկայում չկա միատեսակ մոտեցում։</w:t>
      </w:r>
    </w:p>
    <w:p w:rsidR="003C6888" w:rsidRPr="00942EC8" w:rsidRDefault="003C6888" w:rsidP="003C6888">
      <w:pPr>
        <w:spacing w:after="0" w:line="360" w:lineRule="auto"/>
        <w:ind w:firstLine="720"/>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Այսպես, մի շարք գործերով դատարանները հիմք ընդունելով ՀՀ քաղաքացիական դատավարության օրենսգրքի 110-րդ հոդվածի 1-ին մասով սահմանված ընդհանուր կանոնը և հայցվորի կողմից պետական տուրքի գումարը նախապես վճարված լինելու պայմաններում  դատական ծախսերի հարցը համարել են լուծված</w:t>
      </w:r>
      <w:r w:rsidRPr="00942EC8">
        <w:rPr>
          <w:rStyle w:val="FootnoteReference"/>
          <w:rFonts w:ascii="GHEA Grapalat" w:eastAsia="Times New Roman" w:hAnsi="GHEA Grapalat" w:cs="Arial"/>
          <w:sz w:val="24"/>
          <w:szCs w:val="24"/>
          <w:lang w:val="hy-AM"/>
        </w:rPr>
        <w:footnoteReference w:id="4"/>
      </w:r>
      <w:r w:rsidRPr="00942EC8">
        <w:rPr>
          <w:rFonts w:ascii="GHEA Grapalat" w:eastAsia="Times New Roman" w:hAnsi="GHEA Grapalat" w:cs="Arial"/>
          <w:sz w:val="24"/>
          <w:szCs w:val="24"/>
          <w:lang w:val="hy-AM"/>
        </w:rPr>
        <w:t>։</w:t>
      </w:r>
    </w:p>
    <w:p w:rsidR="003C6888" w:rsidRPr="00942EC8" w:rsidRDefault="003C6888" w:rsidP="003C6888">
      <w:pPr>
        <w:spacing w:after="0" w:line="360" w:lineRule="auto"/>
        <w:ind w:firstLine="720"/>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Մեկ այլ դեպքում դատարանը կիրառել է «Պետական տուրքի մասին» ՀՀ օրենքի 38-րդ հոդվածի գ) կետը և հայցվորի կողմից պետական տուրքի գումարը նախապես վճարված լինելու պայմաններում վերադարձրել է պետական տուրքի գումարը</w:t>
      </w:r>
      <w:r w:rsidRPr="00942EC8">
        <w:rPr>
          <w:rStyle w:val="FootnoteReference"/>
          <w:rFonts w:ascii="GHEA Grapalat" w:eastAsia="Times New Roman" w:hAnsi="GHEA Grapalat" w:cs="Arial"/>
          <w:sz w:val="24"/>
          <w:szCs w:val="24"/>
          <w:lang w:val="hy-AM"/>
        </w:rPr>
        <w:footnoteReference w:id="5"/>
      </w:r>
      <w:r w:rsidRPr="00942EC8">
        <w:rPr>
          <w:rFonts w:ascii="GHEA Grapalat" w:eastAsia="Times New Roman" w:hAnsi="GHEA Grapalat" w:cs="Arial"/>
          <w:sz w:val="24"/>
          <w:szCs w:val="24"/>
          <w:lang w:val="hy-AM"/>
        </w:rPr>
        <w:t>։</w:t>
      </w:r>
    </w:p>
    <w:p w:rsidR="003C6888" w:rsidRPr="00942EC8" w:rsidRDefault="003C6888" w:rsidP="003C6888">
      <w:pPr>
        <w:spacing w:after="0" w:line="360" w:lineRule="auto"/>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ab/>
        <w:t>Ստացվում է, որ որոշ հայցվորներ քաղաքացիական գործով կայացված ակտով հետ են ստանում իրենց կողմից վճարված պետական տուրքի գումարը, որոշները՝ ոչ։</w:t>
      </w:r>
    </w:p>
    <w:p w:rsidR="003C6888" w:rsidRPr="00942EC8" w:rsidRDefault="003C6888" w:rsidP="003C6888">
      <w:pPr>
        <w:spacing w:after="0" w:line="360" w:lineRule="auto"/>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ab/>
        <w:t>Ընդ որում հարկ է նկատել, որ այն դեպքում, երբ դատարանը կիրառելով ՀՀ քաղաքացիական դատավարության օրենսգրքի 110-րդ հոդվածի 1-ին մասով սահմանված կարգավորումը պետական տուրքի հարցը համարի լուծված, ապա այդ դեպքում խնդրահարույց է դառնում պարտապանի սնանկության վարույթով այդ պետական տուրքի մասով պահանջի ներկայացումը, քանի որ առկա է լինում օրինական ուժի մեջ մտած դատական ակտ, որով պետական տուրքի հարցն արդեն իսկ լուծված է լինում, որպիսի պայմաններում Սնանկության դատարանը իրավական որոշակիության սկզբունքին համապատասխան չի կարող անդրադառնալ արդեն իսկ լուծված հարցին։ Ավելին, ՀՀ քաղաքացիական դատավարության օրենսգրքի 108-րդ հոդվածի 1-ին մասը իմպերատիվ սահմանում է, որ դատական ծախսերի հետ կապված պահանջները ներկայացվում են բացառապես տվյալ գործի շրջանակներում:</w:t>
      </w:r>
    </w:p>
    <w:p w:rsidR="003C6888" w:rsidRPr="00942EC8" w:rsidRDefault="003C6888" w:rsidP="003C6888">
      <w:pPr>
        <w:spacing w:after="0" w:line="360" w:lineRule="auto"/>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ab/>
        <w:t>Այսինքն հայցվորը իր կողմից վճարված գումարը ետ չի ստանում ոչ քաղաքացիական և ոչ էլ սնանկության գործի շրջանակներում։</w:t>
      </w:r>
    </w:p>
    <w:p w:rsidR="003C6888" w:rsidRPr="00942EC8" w:rsidRDefault="003C6888" w:rsidP="003C6888">
      <w:pPr>
        <w:spacing w:after="0" w:line="360" w:lineRule="auto"/>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ab/>
        <w:t xml:space="preserve">Հետևաբար ստացվում է, որ հայցվորը իր իրավունքների պաշտպանության նպատակով քաղաքացիական գործով դիմելով դատարան, ոչ միայն չի ստանում իր խնդիրը լուծող </w:t>
      </w:r>
      <w:r w:rsidRPr="00942EC8">
        <w:rPr>
          <w:rFonts w:ascii="GHEA Grapalat" w:eastAsia="Times New Roman" w:hAnsi="GHEA Grapalat" w:cs="Arial"/>
          <w:sz w:val="24"/>
          <w:szCs w:val="24"/>
          <w:lang w:val="hy-AM"/>
        </w:rPr>
        <w:lastRenderedPageBreak/>
        <w:t>դատական ակտ, այլ նաև չլուծված արդյունքով գործի քննության համար վճարում է պետական տուրքի գումար։</w:t>
      </w:r>
    </w:p>
    <w:p w:rsidR="003C6888" w:rsidRPr="00942EC8" w:rsidRDefault="003C6888" w:rsidP="003C6888">
      <w:pPr>
        <w:spacing w:after="0" w:line="360" w:lineRule="auto"/>
        <w:ind w:firstLine="720"/>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Նշվածի չի բխում պետական տուրքի գանձման նպատակից, դատական ծախսերի բաշխման հիմքում ընկած մեղավոր անձի պատասխանատվության և արդարության սկզբունքներից։</w:t>
      </w:r>
    </w:p>
    <w:p w:rsidR="003E1CAA" w:rsidRPr="00942EC8" w:rsidRDefault="003C6888" w:rsidP="003C6888">
      <w:pPr>
        <w:spacing w:after="0" w:line="360" w:lineRule="auto"/>
        <w:ind w:firstLine="700"/>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Հետևաբար առաջարակվում է պարատապանի սնանկության հիմքով վերջինիս մասնակցությամբ քաղաքացիական գործի վարույթը կարճելու դեպքում նախապես վճարված պետական տուրքի գումարը վերադարձնել հայցվորին։</w:t>
      </w:r>
    </w:p>
    <w:p w:rsidR="003C6888" w:rsidRPr="00942EC8" w:rsidRDefault="003C6888" w:rsidP="003C6888">
      <w:pPr>
        <w:spacing w:after="0" w:line="360" w:lineRule="auto"/>
        <w:rPr>
          <w:rFonts w:ascii="GHEA Grapalat" w:eastAsia="Times New Roman" w:hAnsi="GHEA Grapalat" w:cs="Arial"/>
          <w:sz w:val="24"/>
          <w:szCs w:val="24"/>
          <w:lang w:val="hy-AM"/>
        </w:rPr>
      </w:pPr>
    </w:p>
    <w:p w:rsidR="003E1CAA" w:rsidRPr="009932D7" w:rsidRDefault="003E1CAA" w:rsidP="009932D7">
      <w:pPr>
        <w:pStyle w:val="ListParagraph"/>
        <w:numPr>
          <w:ilvl w:val="0"/>
          <w:numId w:val="4"/>
        </w:numPr>
        <w:shd w:val="clear" w:color="auto" w:fill="FFFFFF"/>
        <w:spacing w:after="0" w:line="360" w:lineRule="auto"/>
        <w:jc w:val="both"/>
        <w:rPr>
          <w:rFonts w:ascii="GHEA Grapalat" w:eastAsia="Times New Roman" w:hAnsi="GHEA Grapalat" w:cs="Arial"/>
          <w:sz w:val="24"/>
          <w:szCs w:val="24"/>
          <w:lang w:val="hy-AM"/>
        </w:rPr>
      </w:pPr>
      <w:r w:rsidRPr="009932D7">
        <w:rPr>
          <w:rFonts w:ascii="GHEA Grapalat" w:eastAsia="Times New Roman" w:hAnsi="GHEA Grapalat" w:cs="Arial"/>
          <w:b/>
          <w:sz w:val="24"/>
          <w:szCs w:val="24"/>
          <w:lang w:val="hy-AM"/>
        </w:rPr>
        <w:t>Տվյալ բնագավառում իրականացվող քաղաքականությունը</w:t>
      </w:r>
      <w:r w:rsidRPr="009932D7">
        <w:rPr>
          <w:rFonts w:ascii="GHEA Grapalat" w:eastAsia="Times New Roman" w:hAnsi="GHEA Grapalat" w:cs="Arial"/>
          <w:sz w:val="24"/>
          <w:szCs w:val="24"/>
          <w:lang w:val="hy-AM"/>
        </w:rPr>
        <w:t>.</w:t>
      </w:r>
    </w:p>
    <w:p w:rsidR="009932D7" w:rsidRPr="009932D7" w:rsidRDefault="009932D7" w:rsidP="009932D7">
      <w:pPr>
        <w:pStyle w:val="ListParagraph"/>
        <w:shd w:val="clear" w:color="auto" w:fill="FFFFFF"/>
        <w:spacing w:after="0" w:line="360" w:lineRule="auto"/>
        <w:ind w:left="1080"/>
        <w:jc w:val="both"/>
        <w:rPr>
          <w:rFonts w:ascii="GHEA Grapalat" w:eastAsia="Times New Roman" w:hAnsi="GHEA Grapalat" w:cs="Arial"/>
          <w:sz w:val="24"/>
          <w:szCs w:val="24"/>
          <w:lang w:val="hy-AM"/>
        </w:rPr>
      </w:pPr>
    </w:p>
    <w:p w:rsidR="003E1CAA" w:rsidRPr="00942EC8" w:rsidRDefault="003E1CAA" w:rsidP="009932D7">
      <w:pPr>
        <w:shd w:val="clear" w:color="auto" w:fill="FFFFFF"/>
        <w:spacing w:after="0" w:line="360" w:lineRule="auto"/>
        <w:ind w:firstLine="360"/>
        <w:jc w:val="both"/>
        <w:rPr>
          <w:rFonts w:ascii="GHEA Grapalat" w:eastAsia="Times New Roman" w:hAnsi="GHEA Grapalat" w:cs="Arial"/>
          <w:sz w:val="24"/>
          <w:szCs w:val="24"/>
          <w:lang w:val="hy-AM"/>
        </w:rPr>
      </w:pPr>
      <w:r w:rsidRPr="00942EC8">
        <w:rPr>
          <w:rFonts w:ascii="GHEA Grapalat" w:eastAsia="Times New Roman" w:hAnsi="GHEA Grapalat" w:cs="Arial"/>
          <w:sz w:val="24"/>
          <w:szCs w:val="24"/>
          <w:lang w:val="hy-AM"/>
        </w:rPr>
        <w:t xml:space="preserve">Տվյալ ոլորտում իրականացվող քաղաքականության հստակեցման անհրաժեշտությունից ելնելով մշակվել է սույն Նախագիծը, որի ընդունումը կխթանի նախագծով կարգավորվող ոլոտներում </w:t>
      </w:r>
      <w:r w:rsidR="00BA4588" w:rsidRPr="00942EC8">
        <w:rPr>
          <w:rFonts w:ascii="GHEA Grapalat" w:eastAsia="Times New Roman" w:hAnsi="GHEA Grapalat" w:cs="Arial"/>
          <w:sz w:val="24"/>
          <w:szCs w:val="24"/>
          <w:lang w:val="hy-AM"/>
        </w:rPr>
        <w:t>«Սնանկության մ</w:t>
      </w:r>
      <w:r w:rsidR="009932D7">
        <w:rPr>
          <w:rFonts w:ascii="GHEA Grapalat" w:eastAsia="Times New Roman" w:hAnsi="GHEA Grapalat" w:cs="Arial"/>
          <w:sz w:val="24"/>
          <w:szCs w:val="24"/>
          <w:lang w:val="hy-AM"/>
        </w:rPr>
        <w:t>ասին» Հայաստանի Հանրապետության օ</w:t>
      </w:r>
      <w:r w:rsidR="00BA4588" w:rsidRPr="00942EC8">
        <w:rPr>
          <w:rFonts w:ascii="GHEA Grapalat" w:eastAsia="Times New Roman" w:hAnsi="GHEA Grapalat" w:cs="Arial"/>
          <w:sz w:val="24"/>
          <w:szCs w:val="24"/>
          <w:lang w:val="hy-AM"/>
        </w:rPr>
        <w:t>րենքի կարգավորումների հստակեցմանը, մասնավորապես տնտեսավարողների համար պարզ և կանխատեսելի իրավակարգավորումների սահմանմանը, ինչը կնպաստի սնանկության ինստիտուտի նկատմամբ վստահության բարձրացմանը</w:t>
      </w:r>
      <w:r w:rsidRPr="00942EC8">
        <w:rPr>
          <w:rFonts w:ascii="GHEA Grapalat" w:eastAsia="Times New Roman" w:hAnsi="GHEA Grapalat" w:cs="Arial"/>
          <w:sz w:val="24"/>
          <w:szCs w:val="24"/>
          <w:lang w:val="hy-AM"/>
        </w:rPr>
        <w:t>։</w:t>
      </w:r>
    </w:p>
    <w:p w:rsidR="003E1CAA" w:rsidRPr="00942EC8" w:rsidRDefault="003E1CAA" w:rsidP="003C6888">
      <w:pPr>
        <w:shd w:val="clear" w:color="auto" w:fill="FFFFFF"/>
        <w:spacing w:after="220" w:line="360" w:lineRule="auto"/>
        <w:jc w:val="both"/>
        <w:rPr>
          <w:rFonts w:ascii="GHEA Grapalat" w:eastAsia="Times New Roman" w:hAnsi="GHEA Grapalat" w:cs="Arial"/>
          <w:sz w:val="24"/>
          <w:szCs w:val="24"/>
          <w:lang w:val="hy-AM"/>
        </w:rPr>
      </w:pPr>
    </w:p>
    <w:p w:rsidR="003E1CAA" w:rsidRPr="00942EC8" w:rsidRDefault="003E1CAA" w:rsidP="003C6888">
      <w:pPr>
        <w:numPr>
          <w:ilvl w:val="0"/>
          <w:numId w:val="1"/>
        </w:numPr>
        <w:shd w:val="clear" w:color="auto" w:fill="FFFFFF"/>
        <w:spacing w:after="220" w:line="360" w:lineRule="auto"/>
        <w:textAlignment w:val="baseline"/>
        <w:rPr>
          <w:rFonts w:ascii="GHEA Grapalat" w:eastAsia="Times New Roman" w:hAnsi="GHEA Grapalat" w:cs="Arial"/>
          <w:sz w:val="24"/>
          <w:szCs w:val="24"/>
        </w:rPr>
      </w:pPr>
      <w:r w:rsidRPr="00942EC8">
        <w:rPr>
          <w:rFonts w:ascii="GHEA Grapalat" w:eastAsia="Times New Roman" w:hAnsi="GHEA Grapalat" w:cs="Arial"/>
          <w:b/>
          <w:bCs/>
          <w:sz w:val="24"/>
          <w:szCs w:val="24"/>
        </w:rPr>
        <w:t xml:space="preserve">4. </w:t>
      </w:r>
      <w:proofErr w:type="spellStart"/>
      <w:r w:rsidRPr="00942EC8">
        <w:rPr>
          <w:rFonts w:ascii="GHEA Grapalat" w:eastAsia="Times New Roman" w:hAnsi="GHEA Grapalat" w:cs="Arial"/>
          <w:b/>
          <w:bCs/>
          <w:sz w:val="24"/>
          <w:szCs w:val="24"/>
        </w:rPr>
        <w:t>Կարգավորման</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նպատակը</w:t>
      </w:r>
      <w:proofErr w:type="spellEnd"/>
      <w:r w:rsidRPr="00942EC8">
        <w:rPr>
          <w:rFonts w:ascii="GHEA Grapalat" w:eastAsia="Times New Roman" w:hAnsi="GHEA Grapalat" w:cs="Arial"/>
          <w:b/>
          <w:bCs/>
          <w:sz w:val="24"/>
          <w:szCs w:val="24"/>
        </w:rPr>
        <w:t xml:space="preserve"> և </w:t>
      </w:r>
      <w:proofErr w:type="spellStart"/>
      <w:r w:rsidRPr="00942EC8">
        <w:rPr>
          <w:rFonts w:ascii="GHEA Grapalat" w:eastAsia="Times New Roman" w:hAnsi="GHEA Grapalat" w:cs="Arial"/>
          <w:b/>
          <w:bCs/>
          <w:sz w:val="24"/>
          <w:szCs w:val="24"/>
        </w:rPr>
        <w:t>բնույթը</w:t>
      </w:r>
      <w:proofErr w:type="spellEnd"/>
    </w:p>
    <w:p w:rsidR="003C6888" w:rsidRPr="00942EC8" w:rsidRDefault="003C6888" w:rsidP="003C6888">
      <w:pPr>
        <w:spacing w:after="0" w:line="360" w:lineRule="auto"/>
        <w:jc w:val="both"/>
        <w:rPr>
          <w:rFonts w:ascii="GHEA Grapalat" w:eastAsia="Times New Roman" w:hAnsi="GHEA Grapalat" w:cs="Arial"/>
          <w:sz w:val="24"/>
          <w:szCs w:val="24"/>
        </w:rPr>
      </w:pPr>
      <w:proofErr w:type="spellStart"/>
      <w:r w:rsidRPr="00942EC8">
        <w:rPr>
          <w:rFonts w:ascii="GHEA Grapalat" w:eastAsia="Times New Roman" w:hAnsi="GHEA Grapalat" w:cs="Arial"/>
          <w:color w:val="000000"/>
          <w:sz w:val="24"/>
          <w:szCs w:val="24"/>
        </w:rPr>
        <w:t>Նախագծով</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առաջարկվում</w:t>
      </w:r>
      <w:proofErr w:type="spellEnd"/>
      <w:r w:rsidRPr="00942EC8">
        <w:rPr>
          <w:rFonts w:ascii="GHEA Grapalat" w:eastAsia="Times New Roman" w:hAnsi="GHEA Grapalat" w:cs="Arial"/>
          <w:color w:val="000000"/>
          <w:sz w:val="24"/>
          <w:szCs w:val="24"/>
        </w:rPr>
        <w:t xml:space="preserve"> է</w:t>
      </w:r>
      <w:r w:rsidRPr="00942EC8">
        <w:rPr>
          <w:rFonts w:ascii="Calibri" w:eastAsia="Times New Roman" w:hAnsi="Calibri" w:cs="Calibri"/>
          <w:color w:val="000000"/>
          <w:sz w:val="24"/>
          <w:szCs w:val="24"/>
        </w:rPr>
        <w:t>  </w:t>
      </w:r>
    </w:p>
    <w:p w:rsidR="003C6888" w:rsidRPr="00942EC8" w:rsidRDefault="003C6888" w:rsidP="003C6888">
      <w:pPr>
        <w:numPr>
          <w:ilvl w:val="0"/>
          <w:numId w:val="2"/>
        </w:numPr>
        <w:spacing w:after="0" w:line="360" w:lineRule="auto"/>
        <w:jc w:val="both"/>
        <w:textAlignment w:val="baseline"/>
        <w:rPr>
          <w:rFonts w:ascii="GHEA Grapalat" w:eastAsia="Times New Roman" w:hAnsi="GHEA Grapalat" w:cs="Arial"/>
          <w:color w:val="000000"/>
          <w:sz w:val="24"/>
          <w:szCs w:val="24"/>
        </w:rPr>
      </w:pPr>
      <w:proofErr w:type="spellStart"/>
      <w:r w:rsidRPr="00942EC8">
        <w:rPr>
          <w:rFonts w:ascii="GHEA Grapalat" w:eastAsia="Times New Roman" w:hAnsi="GHEA Grapalat" w:cs="Arial"/>
          <w:color w:val="000000"/>
          <w:sz w:val="24"/>
          <w:szCs w:val="24"/>
        </w:rPr>
        <w:t>Սահմանել</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սնանկ</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ճանաչելու</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դիմումը</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ետ</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վերցնելու</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հնարավորության</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ավելի</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երկար</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ժամկետներ</w:t>
      </w:r>
      <w:proofErr w:type="spellEnd"/>
      <w:r w:rsidRPr="00942EC8">
        <w:rPr>
          <w:rFonts w:ascii="GHEA Grapalat" w:eastAsia="Times New Roman" w:hAnsi="GHEA Grapalat" w:cs="Arial"/>
          <w:color w:val="000000"/>
          <w:sz w:val="24"/>
          <w:szCs w:val="24"/>
        </w:rPr>
        <w:t>։</w:t>
      </w:r>
    </w:p>
    <w:p w:rsidR="003C6888" w:rsidRPr="00942EC8" w:rsidRDefault="003C6888" w:rsidP="003C6888">
      <w:pPr>
        <w:numPr>
          <w:ilvl w:val="0"/>
          <w:numId w:val="2"/>
        </w:numPr>
        <w:spacing w:after="0" w:line="360" w:lineRule="auto"/>
        <w:jc w:val="both"/>
        <w:textAlignment w:val="baseline"/>
        <w:rPr>
          <w:rFonts w:ascii="GHEA Grapalat" w:eastAsia="Times New Roman" w:hAnsi="GHEA Grapalat" w:cs="Arial"/>
          <w:color w:val="000000"/>
          <w:sz w:val="24"/>
          <w:szCs w:val="24"/>
        </w:rPr>
      </w:pPr>
      <w:proofErr w:type="spellStart"/>
      <w:r w:rsidRPr="00942EC8">
        <w:rPr>
          <w:rFonts w:ascii="GHEA Grapalat" w:eastAsia="Times New Roman" w:hAnsi="GHEA Grapalat" w:cs="Arial"/>
          <w:color w:val="000000"/>
          <w:sz w:val="24"/>
          <w:szCs w:val="24"/>
        </w:rPr>
        <w:t>Սահմանել</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կամավոր</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սնանկության</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դիմումին</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կից</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պարտապանների</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կողմից</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ներկայացվող</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փաստաթղթերի</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հստակ</w:t>
      </w:r>
      <w:proofErr w:type="spellEnd"/>
      <w:r w:rsidRPr="00942EC8">
        <w:rPr>
          <w:rFonts w:ascii="GHEA Grapalat" w:eastAsia="Times New Roman" w:hAnsi="GHEA Grapalat" w:cs="Arial"/>
          <w:color w:val="000000"/>
          <w:sz w:val="24"/>
          <w:szCs w:val="24"/>
        </w:rPr>
        <w:t xml:space="preserve"> և </w:t>
      </w:r>
      <w:proofErr w:type="spellStart"/>
      <w:r w:rsidRPr="00942EC8">
        <w:rPr>
          <w:rFonts w:ascii="GHEA Grapalat" w:eastAsia="Times New Roman" w:hAnsi="GHEA Grapalat" w:cs="Arial"/>
          <w:color w:val="000000"/>
          <w:sz w:val="24"/>
          <w:szCs w:val="24"/>
        </w:rPr>
        <w:t>սպառիչ</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ցանկ</w:t>
      </w:r>
      <w:proofErr w:type="spellEnd"/>
      <w:r w:rsidRPr="00942EC8">
        <w:rPr>
          <w:rFonts w:ascii="GHEA Grapalat" w:eastAsia="Times New Roman" w:hAnsi="GHEA Grapalat" w:cs="Arial"/>
          <w:color w:val="000000"/>
          <w:sz w:val="24"/>
          <w:szCs w:val="24"/>
        </w:rPr>
        <w:t>։</w:t>
      </w:r>
    </w:p>
    <w:p w:rsidR="00BC6264" w:rsidRPr="00942EC8" w:rsidRDefault="00BC6264" w:rsidP="003C6888">
      <w:pPr>
        <w:numPr>
          <w:ilvl w:val="0"/>
          <w:numId w:val="2"/>
        </w:numPr>
        <w:spacing w:after="0" w:line="360" w:lineRule="auto"/>
        <w:jc w:val="both"/>
        <w:textAlignment w:val="baseline"/>
        <w:rPr>
          <w:rFonts w:ascii="GHEA Grapalat" w:eastAsia="Times New Roman" w:hAnsi="GHEA Grapalat" w:cs="Arial"/>
          <w:color w:val="000000"/>
          <w:sz w:val="24"/>
          <w:szCs w:val="24"/>
        </w:rPr>
      </w:pPr>
      <w:r w:rsidRPr="00942EC8">
        <w:rPr>
          <w:rFonts w:ascii="GHEA Grapalat" w:eastAsia="Times New Roman" w:hAnsi="GHEA Grapalat" w:cs="Arial"/>
          <w:color w:val="000000"/>
          <w:sz w:val="24"/>
          <w:szCs w:val="24"/>
          <w:lang w:val="hy-AM"/>
        </w:rPr>
        <w:t>Սահմանել առանց գույքի սնանկության վարույթների տևողության առավելագույն ժամկետ։</w:t>
      </w:r>
    </w:p>
    <w:p w:rsidR="003C6888" w:rsidRPr="00942EC8" w:rsidRDefault="003C6888" w:rsidP="003C6888">
      <w:pPr>
        <w:numPr>
          <w:ilvl w:val="0"/>
          <w:numId w:val="2"/>
        </w:numPr>
        <w:spacing w:after="0" w:line="360" w:lineRule="auto"/>
        <w:jc w:val="both"/>
        <w:textAlignment w:val="baseline"/>
        <w:rPr>
          <w:rFonts w:ascii="GHEA Grapalat" w:eastAsia="Times New Roman" w:hAnsi="GHEA Grapalat" w:cs="Arial"/>
          <w:color w:val="000000"/>
          <w:sz w:val="24"/>
          <w:szCs w:val="24"/>
        </w:rPr>
      </w:pPr>
      <w:proofErr w:type="spellStart"/>
      <w:r w:rsidRPr="00942EC8">
        <w:rPr>
          <w:rFonts w:ascii="GHEA Grapalat" w:eastAsia="Times New Roman" w:hAnsi="GHEA Grapalat" w:cs="Arial"/>
          <w:color w:val="000000"/>
          <w:sz w:val="24"/>
          <w:szCs w:val="24"/>
        </w:rPr>
        <w:lastRenderedPageBreak/>
        <w:t>Պետական</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տուրքի</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գումարը</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վերադարձնել</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եթե</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քաղաքացիական</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գործի</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վարույթը</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կարճվել</w:t>
      </w:r>
      <w:proofErr w:type="spellEnd"/>
      <w:r w:rsidRPr="00942EC8">
        <w:rPr>
          <w:rFonts w:ascii="GHEA Grapalat" w:eastAsia="Times New Roman" w:hAnsi="GHEA Grapalat" w:cs="Arial"/>
          <w:color w:val="000000"/>
          <w:sz w:val="24"/>
          <w:szCs w:val="24"/>
        </w:rPr>
        <w:t xml:space="preserve"> է </w:t>
      </w:r>
      <w:proofErr w:type="spellStart"/>
      <w:r w:rsidRPr="00942EC8">
        <w:rPr>
          <w:rFonts w:ascii="GHEA Grapalat" w:eastAsia="Times New Roman" w:hAnsi="GHEA Grapalat" w:cs="Arial"/>
          <w:color w:val="000000"/>
          <w:sz w:val="24"/>
          <w:szCs w:val="24"/>
        </w:rPr>
        <w:t>պատասխանողի</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սնանկ</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ճանաչված</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լինելու</w:t>
      </w:r>
      <w:proofErr w:type="spellEnd"/>
      <w:r w:rsidRPr="00942EC8">
        <w:rPr>
          <w:rFonts w:ascii="GHEA Grapalat" w:eastAsia="Times New Roman" w:hAnsi="GHEA Grapalat" w:cs="Arial"/>
          <w:color w:val="000000"/>
          <w:sz w:val="24"/>
          <w:szCs w:val="24"/>
        </w:rPr>
        <w:t xml:space="preserve"> </w:t>
      </w:r>
      <w:proofErr w:type="spellStart"/>
      <w:r w:rsidRPr="00942EC8">
        <w:rPr>
          <w:rFonts w:ascii="GHEA Grapalat" w:eastAsia="Times New Roman" w:hAnsi="GHEA Grapalat" w:cs="Arial"/>
          <w:color w:val="000000"/>
          <w:sz w:val="24"/>
          <w:szCs w:val="24"/>
        </w:rPr>
        <w:t>հիմքով</w:t>
      </w:r>
      <w:proofErr w:type="spellEnd"/>
      <w:r w:rsidRPr="00942EC8">
        <w:rPr>
          <w:rFonts w:ascii="GHEA Grapalat" w:eastAsia="Times New Roman" w:hAnsi="GHEA Grapalat" w:cs="Arial"/>
          <w:color w:val="000000"/>
          <w:sz w:val="24"/>
          <w:szCs w:val="24"/>
        </w:rPr>
        <w:t>։</w:t>
      </w:r>
    </w:p>
    <w:p w:rsidR="003E1CAA" w:rsidRPr="00942EC8" w:rsidRDefault="003E1CAA" w:rsidP="003C6888">
      <w:pPr>
        <w:spacing w:after="0" w:line="360" w:lineRule="auto"/>
        <w:rPr>
          <w:rFonts w:ascii="GHEA Grapalat" w:eastAsia="Times New Roman" w:hAnsi="GHEA Grapalat" w:cs="Arial"/>
          <w:sz w:val="24"/>
          <w:szCs w:val="24"/>
        </w:rPr>
      </w:pPr>
    </w:p>
    <w:p w:rsidR="003E1CAA" w:rsidRPr="00942EC8" w:rsidRDefault="003E1CAA" w:rsidP="003C6888">
      <w:pPr>
        <w:shd w:val="clear" w:color="auto" w:fill="FFFFFF"/>
        <w:spacing w:after="0" w:line="360" w:lineRule="auto"/>
        <w:ind w:firstLine="720"/>
        <w:jc w:val="both"/>
        <w:rPr>
          <w:rFonts w:ascii="GHEA Grapalat" w:eastAsia="Times New Roman" w:hAnsi="GHEA Grapalat" w:cs="Arial"/>
          <w:sz w:val="24"/>
          <w:szCs w:val="24"/>
        </w:rPr>
      </w:pPr>
      <w:r w:rsidRPr="00942EC8">
        <w:rPr>
          <w:rFonts w:ascii="GHEA Grapalat" w:eastAsia="Times New Roman" w:hAnsi="GHEA Grapalat" w:cs="Arial"/>
          <w:b/>
          <w:bCs/>
          <w:sz w:val="24"/>
          <w:szCs w:val="24"/>
        </w:rPr>
        <w:t xml:space="preserve">5. </w:t>
      </w:r>
      <w:proofErr w:type="spellStart"/>
      <w:r w:rsidRPr="00942EC8">
        <w:rPr>
          <w:rFonts w:ascii="GHEA Grapalat" w:eastAsia="Times New Roman" w:hAnsi="GHEA Grapalat" w:cs="Arial"/>
          <w:b/>
          <w:bCs/>
          <w:sz w:val="24"/>
          <w:szCs w:val="24"/>
        </w:rPr>
        <w:t>Նախագծի</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մշակման</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գործընթացում</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ներգրավված</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ինստիտուտները</w:t>
      </w:r>
      <w:proofErr w:type="spellEnd"/>
      <w:r w:rsidRPr="00942EC8">
        <w:rPr>
          <w:rFonts w:ascii="GHEA Grapalat" w:eastAsia="Times New Roman" w:hAnsi="GHEA Grapalat" w:cs="Arial"/>
          <w:b/>
          <w:bCs/>
          <w:sz w:val="24"/>
          <w:szCs w:val="24"/>
        </w:rPr>
        <w:t xml:space="preserve"> և </w:t>
      </w:r>
      <w:proofErr w:type="spellStart"/>
      <w:r w:rsidRPr="00942EC8">
        <w:rPr>
          <w:rFonts w:ascii="GHEA Grapalat" w:eastAsia="Times New Roman" w:hAnsi="GHEA Grapalat" w:cs="Arial"/>
          <w:b/>
          <w:bCs/>
          <w:sz w:val="24"/>
          <w:szCs w:val="24"/>
        </w:rPr>
        <w:t>անձինք</w:t>
      </w:r>
      <w:proofErr w:type="spellEnd"/>
      <w:r w:rsidRPr="00942EC8">
        <w:rPr>
          <w:rFonts w:ascii="Calibri" w:eastAsia="Times New Roman" w:hAnsi="Calibri" w:cs="Calibri"/>
          <w:sz w:val="24"/>
          <w:szCs w:val="24"/>
        </w:rPr>
        <w:t> </w:t>
      </w:r>
    </w:p>
    <w:p w:rsidR="003E1CAA" w:rsidRPr="00942EC8" w:rsidRDefault="003E1CAA" w:rsidP="003C6888">
      <w:pPr>
        <w:shd w:val="clear" w:color="auto" w:fill="FFFFFF"/>
        <w:spacing w:after="0" w:line="360" w:lineRule="auto"/>
        <w:jc w:val="both"/>
        <w:rPr>
          <w:rFonts w:ascii="GHEA Grapalat" w:eastAsia="Times New Roman" w:hAnsi="GHEA Grapalat" w:cs="Arial"/>
          <w:sz w:val="24"/>
          <w:szCs w:val="24"/>
        </w:rPr>
      </w:pPr>
      <w:r w:rsidRPr="00942EC8">
        <w:rPr>
          <w:rFonts w:ascii="Calibri" w:eastAsia="Times New Roman" w:hAnsi="Calibri" w:cs="Calibri"/>
          <w:sz w:val="24"/>
          <w:szCs w:val="24"/>
        </w:rPr>
        <w:t> </w:t>
      </w:r>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Սույն</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նախագծերը</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մշակվել</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են</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Էկոնոմիկայի</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նախարարության</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կողմից</w:t>
      </w:r>
      <w:proofErr w:type="spellEnd"/>
      <w:r w:rsidRPr="00942EC8">
        <w:rPr>
          <w:rFonts w:ascii="GHEA Grapalat" w:eastAsia="Times New Roman" w:hAnsi="GHEA Grapalat" w:cs="GHEA Grapalat"/>
          <w:sz w:val="24"/>
          <w:szCs w:val="24"/>
        </w:rPr>
        <w:t>՝</w:t>
      </w:r>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մասնավոր</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հատվածի</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առաջարկությունների</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հիման</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վրա</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Նախագծի</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մ</w:t>
      </w:r>
      <w:r w:rsidRPr="00942EC8">
        <w:rPr>
          <w:rFonts w:ascii="GHEA Grapalat" w:eastAsia="Times New Roman" w:hAnsi="GHEA Grapalat" w:cs="Arial"/>
          <w:sz w:val="24"/>
          <w:szCs w:val="24"/>
        </w:rPr>
        <w:t>շակմանն</w:t>
      </w:r>
      <w:proofErr w:type="spellEnd"/>
      <w:r w:rsidRPr="00942EC8">
        <w:rPr>
          <w:rFonts w:ascii="GHEA Grapalat" w:eastAsia="Times New Roman" w:hAnsi="GHEA Grapalat" w:cs="Arial"/>
          <w:sz w:val="24"/>
          <w:szCs w:val="24"/>
        </w:rPr>
        <w:t xml:space="preserve"> </w:t>
      </w:r>
      <w:proofErr w:type="spellStart"/>
      <w:proofErr w:type="gramStart"/>
      <w:r w:rsidRPr="00942EC8">
        <w:rPr>
          <w:rFonts w:ascii="GHEA Grapalat" w:eastAsia="Times New Roman" w:hAnsi="GHEA Grapalat" w:cs="Arial"/>
          <w:sz w:val="24"/>
          <w:szCs w:val="24"/>
        </w:rPr>
        <w:t>այլ</w:t>
      </w:r>
      <w:proofErr w:type="spellEnd"/>
      <w:r w:rsidRPr="00942EC8">
        <w:rPr>
          <w:rFonts w:ascii="Calibri" w:eastAsia="Times New Roman" w:hAnsi="Calibri" w:cs="Calibri"/>
          <w:sz w:val="24"/>
          <w:szCs w:val="24"/>
        </w:rPr>
        <w:t> </w:t>
      </w:r>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ինստիտուտներ</w:t>
      </w:r>
      <w:proofErr w:type="spellEnd"/>
      <w:proofErr w:type="gramEnd"/>
      <w:r w:rsidRPr="00942EC8">
        <w:rPr>
          <w:rFonts w:ascii="GHEA Grapalat" w:eastAsia="Times New Roman" w:hAnsi="GHEA Grapalat" w:cs="Arial"/>
          <w:sz w:val="24"/>
          <w:szCs w:val="24"/>
        </w:rPr>
        <w:t xml:space="preserve"> </w:t>
      </w:r>
      <w:r w:rsidRPr="00942EC8">
        <w:rPr>
          <w:rFonts w:ascii="GHEA Grapalat" w:eastAsia="Times New Roman" w:hAnsi="GHEA Grapalat" w:cs="GHEA Grapalat"/>
          <w:sz w:val="24"/>
          <w:szCs w:val="24"/>
        </w:rPr>
        <w:t>և</w:t>
      </w:r>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անձինք</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չեն</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GHEA Grapalat"/>
          <w:sz w:val="24"/>
          <w:szCs w:val="24"/>
        </w:rPr>
        <w:t>մասնակցել</w:t>
      </w:r>
      <w:proofErr w:type="spellEnd"/>
      <w:r w:rsidRPr="00942EC8">
        <w:rPr>
          <w:rFonts w:ascii="GHEA Grapalat" w:eastAsia="Times New Roman" w:hAnsi="GHEA Grapalat" w:cs="Arial"/>
          <w:sz w:val="24"/>
          <w:szCs w:val="24"/>
        </w:rPr>
        <w:t>:</w:t>
      </w:r>
    </w:p>
    <w:p w:rsidR="003E1CAA" w:rsidRPr="00942EC8" w:rsidRDefault="003E1CAA" w:rsidP="003C6888">
      <w:pPr>
        <w:shd w:val="clear" w:color="auto" w:fill="FFFFFF"/>
        <w:spacing w:after="220" w:line="360" w:lineRule="auto"/>
        <w:jc w:val="both"/>
        <w:rPr>
          <w:rFonts w:ascii="GHEA Grapalat" w:eastAsia="Times New Roman" w:hAnsi="GHEA Grapalat" w:cs="Arial"/>
          <w:sz w:val="24"/>
          <w:szCs w:val="24"/>
        </w:rPr>
      </w:pPr>
    </w:p>
    <w:p w:rsidR="003E1CAA" w:rsidRDefault="003E1CAA" w:rsidP="00942EC8">
      <w:pPr>
        <w:shd w:val="clear" w:color="auto" w:fill="FFFFFF"/>
        <w:spacing w:after="0" w:line="360" w:lineRule="auto"/>
        <w:ind w:firstLine="720"/>
        <w:jc w:val="both"/>
        <w:rPr>
          <w:rFonts w:ascii="GHEA Grapalat" w:eastAsia="Times New Roman" w:hAnsi="GHEA Grapalat" w:cs="Arial"/>
          <w:b/>
          <w:bCs/>
          <w:sz w:val="24"/>
          <w:szCs w:val="24"/>
        </w:rPr>
      </w:pPr>
      <w:r w:rsidRPr="00942EC8">
        <w:rPr>
          <w:rFonts w:ascii="GHEA Grapalat" w:eastAsia="Times New Roman" w:hAnsi="GHEA Grapalat" w:cs="Arial"/>
          <w:b/>
          <w:bCs/>
          <w:sz w:val="24"/>
          <w:szCs w:val="24"/>
        </w:rPr>
        <w:t xml:space="preserve">6. </w:t>
      </w:r>
      <w:proofErr w:type="spellStart"/>
      <w:r w:rsidRPr="00942EC8">
        <w:rPr>
          <w:rFonts w:ascii="GHEA Grapalat" w:eastAsia="Times New Roman" w:hAnsi="GHEA Grapalat" w:cs="Arial"/>
          <w:b/>
          <w:bCs/>
          <w:sz w:val="24"/>
          <w:szCs w:val="24"/>
        </w:rPr>
        <w:t>Ակնկալվող</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արդյունքը</w:t>
      </w:r>
      <w:proofErr w:type="spellEnd"/>
    </w:p>
    <w:p w:rsidR="009932D7" w:rsidRPr="00942EC8" w:rsidRDefault="009932D7" w:rsidP="00942EC8">
      <w:pPr>
        <w:shd w:val="clear" w:color="auto" w:fill="FFFFFF"/>
        <w:spacing w:after="0" w:line="360" w:lineRule="auto"/>
        <w:ind w:firstLine="720"/>
        <w:jc w:val="both"/>
        <w:rPr>
          <w:rFonts w:ascii="GHEA Grapalat" w:eastAsia="Times New Roman" w:hAnsi="GHEA Grapalat" w:cs="Arial"/>
          <w:b/>
          <w:bCs/>
          <w:sz w:val="24"/>
          <w:szCs w:val="24"/>
        </w:rPr>
      </w:pPr>
    </w:p>
    <w:p w:rsidR="003C6888" w:rsidRPr="00FE027D" w:rsidRDefault="003C6888" w:rsidP="003C6888">
      <w:pPr>
        <w:pStyle w:val="NormalWeb"/>
        <w:shd w:val="clear" w:color="auto" w:fill="FFFFFF"/>
        <w:spacing w:before="0" w:beforeAutospacing="0" w:after="220" w:afterAutospacing="0" w:line="360" w:lineRule="auto"/>
        <w:ind w:firstLine="360"/>
        <w:jc w:val="both"/>
        <w:rPr>
          <w:rFonts w:ascii="GHEA Grapalat" w:hAnsi="GHEA Grapalat" w:cs="Arial"/>
          <w:lang w:val="hy-AM"/>
        </w:rPr>
      </w:pPr>
      <w:proofErr w:type="spellStart"/>
      <w:r w:rsidRPr="00942EC8">
        <w:rPr>
          <w:rFonts w:ascii="GHEA Grapalat" w:hAnsi="GHEA Grapalat" w:cs="Arial"/>
        </w:rPr>
        <w:t>Նախագծի</w:t>
      </w:r>
      <w:proofErr w:type="spellEnd"/>
      <w:r w:rsidRPr="00942EC8">
        <w:rPr>
          <w:rFonts w:ascii="GHEA Grapalat" w:hAnsi="GHEA Grapalat" w:cs="Arial"/>
        </w:rPr>
        <w:t xml:space="preserve"> </w:t>
      </w:r>
      <w:proofErr w:type="spellStart"/>
      <w:r w:rsidRPr="00942EC8">
        <w:rPr>
          <w:rFonts w:ascii="GHEA Grapalat" w:hAnsi="GHEA Grapalat" w:cs="Arial"/>
        </w:rPr>
        <w:t>ընդունման</w:t>
      </w:r>
      <w:proofErr w:type="spellEnd"/>
      <w:r w:rsidRPr="00942EC8">
        <w:rPr>
          <w:rFonts w:ascii="GHEA Grapalat" w:hAnsi="GHEA Grapalat" w:cs="Arial"/>
        </w:rPr>
        <w:t xml:space="preserve"> </w:t>
      </w:r>
      <w:proofErr w:type="spellStart"/>
      <w:r w:rsidRPr="00942EC8">
        <w:rPr>
          <w:rFonts w:ascii="GHEA Grapalat" w:hAnsi="GHEA Grapalat" w:cs="Arial"/>
        </w:rPr>
        <w:t>արդյունքում</w:t>
      </w:r>
      <w:proofErr w:type="spellEnd"/>
      <w:r w:rsidR="009932D7">
        <w:rPr>
          <w:rFonts w:ascii="GHEA Grapalat" w:hAnsi="GHEA Grapalat" w:cs="Arial"/>
          <w:lang w:val="hy-AM"/>
        </w:rPr>
        <w:t xml:space="preserve"> ակնկալվում է ապահովել գույք չունեցող սնանկ ճանաչված ֆիզիկական անձանց ավելի արագ վերադարձը ակտիվ տնտեսական շրջանառություն,</w:t>
      </w:r>
      <w:r w:rsidRPr="00942EC8">
        <w:rPr>
          <w:rFonts w:ascii="GHEA Grapalat" w:hAnsi="GHEA Grapalat" w:cs="Arial"/>
        </w:rPr>
        <w:t xml:space="preserve"> </w:t>
      </w:r>
      <w:r w:rsidR="009932D7">
        <w:rPr>
          <w:rFonts w:ascii="GHEA Grapalat" w:hAnsi="GHEA Grapalat" w:cs="Arial"/>
          <w:lang w:val="hy-AM"/>
        </w:rPr>
        <w:t>և ոչ կենսունակ բիզնեսների արագ դուրսբերում</w:t>
      </w:r>
      <w:r w:rsidR="00FE027D">
        <w:rPr>
          <w:rFonts w:ascii="GHEA Grapalat" w:hAnsi="GHEA Grapalat" w:cs="Arial"/>
          <w:lang w:val="hy-AM"/>
        </w:rPr>
        <w:t xml:space="preserve">ը տնտեսությունից։ Նախագծով </w:t>
      </w:r>
      <w:bookmarkStart w:id="0" w:name="_GoBack"/>
      <w:bookmarkEnd w:id="0"/>
      <w:r w:rsidRPr="00FE027D">
        <w:rPr>
          <w:rFonts w:ascii="GHEA Grapalat" w:hAnsi="GHEA Grapalat" w:cs="Arial"/>
          <w:lang w:val="hy-AM"/>
        </w:rPr>
        <w:t>կվերացվեն կամավոր սնանկության դիմումների և պետական տուրքի մասով կարգավորումների անհստակությունները, ինչը կնպաստի այդ ոլորտում միատեսակ պրակտիկայի ձևավորմանը, ինչպես նաև սնանկության գործընթացը պարզ և կանխատեսելի կդարձնի տնտեսավարողների համար, ինչը կնպաստի սնանկության ինստիտուտի նկատմամբ վստահության բարձրացմանը, ինչպես նաև այդ ոլորտում հնարավոր կոռուպցիոն ռիսկերի կանխմանը։</w:t>
      </w:r>
    </w:p>
    <w:p w:rsidR="003E1CAA" w:rsidRPr="00FE027D" w:rsidRDefault="003E1CAA" w:rsidP="003C6888">
      <w:pPr>
        <w:shd w:val="clear" w:color="auto" w:fill="FFFFFF"/>
        <w:spacing w:after="0" w:line="360" w:lineRule="auto"/>
        <w:ind w:firstLine="720"/>
        <w:jc w:val="both"/>
        <w:rPr>
          <w:rFonts w:ascii="GHEA Grapalat" w:eastAsia="Times New Roman" w:hAnsi="GHEA Grapalat" w:cs="Arial"/>
          <w:sz w:val="24"/>
          <w:szCs w:val="24"/>
          <w:lang w:val="hy-AM"/>
        </w:rPr>
      </w:pPr>
    </w:p>
    <w:p w:rsidR="003E1CAA" w:rsidRPr="00942EC8" w:rsidRDefault="003E1CAA" w:rsidP="003C6888">
      <w:pPr>
        <w:shd w:val="clear" w:color="auto" w:fill="FFFFFF"/>
        <w:spacing w:after="0" w:line="360" w:lineRule="auto"/>
        <w:ind w:firstLine="720"/>
        <w:jc w:val="both"/>
        <w:rPr>
          <w:rFonts w:ascii="GHEA Grapalat" w:eastAsia="Times New Roman" w:hAnsi="GHEA Grapalat" w:cs="Arial"/>
          <w:sz w:val="24"/>
          <w:szCs w:val="24"/>
        </w:rPr>
      </w:pPr>
      <w:r w:rsidRPr="00942EC8">
        <w:rPr>
          <w:rFonts w:ascii="GHEA Grapalat" w:eastAsia="Times New Roman" w:hAnsi="GHEA Grapalat" w:cs="Arial"/>
          <w:b/>
          <w:bCs/>
          <w:sz w:val="24"/>
          <w:szCs w:val="24"/>
        </w:rPr>
        <w:t xml:space="preserve">7. </w:t>
      </w:r>
      <w:proofErr w:type="spellStart"/>
      <w:r w:rsidRPr="00942EC8">
        <w:rPr>
          <w:rFonts w:ascii="GHEA Grapalat" w:eastAsia="Times New Roman" w:hAnsi="GHEA Grapalat" w:cs="Arial"/>
          <w:b/>
          <w:bCs/>
          <w:sz w:val="24"/>
          <w:szCs w:val="24"/>
        </w:rPr>
        <w:t>Ներկայացվող</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հարցի</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կապակցությամբ</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լրացուցիչ</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ֆինանսական</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միջոցների</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անհրաժեշտությունը</w:t>
      </w:r>
      <w:proofErr w:type="spellEnd"/>
      <w:r w:rsidRPr="00942EC8">
        <w:rPr>
          <w:rFonts w:ascii="GHEA Grapalat" w:eastAsia="Times New Roman" w:hAnsi="GHEA Grapalat" w:cs="Arial"/>
          <w:b/>
          <w:bCs/>
          <w:sz w:val="24"/>
          <w:szCs w:val="24"/>
        </w:rPr>
        <w:t xml:space="preserve"> և </w:t>
      </w:r>
      <w:proofErr w:type="spellStart"/>
      <w:r w:rsidRPr="00942EC8">
        <w:rPr>
          <w:rFonts w:ascii="GHEA Grapalat" w:eastAsia="Times New Roman" w:hAnsi="GHEA Grapalat" w:cs="Arial"/>
          <w:b/>
          <w:bCs/>
          <w:sz w:val="24"/>
          <w:szCs w:val="24"/>
        </w:rPr>
        <w:t>Հայաստանի</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Հանրապետության</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պետական</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բյուջեի</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եկամուտներում</w:t>
      </w:r>
      <w:proofErr w:type="spellEnd"/>
      <w:r w:rsidRPr="00942EC8">
        <w:rPr>
          <w:rFonts w:ascii="GHEA Grapalat" w:eastAsia="Times New Roman" w:hAnsi="GHEA Grapalat" w:cs="Arial"/>
          <w:b/>
          <w:bCs/>
          <w:sz w:val="24"/>
          <w:szCs w:val="24"/>
        </w:rPr>
        <w:t xml:space="preserve"> և </w:t>
      </w:r>
      <w:proofErr w:type="spellStart"/>
      <w:r w:rsidRPr="00942EC8">
        <w:rPr>
          <w:rFonts w:ascii="GHEA Grapalat" w:eastAsia="Times New Roman" w:hAnsi="GHEA Grapalat" w:cs="Arial"/>
          <w:b/>
          <w:bCs/>
          <w:sz w:val="24"/>
          <w:szCs w:val="24"/>
        </w:rPr>
        <w:t>ծախսերում</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սպասվելիք</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փոփոխությունները</w:t>
      </w:r>
      <w:proofErr w:type="spellEnd"/>
    </w:p>
    <w:p w:rsidR="003E1CAA" w:rsidRPr="00942EC8" w:rsidRDefault="003E1CAA" w:rsidP="00942EC8">
      <w:pPr>
        <w:shd w:val="clear" w:color="auto" w:fill="FFFFFF"/>
        <w:spacing w:after="0" w:line="360" w:lineRule="auto"/>
        <w:ind w:firstLine="720"/>
        <w:jc w:val="both"/>
        <w:rPr>
          <w:rFonts w:ascii="GHEA Grapalat" w:eastAsia="Times New Roman" w:hAnsi="GHEA Grapalat" w:cs="Arial"/>
          <w:sz w:val="24"/>
          <w:szCs w:val="24"/>
        </w:rPr>
      </w:pPr>
      <w:proofErr w:type="spellStart"/>
      <w:r w:rsidRPr="00942EC8">
        <w:rPr>
          <w:rFonts w:ascii="GHEA Grapalat" w:eastAsia="Times New Roman" w:hAnsi="GHEA Grapalat" w:cs="Arial"/>
          <w:sz w:val="24"/>
          <w:szCs w:val="24"/>
        </w:rPr>
        <w:t>Սույն</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նախագծի</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ընդունման</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արդյունքում</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լրացուցիչ</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ֆինանսական</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միջոցների</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անհրաժեշտություն</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չի</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առաջանում</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Պետական</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բյուջեի</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եկամուտների</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նվազեցում</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կարող</w:t>
      </w:r>
      <w:proofErr w:type="spellEnd"/>
      <w:r w:rsidRPr="00942EC8">
        <w:rPr>
          <w:rFonts w:ascii="GHEA Grapalat" w:eastAsia="Times New Roman" w:hAnsi="GHEA Grapalat" w:cs="Arial"/>
          <w:sz w:val="24"/>
          <w:szCs w:val="24"/>
        </w:rPr>
        <w:t xml:space="preserve"> է </w:t>
      </w:r>
      <w:proofErr w:type="spellStart"/>
      <w:r w:rsidRPr="00942EC8">
        <w:rPr>
          <w:rFonts w:ascii="GHEA Grapalat" w:eastAsia="Times New Roman" w:hAnsi="GHEA Grapalat" w:cs="Arial"/>
          <w:sz w:val="24"/>
          <w:szCs w:val="24"/>
        </w:rPr>
        <w:t>լինել</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հայցվորներին</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վերադարձվող</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պետական</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գումարի</w:t>
      </w:r>
      <w:proofErr w:type="spellEnd"/>
      <w:r w:rsidRPr="00942EC8">
        <w:rPr>
          <w:rFonts w:ascii="GHEA Grapalat" w:eastAsia="Times New Roman" w:hAnsi="GHEA Grapalat" w:cs="Arial"/>
          <w:sz w:val="24"/>
          <w:szCs w:val="24"/>
        </w:rPr>
        <w:t xml:space="preserve"> </w:t>
      </w:r>
      <w:proofErr w:type="spellStart"/>
      <w:r w:rsidRPr="00942EC8">
        <w:rPr>
          <w:rFonts w:ascii="GHEA Grapalat" w:eastAsia="Times New Roman" w:hAnsi="GHEA Grapalat" w:cs="Arial"/>
          <w:sz w:val="24"/>
          <w:szCs w:val="24"/>
        </w:rPr>
        <w:t>չափով</w:t>
      </w:r>
      <w:proofErr w:type="spellEnd"/>
      <w:r w:rsidRPr="00942EC8">
        <w:rPr>
          <w:rFonts w:ascii="GHEA Grapalat" w:eastAsia="Times New Roman" w:hAnsi="GHEA Grapalat" w:cs="Arial"/>
          <w:sz w:val="24"/>
          <w:szCs w:val="24"/>
        </w:rPr>
        <w:t>։</w:t>
      </w:r>
    </w:p>
    <w:p w:rsidR="003E1CAA" w:rsidRPr="00942EC8" w:rsidRDefault="003E1CAA" w:rsidP="00942EC8">
      <w:pPr>
        <w:shd w:val="clear" w:color="auto" w:fill="FFFFFF"/>
        <w:spacing w:after="0" w:line="360" w:lineRule="auto"/>
        <w:jc w:val="both"/>
        <w:rPr>
          <w:rFonts w:ascii="GHEA Grapalat" w:eastAsia="Times New Roman" w:hAnsi="GHEA Grapalat" w:cs="Arial"/>
          <w:sz w:val="24"/>
          <w:szCs w:val="24"/>
        </w:rPr>
      </w:pPr>
    </w:p>
    <w:p w:rsidR="003E1CAA" w:rsidRPr="00942EC8" w:rsidRDefault="003E1CAA" w:rsidP="003C6888">
      <w:pPr>
        <w:shd w:val="clear" w:color="auto" w:fill="FFFFFF"/>
        <w:spacing w:after="220" w:line="360" w:lineRule="auto"/>
        <w:ind w:firstLine="720"/>
        <w:jc w:val="both"/>
        <w:rPr>
          <w:rFonts w:ascii="GHEA Grapalat" w:eastAsia="Times New Roman" w:hAnsi="GHEA Grapalat" w:cs="Arial"/>
          <w:b/>
          <w:bCs/>
          <w:sz w:val="24"/>
          <w:szCs w:val="24"/>
        </w:rPr>
      </w:pPr>
      <w:r w:rsidRPr="00942EC8">
        <w:rPr>
          <w:rFonts w:ascii="Calibri" w:eastAsia="Times New Roman" w:hAnsi="Calibri" w:cs="Calibri"/>
          <w:b/>
          <w:bCs/>
          <w:sz w:val="24"/>
          <w:szCs w:val="24"/>
        </w:rPr>
        <w:t> </w:t>
      </w:r>
      <w:r w:rsidRPr="00942EC8">
        <w:rPr>
          <w:rFonts w:ascii="GHEA Grapalat" w:eastAsia="Times New Roman" w:hAnsi="GHEA Grapalat" w:cs="Arial"/>
          <w:b/>
          <w:bCs/>
          <w:sz w:val="24"/>
          <w:szCs w:val="24"/>
        </w:rPr>
        <w:t xml:space="preserve">8. </w:t>
      </w:r>
      <w:proofErr w:type="spellStart"/>
      <w:r w:rsidRPr="00942EC8">
        <w:rPr>
          <w:rFonts w:ascii="GHEA Grapalat" w:eastAsia="Times New Roman" w:hAnsi="GHEA Grapalat" w:cs="Arial"/>
          <w:b/>
          <w:bCs/>
          <w:sz w:val="24"/>
          <w:szCs w:val="24"/>
        </w:rPr>
        <w:t>Կապը</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ռազմավարական</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փաստաթղթերի</w:t>
      </w:r>
      <w:proofErr w:type="spellEnd"/>
      <w:r w:rsidRPr="00942EC8">
        <w:rPr>
          <w:rFonts w:ascii="GHEA Grapalat" w:eastAsia="Times New Roman" w:hAnsi="GHEA Grapalat" w:cs="Arial"/>
          <w:b/>
          <w:bCs/>
          <w:sz w:val="24"/>
          <w:szCs w:val="24"/>
        </w:rPr>
        <w:t xml:space="preserve"> </w:t>
      </w:r>
      <w:proofErr w:type="spellStart"/>
      <w:r w:rsidRPr="00942EC8">
        <w:rPr>
          <w:rFonts w:ascii="GHEA Grapalat" w:eastAsia="Times New Roman" w:hAnsi="GHEA Grapalat" w:cs="Arial"/>
          <w:b/>
          <w:bCs/>
          <w:sz w:val="24"/>
          <w:szCs w:val="24"/>
        </w:rPr>
        <w:t>հետ</w:t>
      </w:r>
      <w:proofErr w:type="spellEnd"/>
      <w:r w:rsidRPr="00942EC8">
        <w:rPr>
          <w:rFonts w:ascii="GHEA Grapalat" w:eastAsia="Times New Roman" w:hAnsi="GHEA Grapalat" w:cs="Arial"/>
          <w:b/>
          <w:bCs/>
          <w:sz w:val="24"/>
          <w:szCs w:val="24"/>
        </w:rPr>
        <w:t>.</w:t>
      </w:r>
    </w:p>
    <w:p w:rsidR="00942EC8" w:rsidRPr="00942EC8" w:rsidRDefault="00942EC8" w:rsidP="00942EC8">
      <w:pPr>
        <w:widowControl w:val="0"/>
        <w:tabs>
          <w:tab w:val="left" w:pos="1620"/>
        </w:tabs>
        <w:spacing w:after="0" w:line="312" w:lineRule="auto"/>
        <w:ind w:firstLine="540"/>
        <w:jc w:val="both"/>
        <w:rPr>
          <w:rFonts w:ascii="GHEA Grapalat" w:eastAsia="Times New Roman" w:hAnsi="GHEA Grapalat" w:cs="Sylfaen"/>
          <w:sz w:val="24"/>
          <w:szCs w:val="24"/>
          <w:lang w:val="hy-AM"/>
        </w:rPr>
      </w:pPr>
      <w:r w:rsidRPr="00942EC8">
        <w:rPr>
          <w:rFonts w:ascii="GHEA Grapalat" w:eastAsia="Calibri" w:hAnsi="GHEA Grapalat" w:cs="Times New Roman"/>
          <w:sz w:val="24"/>
          <w:szCs w:val="24"/>
          <w:lang w:val="hy-AM"/>
        </w:rPr>
        <w:t>Նախագծի ընդունումը չի բխում ՀՀ կառավարության 18.11.2021թ. «Հայաստանի Հանրապետության կառավարության 2021-2026 թվականների գործունեության միջոցա</w:t>
      </w:r>
      <w:r w:rsidRPr="00942EC8">
        <w:rPr>
          <w:rFonts w:ascii="GHEA Grapalat" w:eastAsia="Calibri" w:hAnsi="GHEA Grapalat" w:cs="Times New Roman"/>
          <w:sz w:val="24"/>
          <w:szCs w:val="24"/>
          <w:lang w:val="hy-AM"/>
        </w:rPr>
        <w:softHyphen/>
        <w:t xml:space="preserve">ռումների ծրագրից։ </w:t>
      </w:r>
    </w:p>
    <w:p w:rsidR="00942EC8" w:rsidRPr="00942EC8" w:rsidRDefault="00942EC8" w:rsidP="00942EC8">
      <w:pPr>
        <w:spacing w:after="0" w:line="360" w:lineRule="auto"/>
        <w:ind w:right="-334" w:firstLine="360"/>
        <w:contextualSpacing/>
        <w:jc w:val="both"/>
        <w:rPr>
          <w:rFonts w:ascii="GHEA Grapalat" w:eastAsia="Calibri" w:hAnsi="GHEA Grapalat" w:cs="Arial"/>
          <w:color w:val="000000"/>
          <w:sz w:val="24"/>
          <w:szCs w:val="24"/>
          <w:shd w:val="clear" w:color="auto" w:fill="FFFFFF"/>
          <w:lang w:val="hy-AM"/>
        </w:rPr>
      </w:pPr>
    </w:p>
    <w:p w:rsidR="001A14AC" w:rsidRPr="00942EC8" w:rsidRDefault="001A14AC" w:rsidP="003C6888">
      <w:pPr>
        <w:spacing w:line="360" w:lineRule="auto"/>
        <w:rPr>
          <w:rFonts w:ascii="GHEA Grapalat" w:hAnsi="GHEA Grapalat" w:cs="Arial"/>
          <w:sz w:val="24"/>
          <w:szCs w:val="24"/>
          <w:lang w:val="hy-AM"/>
        </w:rPr>
      </w:pPr>
    </w:p>
    <w:sectPr w:rsidR="001A14AC" w:rsidRPr="00942EC8" w:rsidSect="0000429F">
      <w:pgSz w:w="12240" w:h="15840"/>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966" w:rsidRDefault="00745966" w:rsidP="003C6888">
      <w:pPr>
        <w:spacing w:after="0" w:line="240" w:lineRule="auto"/>
      </w:pPr>
      <w:r>
        <w:separator/>
      </w:r>
    </w:p>
  </w:endnote>
  <w:endnote w:type="continuationSeparator" w:id="0">
    <w:p w:rsidR="00745966" w:rsidRDefault="00745966" w:rsidP="003C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966" w:rsidRDefault="00745966" w:rsidP="003C6888">
      <w:pPr>
        <w:spacing w:after="0" w:line="240" w:lineRule="auto"/>
      </w:pPr>
      <w:r>
        <w:separator/>
      </w:r>
    </w:p>
  </w:footnote>
  <w:footnote w:type="continuationSeparator" w:id="0">
    <w:p w:rsidR="00745966" w:rsidRDefault="00745966" w:rsidP="003C6888">
      <w:pPr>
        <w:spacing w:after="0" w:line="240" w:lineRule="auto"/>
      </w:pPr>
      <w:r>
        <w:continuationSeparator/>
      </w:r>
    </w:p>
  </w:footnote>
  <w:footnote w:id="1">
    <w:p w:rsidR="003C6888" w:rsidRPr="003C6888" w:rsidRDefault="003C6888" w:rsidP="003C6888">
      <w:pPr>
        <w:pStyle w:val="FootnoteText"/>
        <w:rPr>
          <w:lang w:val="hy-AM"/>
        </w:rPr>
      </w:pPr>
      <w:r>
        <w:rPr>
          <w:rStyle w:val="FootnoteReference"/>
        </w:rPr>
        <w:footnoteRef/>
      </w:r>
      <w:r>
        <w:t xml:space="preserve"> </w:t>
      </w:r>
      <w:hyperlink r:id="rId1" w:history="1">
        <w:r>
          <w:rPr>
            <w:rStyle w:val="Hyperlink"/>
            <w:rFonts w:ascii="Arial" w:hAnsi="Arial" w:cs="Arial"/>
            <w:color w:val="1155CC"/>
          </w:rPr>
          <w:t>https://court.am/hy/statistic-inner/222</w:t>
        </w:r>
      </w:hyperlink>
    </w:p>
  </w:footnote>
  <w:footnote w:id="2">
    <w:p w:rsidR="003C6888" w:rsidRPr="003C6888" w:rsidRDefault="003C6888" w:rsidP="003C6888">
      <w:pPr>
        <w:pStyle w:val="FootnoteText"/>
        <w:rPr>
          <w:lang w:val="hy-AM"/>
        </w:rPr>
      </w:pPr>
      <w:r>
        <w:rPr>
          <w:rStyle w:val="FootnoteReference"/>
        </w:rPr>
        <w:footnoteRef/>
      </w:r>
      <w:r w:rsidRPr="003C6888">
        <w:rPr>
          <w:lang w:val="hy-AM"/>
        </w:rPr>
        <w:t xml:space="preserve"> </w:t>
      </w:r>
      <w:hyperlink r:id="rId2" w:history="1">
        <w:r w:rsidRPr="003C6888">
          <w:rPr>
            <w:rStyle w:val="Hyperlink"/>
            <w:rFonts w:ascii="Arial" w:hAnsi="Arial" w:cs="Arial"/>
            <w:color w:val="1155CC"/>
            <w:lang w:val="hy-AM"/>
          </w:rPr>
          <w:t>http://www.datalex.am/?app=AppCaseSearch&amp;case_id=46161896180566168</w:t>
        </w:r>
      </w:hyperlink>
      <w:r>
        <w:rPr>
          <w:lang w:val="hy-AM"/>
        </w:rPr>
        <w:t xml:space="preserve"> </w:t>
      </w:r>
    </w:p>
  </w:footnote>
  <w:footnote w:id="3">
    <w:p w:rsidR="003C6888" w:rsidRPr="00D22E5A" w:rsidRDefault="003C6888" w:rsidP="003C6888">
      <w:pPr>
        <w:pStyle w:val="FootnoteText"/>
        <w:rPr>
          <w:lang w:val="hy-AM"/>
        </w:rPr>
      </w:pPr>
      <w:r>
        <w:rPr>
          <w:rStyle w:val="FootnoteReference"/>
        </w:rPr>
        <w:footnoteRef/>
      </w:r>
      <w:r w:rsidRPr="003C6888">
        <w:rPr>
          <w:lang w:val="hy-AM"/>
        </w:rPr>
        <w:t xml:space="preserve"> </w:t>
      </w:r>
      <w:hyperlink r:id="rId3" w:history="1">
        <w:r w:rsidRPr="003C6888">
          <w:rPr>
            <w:rStyle w:val="Hyperlink"/>
            <w:rFonts w:ascii="Arial" w:hAnsi="Arial" w:cs="Arial"/>
            <w:color w:val="1155CC"/>
            <w:lang w:val="hy-AM"/>
          </w:rPr>
          <w:t>http://www.datalex.am/?app=AppCaseSearch&amp;case_id=46161896180565462</w:t>
        </w:r>
      </w:hyperlink>
    </w:p>
    <w:p w:rsidR="003C6888" w:rsidRPr="00D22E5A" w:rsidRDefault="00745966" w:rsidP="003C6888">
      <w:pPr>
        <w:pStyle w:val="NormalWeb"/>
        <w:spacing w:before="0" w:beforeAutospacing="0" w:after="0" w:afterAutospacing="0"/>
        <w:rPr>
          <w:lang w:val="hy-AM"/>
        </w:rPr>
      </w:pPr>
      <w:hyperlink r:id="rId4" w:history="1">
        <w:r w:rsidR="003C6888" w:rsidRPr="00D22E5A">
          <w:rPr>
            <w:rStyle w:val="Hyperlink"/>
            <w:rFonts w:ascii="Arial" w:hAnsi="Arial" w:cs="Arial"/>
            <w:color w:val="1155CC"/>
            <w:sz w:val="20"/>
            <w:szCs w:val="20"/>
            <w:lang w:val="hy-AM"/>
          </w:rPr>
          <w:t>http://www.datalex.am/?app=AppCaseSearch&amp;case_id=46161896180566583</w:t>
        </w:r>
      </w:hyperlink>
      <w:r w:rsidR="003C6888" w:rsidRPr="00D22E5A">
        <w:rPr>
          <w:rFonts w:ascii="Arial" w:hAnsi="Arial" w:cs="Arial"/>
          <w:color w:val="000000"/>
          <w:sz w:val="20"/>
          <w:szCs w:val="20"/>
          <w:lang w:val="hy-AM"/>
        </w:rPr>
        <w:t> </w:t>
      </w:r>
    </w:p>
    <w:p w:rsidR="003C6888" w:rsidRPr="003C6888" w:rsidRDefault="00745966" w:rsidP="003C6888">
      <w:pPr>
        <w:pStyle w:val="FootnoteText"/>
        <w:rPr>
          <w:lang w:val="hy-AM"/>
        </w:rPr>
      </w:pPr>
      <w:hyperlink r:id="rId5" w:history="1">
        <w:r w:rsidR="003C6888" w:rsidRPr="00D22E5A">
          <w:rPr>
            <w:rStyle w:val="Hyperlink"/>
            <w:rFonts w:ascii="Arial" w:hAnsi="Arial" w:cs="Arial"/>
            <w:color w:val="1155CC"/>
            <w:lang w:val="hy-AM"/>
          </w:rPr>
          <w:t>http://www.datalex.am/?app=AppCaseSearch&amp;case_id=46161896180566428</w:t>
        </w:r>
      </w:hyperlink>
    </w:p>
  </w:footnote>
  <w:footnote w:id="4">
    <w:p w:rsidR="003C6888" w:rsidRPr="003C6888" w:rsidRDefault="003C6888" w:rsidP="003C6888">
      <w:pPr>
        <w:pStyle w:val="FootnoteText"/>
        <w:rPr>
          <w:lang w:val="hy-AM"/>
        </w:rPr>
      </w:pPr>
      <w:r>
        <w:rPr>
          <w:rStyle w:val="FootnoteReference"/>
        </w:rPr>
        <w:footnoteRef/>
      </w:r>
      <w:r w:rsidRPr="003C6888">
        <w:rPr>
          <w:lang w:val="hy-AM"/>
        </w:rPr>
        <w:t xml:space="preserve"> </w:t>
      </w:r>
      <w:hyperlink r:id="rId6" w:history="1">
        <w:r w:rsidRPr="003C6888">
          <w:rPr>
            <w:rStyle w:val="Hyperlink"/>
            <w:rFonts w:ascii="Arial" w:hAnsi="Arial" w:cs="Arial"/>
            <w:color w:val="1155CC"/>
            <w:lang w:val="hy-AM"/>
          </w:rPr>
          <w:t>http://www.datalex.am/?app=AppCaseSearch&amp;case_id=45880421204264803</w:t>
        </w:r>
      </w:hyperlink>
    </w:p>
  </w:footnote>
  <w:footnote w:id="5">
    <w:p w:rsidR="003C6888" w:rsidRPr="003C6888" w:rsidRDefault="003C6888" w:rsidP="003C6888">
      <w:pPr>
        <w:pStyle w:val="FootnoteText"/>
        <w:rPr>
          <w:lang w:val="hy-AM"/>
        </w:rPr>
      </w:pPr>
      <w:r>
        <w:rPr>
          <w:rStyle w:val="FootnoteReference"/>
        </w:rPr>
        <w:footnoteRef/>
      </w:r>
      <w:r w:rsidRPr="003C6888">
        <w:rPr>
          <w:lang w:val="hy-AM"/>
        </w:rPr>
        <w:t xml:space="preserve"> </w:t>
      </w:r>
      <w:hyperlink r:id="rId7" w:history="1">
        <w:r w:rsidRPr="003C6888">
          <w:rPr>
            <w:rStyle w:val="Hyperlink"/>
            <w:rFonts w:ascii="Arial" w:hAnsi="Arial" w:cs="Arial"/>
            <w:color w:val="1155CC"/>
            <w:lang w:val="hy-AM"/>
          </w:rPr>
          <w:t>http://www.datalex.am/?app=AppCaseSearch&amp;case_id=45880421204084426</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46984"/>
    <w:multiLevelType w:val="multilevel"/>
    <w:tmpl w:val="9582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116FE"/>
    <w:multiLevelType w:val="multilevel"/>
    <w:tmpl w:val="8962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725C8"/>
    <w:multiLevelType w:val="hybridMultilevel"/>
    <w:tmpl w:val="C0ECBBFA"/>
    <w:lvl w:ilvl="0" w:tplc="13921D1C">
      <w:start w:val="1"/>
      <w:numFmt w:val="decimal"/>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6E2DC0"/>
    <w:multiLevelType w:val="multilevel"/>
    <w:tmpl w:val="B370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354DF"/>
    <w:multiLevelType w:val="multilevel"/>
    <w:tmpl w:val="814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93"/>
    <w:rsid w:val="0000429F"/>
    <w:rsid w:val="001A14AC"/>
    <w:rsid w:val="00397347"/>
    <w:rsid w:val="003A781B"/>
    <w:rsid w:val="003C6888"/>
    <w:rsid w:val="003E1CAA"/>
    <w:rsid w:val="00603F7E"/>
    <w:rsid w:val="00745966"/>
    <w:rsid w:val="008566EA"/>
    <w:rsid w:val="00942EC8"/>
    <w:rsid w:val="009932D7"/>
    <w:rsid w:val="00A342A4"/>
    <w:rsid w:val="00B736F0"/>
    <w:rsid w:val="00BA4588"/>
    <w:rsid w:val="00BC6264"/>
    <w:rsid w:val="00C93E93"/>
    <w:rsid w:val="00D22E5A"/>
    <w:rsid w:val="00E74FBB"/>
    <w:rsid w:val="00F57994"/>
    <w:rsid w:val="00FE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71B2"/>
  <w15:chartTrackingRefBased/>
  <w15:docId w15:val="{05DBD2A8-21E8-4479-B594-6BB948D7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E1CAA"/>
  </w:style>
  <w:style w:type="character" w:styleId="Hyperlink">
    <w:name w:val="Hyperlink"/>
    <w:basedOn w:val="DefaultParagraphFont"/>
    <w:uiPriority w:val="99"/>
    <w:unhideWhenUsed/>
    <w:rsid w:val="00B736F0"/>
    <w:rPr>
      <w:color w:val="0000FF"/>
      <w:u w:val="single"/>
    </w:rPr>
  </w:style>
  <w:style w:type="paragraph" w:styleId="ListParagraph">
    <w:name w:val="List Paragraph"/>
    <w:basedOn w:val="Normal"/>
    <w:uiPriority w:val="34"/>
    <w:qFormat/>
    <w:rsid w:val="003C6888"/>
    <w:pPr>
      <w:ind w:left="720"/>
      <w:contextualSpacing/>
    </w:pPr>
  </w:style>
  <w:style w:type="paragraph" w:styleId="FootnoteText">
    <w:name w:val="footnote text"/>
    <w:basedOn w:val="Normal"/>
    <w:link w:val="FootnoteTextChar"/>
    <w:uiPriority w:val="99"/>
    <w:semiHidden/>
    <w:unhideWhenUsed/>
    <w:rsid w:val="003C68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888"/>
    <w:rPr>
      <w:sz w:val="20"/>
      <w:szCs w:val="20"/>
    </w:rPr>
  </w:style>
  <w:style w:type="character" w:styleId="FootnoteReference">
    <w:name w:val="footnote reference"/>
    <w:basedOn w:val="DefaultParagraphFont"/>
    <w:uiPriority w:val="99"/>
    <w:semiHidden/>
    <w:unhideWhenUsed/>
    <w:rsid w:val="003C6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173">
      <w:bodyDiv w:val="1"/>
      <w:marLeft w:val="0"/>
      <w:marRight w:val="0"/>
      <w:marTop w:val="0"/>
      <w:marBottom w:val="0"/>
      <w:divBdr>
        <w:top w:val="none" w:sz="0" w:space="0" w:color="auto"/>
        <w:left w:val="none" w:sz="0" w:space="0" w:color="auto"/>
        <w:bottom w:val="none" w:sz="0" w:space="0" w:color="auto"/>
        <w:right w:val="none" w:sz="0" w:space="0" w:color="auto"/>
      </w:divBdr>
    </w:div>
    <w:div w:id="888302138">
      <w:bodyDiv w:val="1"/>
      <w:marLeft w:val="0"/>
      <w:marRight w:val="0"/>
      <w:marTop w:val="0"/>
      <w:marBottom w:val="0"/>
      <w:divBdr>
        <w:top w:val="none" w:sz="0" w:space="0" w:color="auto"/>
        <w:left w:val="none" w:sz="0" w:space="0" w:color="auto"/>
        <w:bottom w:val="none" w:sz="0" w:space="0" w:color="auto"/>
        <w:right w:val="none" w:sz="0" w:space="0" w:color="auto"/>
      </w:divBdr>
    </w:div>
    <w:div w:id="925648529">
      <w:bodyDiv w:val="1"/>
      <w:marLeft w:val="0"/>
      <w:marRight w:val="0"/>
      <w:marTop w:val="0"/>
      <w:marBottom w:val="0"/>
      <w:divBdr>
        <w:top w:val="none" w:sz="0" w:space="0" w:color="auto"/>
        <w:left w:val="none" w:sz="0" w:space="0" w:color="auto"/>
        <w:bottom w:val="none" w:sz="0" w:space="0" w:color="auto"/>
        <w:right w:val="none" w:sz="0" w:space="0" w:color="auto"/>
      </w:divBdr>
    </w:div>
    <w:div w:id="982926048">
      <w:bodyDiv w:val="1"/>
      <w:marLeft w:val="0"/>
      <w:marRight w:val="0"/>
      <w:marTop w:val="0"/>
      <w:marBottom w:val="0"/>
      <w:divBdr>
        <w:top w:val="none" w:sz="0" w:space="0" w:color="auto"/>
        <w:left w:val="none" w:sz="0" w:space="0" w:color="auto"/>
        <w:bottom w:val="none" w:sz="0" w:space="0" w:color="auto"/>
        <w:right w:val="none" w:sz="0" w:space="0" w:color="auto"/>
      </w:divBdr>
    </w:div>
    <w:div w:id="1198933666">
      <w:bodyDiv w:val="1"/>
      <w:marLeft w:val="0"/>
      <w:marRight w:val="0"/>
      <w:marTop w:val="0"/>
      <w:marBottom w:val="0"/>
      <w:divBdr>
        <w:top w:val="none" w:sz="0" w:space="0" w:color="auto"/>
        <w:left w:val="none" w:sz="0" w:space="0" w:color="auto"/>
        <w:bottom w:val="none" w:sz="0" w:space="0" w:color="auto"/>
        <w:right w:val="none" w:sz="0" w:space="0" w:color="auto"/>
      </w:divBdr>
    </w:div>
    <w:div w:id="1879853167">
      <w:bodyDiv w:val="1"/>
      <w:marLeft w:val="0"/>
      <w:marRight w:val="0"/>
      <w:marTop w:val="0"/>
      <w:marBottom w:val="0"/>
      <w:divBdr>
        <w:top w:val="none" w:sz="0" w:space="0" w:color="auto"/>
        <w:left w:val="none" w:sz="0" w:space="0" w:color="auto"/>
        <w:bottom w:val="none" w:sz="0" w:space="0" w:color="auto"/>
        <w:right w:val="none" w:sz="0" w:space="0" w:color="auto"/>
      </w:divBdr>
    </w:div>
    <w:div w:id="1982036329">
      <w:bodyDiv w:val="1"/>
      <w:marLeft w:val="0"/>
      <w:marRight w:val="0"/>
      <w:marTop w:val="0"/>
      <w:marBottom w:val="0"/>
      <w:divBdr>
        <w:top w:val="none" w:sz="0" w:space="0" w:color="auto"/>
        <w:left w:val="none" w:sz="0" w:space="0" w:color="auto"/>
        <w:bottom w:val="none" w:sz="0" w:space="0" w:color="auto"/>
        <w:right w:val="none" w:sz="0" w:space="0" w:color="auto"/>
      </w:divBdr>
    </w:div>
    <w:div w:id="20597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atalex.am/?app=AppCaseSearch&amp;case_id=46161896180565462" TargetMode="External"/><Relationship Id="rId7" Type="http://schemas.openxmlformats.org/officeDocument/2006/relationships/hyperlink" Target="http://www.datalex.am/?app=AppCaseSearch&amp;case_id=45880421204084426" TargetMode="External"/><Relationship Id="rId2" Type="http://schemas.openxmlformats.org/officeDocument/2006/relationships/hyperlink" Target="http://www.datalex.am/?app=AppCaseSearch&amp;case_id=46161896180566168" TargetMode="External"/><Relationship Id="rId1" Type="http://schemas.openxmlformats.org/officeDocument/2006/relationships/hyperlink" Target="https://court.am/hy/statistic-inner/222" TargetMode="External"/><Relationship Id="rId6" Type="http://schemas.openxmlformats.org/officeDocument/2006/relationships/hyperlink" Target="http://www.datalex.am/?app=AppCaseSearch&amp;case_id=45880421204264803" TargetMode="External"/><Relationship Id="rId5" Type="http://schemas.openxmlformats.org/officeDocument/2006/relationships/hyperlink" Target="http://www.datalex.am/?app=AppCaseSearch&amp;case_id=46161896180566428" TargetMode="External"/><Relationship Id="rId4" Type="http://schemas.openxmlformats.org/officeDocument/2006/relationships/hyperlink" Target="http://www.datalex.am/?app=AppCaseSearch&amp;case_id=46161896180566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F399-C1F3-42FF-A7F3-FE1FF0E6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G. Zaqaryan</dc:creator>
  <cp:keywords/>
  <dc:description/>
  <cp:lastModifiedBy>Hasmik G. Zaqaryan</cp:lastModifiedBy>
  <cp:revision>5</cp:revision>
  <cp:lastPrinted>2023-04-18T06:56:00Z</cp:lastPrinted>
  <dcterms:created xsi:type="dcterms:W3CDTF">2023-04-18T13:09:00Z</dcterms:created>
  <dcterms:modified xsi:type="dcterms:W3CDTF">2023-04-19T12:06:00Z</dcterms:modified>
</cp:coreProperties>
</file>