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3962" w14:textId="20D0E723" w:rsidR="00B63794" w:rsidRDefault="00B63794" w:rsidP="00DC3695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ՀԻՄՆԱՎՈՐՈՒՄ</w:t>
      </w:r>
    </w:p>
    <w:p w14:paraId="093FDC5F" w14:textId="77777777" w:rsidR="00C938AD" w:rsidRPr="00C938AD" w:rsidRDefault="00C938AD" w:rsidP="00DC3695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4C95C0A" w14:textId="17BAC57B" w:rsidR="00B63794" w:rsidRPr="00C938AD" w:rsidRDefault="008250D6" w:rsidP="00DC3695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««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իեզերական գործունեության մասին» օրենքում լրացումներ կատարելու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» և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««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Պ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ետական տուրքի մասին</w:t>
      </w:r>
      <w:r w:rsidRPr="00C938A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»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օրենքում</w:t>
      </w:r>
      <w:proofErr w:type="spellEnd"/>
      <w:r w:rsidRPr="00C938AD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»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լրացում</w:t>
      </w:r>
      <w:proofErr w:type="spellEnd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կատարելու</w:t>
      </w:r>
      <w:proofErr w:type="spellEnd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մասին</w:t>
      </w:r>
      <w:proofErr w:type="spellEnd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» օրենք</w:t>
      </w: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ների </w:t>
      </w:r>
      <w:proofErr w:type="spellStart"/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նախագծ</w:t>
      </w:r>
      <w:proofErr w:type="spellEnd"/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եր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ի </w:t>
      </w:r>
      <w:r w:rsidRPr="00C938AD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ընդունման</w:t>
      </w:r>
    </w:p>
    <w:p w14:paraId="0BDCB3CB" w14:textId="77777777" w:rsidR="00B63794" w:rsidRPr="00C938AD" w:rsidRDefault="00B63794" w:rsidP="00DC3695">
      <w:pPr>
        <w:shd w:val="clear" w:color="auto" w:fill="FFFFFF"/>
        <w:spacing w:after="225" w:line="24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</w:p>
    <w:bookmarkEnd w:id="0"/>
    <w:p w14:paraId="2CEA2327" w14:textId="6E9E3667" w:rsidR="00B63794" w:rsidRPr="00C938AD" w:rsidRDefault="00B63794" w:rsidP="00DC3695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Անհրաժեշտությունը.</w:t>
      </w:r>
    </w:p>
    <w:p w14:paraId="7024AF1C" w14:textId="539DFB71" w:rsidR="000C21A4" w:rsidRPr="00784EFB" w:rsidRDefault="00675497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Պետական տուրքի արտոնության տրամադրումը ոչ առևտրային կազմակերպություններ</w:t>
      </w:r>
      <w:r w:rsidR="000C21A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F24ED3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73F0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տիեզերական գործունեության ոլորտի զարգացման</w:t>
      </w:r>
      <w:r w:rsidR="000C21A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անհրաժեշտ պայմաններից </w:t>
      </w:r>
      <w:r w:rsidR="00073F0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։ Օրենսդիրը նշված արտոնությամբ կխրախուսի սահմանափակ ռեսուրսներ</w:t>
      </w:r>
      <w:r w:rsidR="000C21A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ունեցող</w:t>
      </w:r>
      <w:r w:rsidR="00281D5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շահույթ ստանալու նպատակ չհետապնդող ոչ առևտրային կազմակերպություններին՝ դրանով զարկ տալով երկրում</w:t>
      </w:r>
      <w:r w:rsidR="00073F0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նորարարական գաղափարներ</w:t>
      </w:r>
      <w:r w:rsidR="00281D51">
        <w:rPr>
          <w:rFonts w:ascii="GHEA Grapalat" w:eastAsia="Times New Roman" w:hAnsi="GHEA Grapalat" w:cs="GHEA Grapalat"/>
          <w:sz w:val="24"/>
          <w:szCs w:val="24"/>
          <w:lang w:val="hy-AM"/>
        </w:rPr>
        <w:t>ին</w:t>
      </w:r>
      <w:r w:rsidR="00073F0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ծրագրեր</w:t>
      </w:r>
      <w:r w:rsidR="00281D51">
        <w:rPr>
          <w:rFonts w:ascii="GHEA Grapalat" w:eastAsia="Times New Roman" w:hAnsi="GHEA Grapalat" w:cs="GHEA Grapalat"/>
          <w:sz w:val="24"/>
          <w:szCs w:val="24"/>
          <w:lang w:val="hy-AM"/>
        </w:rPr>
        <w:t>ին: Միաժամանակ</w:t>
      </w:r>
      <w:r w:rsidR="006409A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տիեզերական ոլորտում </w:t>
      </w:r>
      <w:r w:rsidR="00073F0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տեխնիկական ռեսուրսներ ունեցող </w:t>
      </w:r>
      <w:r w:rsidR="000C21A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սուբյեկ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տներ</w:t>
      </w:r>
      <w:r w:rsidR="006409A4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6409A4">
        <w:rPr>
          <w:rFonts w:ascii="GHEA Grapalat" w:eastAsia="Times New Roman" w:hAnsi="GHEA Grapalat" w:cs="GHEA Grapalat"/>
          <w:sz w:val="24"/>
          <w:szCs w:val="24"/>
          <w:lang w:val="hy-AM"/>
        </w:rPr>
        <w:t>կ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ներգրավ</w:t>
      </w:r>
      <w:r w:rsidR="00BD141E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="006409A4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տիեզերական գիտության զարգացման</w:t>
      </w:r>
      <w:r w:rsidR="00784EFB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r w:rsidR="00784EFB" w:rsidRPr="00784EFB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075CEDE1" w14:textId="77777777" w:rsidR="00971658" w:rsidRDefault="000C21A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Նշված արտոնության անհրաժեշտությունը բխում է նաև տիեզերական գործունեությունը պետական բյուջեի միջոցներով ֆինանսավորելու՝ օրենքով ամրագրված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կարևորագույն սկզբունքից և ոլորտի սկսնակ ընկերություններին պետական աջակցություն տրամադրելու և պետական և մասնավոր հատվածների համագործակցության միջոցով գիտելիքահենք տնտեսության զարգացման ուղղությամբ իրական հնարավորություններ ստեղծելու պահանջով: </w:t>
      </w:r>
    </w:p>
    <w:p w14:paraId="2CBBF42E" w14:textId="1425BA81" w:rsidR="00B63794" w:rsidRPr="00971658" w:rsidRDefault="00971658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971658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2.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B63794"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Ընթացիկ իրավիճակը.</w:t>
      </w:r>
    </w:p>
    <w:p w14:paraId="4D4FB75F" w14:textId="77777777" w:rsidR="00B66ADB" w:rsidRPr="00C938AD" w:rsidRDefault="00BD141E" w:rsidP="00DC369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 w:rsidR="00FA45E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իեզերական գիտության ձեռքբերումների և տեխնիկայի օգտագործման միջոցով միջազգային անվտանգության և խաղաղության պահպանման աջակցումը, տիեզերական գործունեության անվտանգության և շրջակա միջավայրի պահպանման ապահովումը ոչ միայն Հայաստանի Հանրապետության, այլ 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C80C82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համաշխարհային</w:t>
      </w:r>
      <w:r w:rsidR="00B66AD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առաջնայնություններից է:</w:t>
      </w:r>
      <w:r w:rsidR="00B66ADB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063A8571" w14:textId="452F13B4" w:rsidR="00C80C82" w:rsidRPr="00C938AD" w:rsidRDefault="00B66ADB" w:rsidP="00DC369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Տի</w:t>
      </w:r>
      <w:r w:rsidR="004856A9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եզերական գործունեության իրականացումը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Հայաստանի Հանրապետութ</w:t>
      </w:r>
      <w:r w:rsidR="004856A9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յան տնտեսության զարգացման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ճյուղերից մեկն է,</w:t>
      </w:r>
      <w:r w:rsidR="00B63794"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որը </w:t>
      </w:r>
      <w:r w:rsidR="004856A9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կնպաստի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երկրի տնտեսության աճին, մրցունակության և </w:t>
      </w:r>
      <w:r w:rsidR="004856A9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արտադրողականության բարձրացմանը։</w:t>
      </w:r>
    </w:p>
    <w:p w14:paraId="13E7C9A9" w14:textId="55F599B8" w:rsidR="00645589" w:rsidRDefault="004856A9" w:rsidP="00DC369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Տիեզերական գործունեության ոլորտում</w:t>
      </w:r>
      <w:r w:rsidR="00784EF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կազմակերպությունների </w:t>
      </w:r>
      <w:r w:rsidR="00C80C82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զարգացման համար 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բավարար քայլեր ձեռնարկված չեն։ Նշված ոլորտում պետք է արձանագրել պետության 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իրականացրած կարգավորման</w:t>
      </w:r>
      <w:r w:rsidR="00BD141E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հետևյալ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քայլերը՝ 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2020 թվականին ընդունվել է «Տիեզերական գործունեության մասին</w:t>
      </w:r>
      <w:r w:rsidR="00784EFB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օրենքը, ՀՀ կառավարության կողմից հաստատվել են տիեզերական տեխնիկայի և օբյեկտների օգտագործման (շահագործման), մշակման, ստեղծման, փորձարկման</w:t>
      </w:r>
      <w:r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5" w:history="1"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կարգերը</w:t>
        </w:r>
      </w:hyperlink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տիեզերական տեխնիկայի և օբյեկտների գրանցման</w:t>
      </w:r>
      <w:r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6" w:history="1"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="00645589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տիեզերական գործունեության լիցենզավորման</w:t>
      </w:r>
      <w:r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7" w:history="1"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 և պայմանները</w:t>
        </w:r>
      </w:hyperlink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շահագործումից հանված՝ պետական սեփականություն հանդիսացող տիեզերական տեխնիկայի և օբյեկտների օգտագործման</w:t>
      </w:r>
      <w:r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8" w:history="1"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տիեզերական գործունեության իրականացման ընթացքում արձանագրված պատահարների (ներառյալ՝ վթարների) և աղետների քննության</w:t>
      </w:r>
      <w:hyperlink r:id="rId9" w:history="1">
        <w:r w:rsidRPr="00C938AD">
          <w:rPr>
            <w:rFonts w:ascii="Calibri" w:eastAsia="Times New Roman" w:hAnsi="Calibri" w:cs="Calibri"/>
            <w:sz w:val="24"/>
            <w:szCs w:val="24"/>
            <w:lang w:val="hy-AM"/>
          </w:rPr>
          <w:t> </w:t>
        </w:r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 տիեզերական օբյեկտները և (կամ) տեխնիկան շահագործողի կողմից այլ շահագործողի օտարման՝ լիազոր մարմնի հետ համաձայնեցման</w:t>
      </w:r>
      <w:r w:rsidRPr="00C938AD">
        <w:rPr>
          <w:rFonts w:ascii="Calibri" w:eastAsia="Times New Roman" w:hAnsi="Calibri" w:cs="Calibri"/>
          <w:sz w:val="24"/>
          <w:szCs w:val="24"/>
          <w:lang w:val="hy-AM"/>
        </w:rPr>
        <w:t> </w:t>
      </w:r>
      <w:hyperlink r:id="rId10" w:history="1">
        <w:r w:rsidRPr="00C938AD">
          <w:rPr>
            <w:rFonts w:ascii="GHEA Grapalat" w:eastAsia="Times New Roman" w:hAnsi="GHEA Grapalat" w:cs="GHEA Grapalat"/>
            <w:sz w:val="24"/>
            <w:szCs w:val="24"/>
            <w:lang w:val="hy-AM"/>
          </w:rPr>
          <w:t>կարգը</w:t>
        </w:r>
      </w:hyperlink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  <w:r w:rsidR="00784EF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70FA6B80" w14:textId="4A170CD9" w:rsidR="001A5110" w:rsidRPr="00C938AD" w:rsidRDefault="001A5110" w:rsidP="00DC369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Տիեզերական գործունեության լիցենզիա ստացել է միայն մեկ կազմակերպություն, իսկ ոչ առևտրային իրավաբանական անձանց համար պետական տուրքի բարձր չափը խոչընդոտ է այս ոլորտում գործունեություն սկսելու համար։ </w:t>
      </w:r>
    </w:p>
    <w:p w14:paraId="77755846" w14:textId="6F3A00B4" w:rsidR="00645589" w:rsidRDefault="00803ECA" w:rsidP="00DC3695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Պետական տուրքի արտոնության տրամադրումը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784EF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շահույթ ստանալու նպատակ չհետապնդող ոչ առևտրային 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կազմակերպություններին</w:t>
      </w:r>
      <w:r w:rsidR="00BD141E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կարևոր դեր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կունենա ոլորտի հետագա զարգացման համար։</w:t>
      </w:r>
    </w:p>
    <w:p w14:paraId="53CDE624" w14:textId="5637DC4F" w:rsidR="00B63794" w:rsidRPr="00971658" w:rsidRDefault="00B63794" w:rsidP="00DC3695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Առաջարկվող կարգավորման բնույթը.</w:t>
      </w:r>
    </w:p>
    <w:p w14:paraId="6CB38216" w14:textId="13288B43" w:rsidR="00784EFB" w:rsidRDefault="00803ECA" w:rsidP="00DC3695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Տիեզերական գործունեության իրականացման տարեկան պետական տուրքի վճարումից առաջարկվում է ազատել </w:t>
      </w:r>
      <w:r w:rsidR="00784EFB">
        <w:rPr>
          <w:rFonts w:ascii="GHEA Grapalat" w:hAnsi="GHEA Grapalat"/>
          <w:color w:val="000000"/>
          <w:sz w:val="24"/>
          <w:szCs w:val="24"/>
          <w:lang w:val="hy-AM"/>
        </w:rPr>
        <w:t xml:space="preserve">շահույթ ստանալու նպատակ չհետապնդող </w:t>
      </w:r>
      <w:r w:rsidR="00784EFB" w:rsidRPr="003C0DA7">
        <w:rPr>
          <w:rFonts w:ascii="GHEA Grapalat" w:hAnsi="GHEA Grapalat"/>
          <w:color w:val="000000"/>
          <w:sz w:val="24"/>
          <w:szCs w:val="24"/>
          <w:lang w:val="hy-AM"/>
        </w:rPr>
        <w:t xml:space="preserve">ոչ առևտրային կազմակերպություն համարվող այն </w:t>
      </w:r>
      <w:r w:rsidR="00784EFB" w:rsidRPr="00F24431">
        <w:rPr>
          <w:rFonts w:ascii="GHEA Grapalat" w:hAnsi="GHEA Grapalat"/>
          <w:color w:val="000000"/>
          <w:sz w:val="24"/>
          <w:szCs w:val="24"/>
          <w:lang w:val="hy-AM"/>
        </w:rPr>
        <w:t>իրավաբանական անձ</w:t>
      </w:r>
      <w:r w:rsidR="00784EFB">
        <w:rPr>
          <w:rFonts w:ascii="GHEA Grapalat" w:hAnsi="GHEA Grapalat"/>
          <w:color w:val="000000"/>
          <w:sz w:val="24"/>
          <w:szCs w:val="24"/>
          <w:lang w:val="hy-AM"/>
        </w:rPr>
        <w:t xml:space="preserve">անց, </w:t>
      </w:r>
      <w:r w:rsidR="00784EFB" w:rsidRPr="00F24431">
        <w:rPr>
          <w:rFonts w:ascii="GHEA Grapalat" w:hAnsi="GHEA Grapalat"/>
          <w:color w:val="000000"/>
          <w:sz w:val="24"/>
          <w:szCs w:val="24"/>
          <w:lang w:val="hy-AM"/>
        </w:rPr>
        <w:t xml:space="preserve">որոնց կանոնադրությամբ նախատեսված է տիեզերական գործունեության իրականացումը։ </w:t>
      </w:r>
    </w:p>
    <w:p w14:paraId="15FA306D" w14:textId="34ABA34B" w:rsidR="008250D6" w:rsidRDefault="00784EFB" w:rsidP="00DC3695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Բացի վերոնշյալից </w:t>
      </w:r>
      <w:r w:rsidR="008250D6" w:rsidRPr="008250D6">
        <w:rPr>
          <w:rFonts w:ascii="GHEA Grapalat" w:hAnsi="GHEA Grapalat"/>
          <w:color w:val="000000"/>
          <w:sz w:val="24"/>
          <w:szCs w:val="24"/>
          <w:lang w:val="hy-AM"/>
        </w:rPr>
        <w:t>««Տիեզերական գործունեության մասին» օրենքում լրացումներ կատարելու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</w:t>
      </w:r>
      <w:r w:rsidR="008250D6" w:rsidRPr="008250D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նախագծով  նախատեսված է լրացում կատարել նաև 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տիեզերական գործունեության ոլորտում լիազոր մարմնի իրավասությունները սահմանող հոդվածում, մասնավորապես  նույն օրենքի 7-րդ կետի 1-ին մասի 1-ին կետում լրացվում է նոր ենթակետ, համաձայն որի՝ շահագործողի կողմից լիազոր մարմնին ներկայացված հայտարարության հիման վրա, անհրաժեշտության դեպքում, լիազոր մարմինը </w:t>
      </w:r>
      <w:r w:rsidR="006F58E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տրամադրի շահագործողի կողմից տիեզերական տեխնիկայի օգտագործման հանգամանքը հավաստող փաստաթուղթ: Նշվածը պայմանավորված է այն հանգամանքով, որ </w:t>
      </w:r>
      <w:r w:rsidR="00DC3695">
        <w:rPr>
          <w:rFonts w:ascii="GHEA Grapalat" w:hAnsi="GHEA Grapalat"/>
          <w:color w:val="000000"/>
          <w:sz w:val="24"/>
          <w:szCs w:val="24"/>
          <w:lang w:val="hy-AM"/>
        </w:rPr>
        <w:t xml:space="preserve">տիեզերական օբյեկտի արձակման, շահագործման կամ գործունեության իրականացմանն առնչվող այլ դեպքերում 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t>տիեզերական գործունեություն իրականացնող անձ</w:t>
      </w:r>
      <w:r w:rsidR="00DC3695">
        <w:rPr>
          <w:rFonts w:ascii="GHEA Grapalat" w:hAnsi="GHEA Grapalat"/>
          <w:color w:val="000000"/>
          <w:sz w:val="24"/>
          <w:szCs w:val="24"/>
          <w:lang w:val="hy-AM"/>
        </w:rPr>
        <w:t>ին երբեմն</w:t>
      </w:r>
      <w:r w:rsidR="008250D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F58EB">
        <w:rPr>
          <w:rFonts w:ascii="GHEA Grapalat" w:hAnsi="GHEA Grapalat"/>
          <w:color w:val="000000"/>
          <w:sz w:val="24"/>
          <w:szCs w:val="24"/>
          <w:lang w:val="hy-AM"/>
        </w:rPr>
        <w:t>անհրաժեշտ է լինում</w:t>
      </w:r>
      <w:r w:rsidR="00DC3695">
        <w:rPr>
          <w:rFonts w:ascii="GHEA Grapalat" w:hAnsi="GHEA Grapalat"/>
          <w:color w:val="000000"/>
          <w:sz w:val="24"/>
          <w:szCs w:val="24"/>
          <w:lang w:val="hy-AM"/>
        </w:rPr>
        <w:t xml:space="preserve"> լիցենզավորված գործունեությունից բխող որոշ փաստաթղթեր և լիազոր մարմինը հնարավորություն չի ունենում այն տրամադրելու: </w:t>
      </w:r>
    </w:p>
    <w:p w14:paraId="37A456A1" w14:textId="49667540" w:rsidR="00CD655C" w:rsidRDefault="00CD655C" w:rsidP="00DC3695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Նախագծերը կարծիքի է ներկայացվել է ՀՀ ֆինանսների նախարարություն և պետական եկամուտների կոմիտե: Լրամշակվել է նշված գերատեսչությունների առաջարկների և դիտողությունների համատեքստում:</w:t>
      </w:r>
    </w:p>
    <w:p w14:paraId="6CD0512E" w14:textId="1F4F1483" w:rsidR="00B63794" w:rsidRPr="00C938AD" w:rsidRDefault="00B6379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Նախագծ</w:t>
      </w:r>
      <w:r w:rsidR="00CD655C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երի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մշակման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գործընթացում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ներգրավված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ինստիտուտները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անձիք</w:t>
      </w:r>
      <w:r w:rsidR="00DC369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.</w:t>
      </w:r>
      <w:r w:rsidR="0067720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   </w:t>
      </w:r>
      <w:r w:rsidR="00DC3695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Նա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>խագիծը մշակվել է ՀՀ բարձր տեխնոլոգիական արդյունաբերության նախարարության կողմից:</w:t>
      </w:r>
    </w:p>
    <w:p w14:paraId="0EC74688" w14:textId="6F2099AD" w:rsidR="007A6B20" w:rsidRPr="00C938AD" w:rsidRDefault="00B6379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Իրավական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ակտի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2D43C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ընդունման 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դեպքում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ակնկալվող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արդյունքը.</w:t>
      </w:r>
      <w:r w:rsidRPr="00C938AD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</w:p>
    <w:p w14:paraId="51073884" w14:textId="188C42F9" w:rsidR="007A6B20" w:rsidRPr="00C938AD" w:rsidRDefault="00B6379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Իրավական ակտի ընդունման արդյունքում </w:t>
      </w:r>
      <w:r w:rsidR="00803ECA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տիեզերական գործունեության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ոլորտում </w:t>
      </w:r>
      <w:r w:rsidR="00803ECA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կներգրավվեն գիտահետազոտական</w:t>
      </w:r>
      <w:r w:rsidR="007961C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աշխատանքներ իրականացնող կամ նորարարական և ժամանակակից տեխնոլոգիաների ներդրման գործունեությամբ զբաղվող փոքր </w:t>
      </w:r>
      <w:r w:rsidR="00DC3695">
        <w:rPr>
          <w:rFonts w:ascii="GHEA Grapalat" w:eastAsia="Times New Roman" w:hAnsi="GHEA Grapalat" w:cs="GHEA Grapalat"/>
          <w:sz w:val="24"/>
          <w:szCs w:val="24"/>
          <w:lang w:val="hy-AM"/>
        </w:rPr>
        <w:t>ոչ առևտրային</w:t>
      </w:r>
      <w:r w:rsidR="007961C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սուբյեկտներ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որոնց համար</w:t>
      </w:r>
      <w:r w:rsidR="007961C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բարձր պետական տուրքը խոչընդոտ էր նշված ոլորտում գործունեություն ծավալելու համար։  Նշվածն 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էլ խթան կհանդիսանա Հայաստանի Հանրապետության տնտեսության արտադրողականության և մրցունա</w:t>
      </w:r>
      <w:r w:rsidR="00DA144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կության բարձրացման, գիտելիքահեն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տնտեսության զա</w:t>
      </w:r>
      <w:r w:rsidR="00862CC6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րգացման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, օտարերկրյա ներդրումների ներգրավման, տեղական ընկերությունների արտադրանքի</w:t>
      </w:r>
      <w:r w:rsidR="007A6B20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համար։</w:t>
      </w:r>
    </w:p>
    <w:p w14:paraId="0A47A2E7" w14:textId="74C82601" w:rsidR="00B63794" w:rsidRPr="00971658" w:rsidRDefault="00B63794" w:rsidP="002D43CB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6.Իրավական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ակտն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ընդունելու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դեպքում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պետական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բյուջեում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կամ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8F21FC"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տեղական</w:t>
      </w:r>
      <w:r w:rsidR="002D43CB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ինքնակառավարման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մարմինների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բյուջեներում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ծախսերի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և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եկամուտների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էական</w:t>
      </w:r>
      <w:r w:rsidR="00971658" w:rsidRPr="00971658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ավելացումների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կամ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նվազեցումների</w:t>
      </w:r>
      <w:r w:rsidRPr="00971658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71658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մասին.</w:t>
      </w:r>
    </w:p>
    <w:p w14:paraId="54BA4CE5" w14:textId="43C1E2F3" w:rsidR="002D43CB" w:rsidRDefault="00B6379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 xml:space="preserve">Նախագծի ընդունումը </w:t>
      </w:r>
      <w:r w:rsidR="007961C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կհանգեցնի 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ՀՀ պետական բյուջեի տարեկան եկա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  <w:t xml:space="preserve">մուտների </w:t>
      </w:r>
      <w:r w:rsidR="007961CD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կրճատմանը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14:paraId="002C52E2" w14:textId="77777777" w:rsidR="002D43CB" w:rsidRDefault="002D43CB">
      <w:pPr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br w:type="page"/>
      </w:r>
    </w:p>
    <w:p w14:paraId="32034D86" w14:textId="77777777" w:rsidR="00862CC6" w:rsidRPr="00C938AD" w:rsidRDefault="00862CC6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0A24DEB6" w14:textId="77777777" w:rsidR="00862CC6" w:rsidRPr="00C938AD" w:rsidRDefault="00862CC6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8F21FC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7․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B63794" w:rsidRPr="00C938A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Կապը ռազմավարական փաստաթղթերի հետ.</w:t>
      </w:r>
      <w:r w:rsidR="00B63794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4380A6B6" w14:textId="77777777" w:rsidR="007A6B20" w:rsidRPr="00C938AD" w:rsidRDefault="00B63794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կառավարության 2021-2026թթ. </w:t>
      </w:r>
      <w:r w:rsidR="007A6B20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Ծ</w:t>
      </w: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>րագրի</w:t>
      </w:r>
      <w:r w:rsidR="007A6B20"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համաձայն Հեռահաղորդակցության ոլորտում Կառավարության նախատեսվող քայլերն են՝ ընդունել տիեզերական գործունեության ոլորտում Հայաստանի Հանրապետության տնտեսության և գիտության զարգացման, անվտանգության ամրապնդման ոլորտում Հայաստանի Հանրապետության միջազգային համագործակցության ընդլայնման համապարփակ ռազմավարությունը։ </w:t>
      </w:r>
    </w:p>
    <w:p w14:paraId="422E5ED5" w14:textId="77777777" w:rsidR="000B6446" w:rsidRPr="00C938AD" w:rsidRDefault="007A6B20" w:rsidP="00DC369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938A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Նշված նախագծի ընդունումը տիեզերական գործունեության ոլորտում կատարվող կարևոր փոփոխություններից մեկն է։ </w:t>
      </w:r>
    </w:p>
    <w:sectPr w:rsidR="000B6446" w:rsidRPr="00C938AD" w:rsidSect="00DC3695">
      <w:pgSz w:w="12240" w:h="15840"/>
      <w:pgMar w:top="990" w:right="99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EF0"/>
    <w:multiLevelType w:val="multilevel"/>
    <w:tmpl w:val="6B74B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2130C"/>
    <w:multiLevelType w:val="multilevel"/>
    <w:tmpl w:val="E190F9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B3491"/>
    <w:multiLevelType w:val="hybridMultilevel"/>
    <w:tmpl w:val="D65C16BA"/>
    <w:lvl w:ilvl="0" w:tplc="66F42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991CE4"/>
    <w:multiLevelType w:val="hybridMultilevel"/>
    <w:tmpl w:val="3AAAEFC0"/>
    <w:lvl w:ilvl="0" w:tplc="71E6F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F2C3E"/>
    <w:multiLevelType w:val="multilevel"/>
    <w:tmpl w:val="16D06CB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51BE2487"/>
    <w:multiLevelType w:val="multilevel"/>
    <w:tmpl w:val="2B222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356C6"/>
    <w:multiLevelType w:val="hybridMultilevel"/>
    <w:tmpl w:val="D618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00"/>
    <w:rsid w:val="00073F0D"/>
    <w:rsid w:val="000844CA"/>
    <w:rsid w:val="000B6446"/>
    <w:rsid w:val="000C21A4"/>
    <w:rsid w:val="001A5110"/>
    <w:rsid w:val="00281D51"/>
    <w:rsid w:val="002839A9"/>
    <w:rsid w:val="002D43CB"/>
    <w:rsid w:val="004856A9"/>
    <w:rsid w:val="00517573"/>
    <w:rsid w:val="00551BA0"/>
    <w:rsid w:val="0059029F"/>
    <w:rsid w:val="00594600"/>
    <w:rsid w:val="006409A4"/>
    <w:rsid w:val="00645589"/>
    <w:rsid w:val="00656738"/>
    <w:rsid w:val="00675497"/>
    <w:rsid w:val="0067720D"/>
    <w:rsid w:val="006F58EB"/>
    <w:rsid w:val="00757D48"/>
    <w:rsid w:val="00784EFB"/>
    <w:rsid w:val="007961CD"/>
    <w:rsid w:val="007A6B20"/>
    <w:rsid w:val="00803ECA"/>
    <w:rsid w:val="008250D6"/>
    <w:rsid w:val="00862CC6"/>
    <w:rsid w:val="008F21FC"/>
    <w:rsid w:val="0091031D"/>
    <w:rsid w:val="00945CAB"/>
    <w:rsid w:val="00971658"/>
    <w:rsid w:val="009F5E29"/>
    <w:rsid w:val="00B00D73"/>
    <w:rsid w:val="00B63794"/>
    <w:rsid w:val="00B66ADB"/>
    <w:rsid w:val="00BD141E"/>
    <w:rsid w:val="00C532C1"/>
    <w:rsid w:val="00C80C82"/>
    <w:rsid w:val="00C938AD"/>
    <w:rsid w:val="00CD655C"/>
    <w:rsid w:val="00DA1444"/>
    <w:rsid w:val="00DC3695"/>
    <w:rsid w:val="00F0383D"/>
    <w:rsid w:val="00F24ED3"/>
    <w:rsid w:val="00FA45EB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ADD8"/>
  <w15:chartTrackingRefBased/>
  <w15:docId w15:val="{FE9F051E-F965-4F7A-9046-888FBEF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794"/>
    <w:rPr>
      <w:b/>
      <w:bCs/>
    </w:rPr>
  </w:style>
  <w:style w:type="paragraph" w:styleId="ListParagraph">
    <w:name w:val="List Paragraph"/>
    <w:basedOn w:val="Normal"/>
    <w:uiPriority w:val="34"/>
    <w:qFormat/>
    <w:rsid w:val="00FA45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5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96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80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80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7818" TargetMode="External"/><Relationship Id="rId10" Type="http://schemas.openxmlformats.org/officeDocument/2006/relationships/hyperlink" Target="https://www.arlis.am/DocumentView.aspx?docid=148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595</Words>
  <Characters>4965</Characters>
  <Application>Microsoft Office Word</Application>
  <DocSecurity>0</DocSecurity>
  <Lines>94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Kirakosyan</dc:creator>
  <cp:keywords>https://mul2-mtc.gov.am/tasks/992135/oneclick/Himnavorum.docx?token=bac8745dc3c1ce25361b4b74168d8a74</cp:keywords>
  <dc:description/>
  <cp:lastModifiedBy>Vahe Sargsyan</cp:lastModifiedBy>
  <cp:revision>14</cp:revision>
  <dcterms:created xsi:type="dcterms:W3CDTF">2022-12-12T06:29:00Z</dcterms:created>
  <dcterms:modified xsi:type="dcterms:W3CDTF">2023-04-21T06:23:00Z</dcterms:modified>
</cp:coreProperties>
</file>