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E6" w:rsidRPr="00DC4EE6" w:rsidRDefault="00DC4EE6" w:rsidP="00DC4EE6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DC4EE6">
        <w:rPr>
          <w:rFonts w:ascii="GHEA Grapalat" w:hAnsi="GHEA Grapalat" w:cs="Sylfaen"/>
          <w:b/>
          <w:lang w:val="hy-AM"/>
        </w:rPr>
        <w:t>ՀԻՄՆԱՎՈՐՈՒՄ</w:t>
      </w:r>
    </w:p>
    <w:p w:rsidR="00DC4EE6" w:rsidRPr="00DC4EE6" w:rsidRDefault="00D802D3" w:rsidP="00D802D3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D802D3">
        <w:rPr>
          <w:rFonts w:ascii="GHEA Grapalat" w:hAnsi="GHEA Grapalat" w:cs="Sylfaen"/>
          <w:b/>
          <w:bCs/>
          <w:lang w:val="hy-AM"/>
        </w:rPr>
        <w:t xml:space="preserve"> «ՀԱՅԱՍՏԱՆԻ ՀԱՆՐԱՊԵՏՈՒԹՅԱՆ ՀԱՐԿԱՅԻՆ ՕՐԵՆՍԳՐՔՈՒՄ ԼՐԱՑՈՒՄՆԵՐ ԵՎ Փ</w:t>
      </w:r>
      <w:r w:rsidR="006A438C">
        <w:rPr>
          <w:rFonts w:ascii="GHEA Grapalat" w:hAnsi="GHEA Grapalat" w:cs="Sylfaen"/>
          <w:b/>
          <w:bCs/>
          <w:lang w:val="hy-AM"/>
        </w:rPr>
        <w:t>ՈՓՈԽՈՒԹՅՈՒՆՆԵՐ ԿԱՏԱՐԵԼՈՒ ՄԱՍԻՆ»</w:t>
      </w:r>
      <w:r w:rsidR="0031272F">
        <w:rPr>
          <w:rFonts w:ascii="GHEA Grapalat" w:hAnsi="GHEA Grapalat" w:cs="Sylfaen"/>
          <w:b/>
          <w:bCs/>
          <w:lang w:val="pt-BR"/>
        </w:rPr>
        <w:t xml:space="preserve"> </w:t>
      </w:r>
      <w:r w:rsidRPr="00D802D3">
        <w:rPr>
          <w:rFonts w:ascii="GHEA Grapalat" w:hAnsi="GHEA Grapalat" w:cs="Sylfaen"/>
          <w:b/>
          <w:bCs/>
          <w:lang w:val="hy-AM"/>
        </w:rPr>
        <w:t>Հ</w:t>
      </w:r>
      <w:r w:rsidR="0031272F">
        <w:rPr>
          <w:rFonts w:ascii="GHEA Grapalat" w:hAnsi="GHEA Grapalat" w:cs="Sylfaen"/>
          <w:b/>
          <w:bCs/>
          <w:lang w:val="hy-AM"/>
        </w:rPr>
        <w:t>ԱՅԱՍՏԱՆԻ ՀԱՆՐԱՊԵՏՈՒԹՅԱՆ ՕՐԵՆՔ</w:t>
      </w:r>
      <w:r w:rsidR="00DE546D">
        <w:rPr>
          <w:rFonts w:ascii="GHEA Grapalat" w:hAnsi="GHEA Grapalat" w:cs="Sylfaen"/>
          <w:b/>
          <w:bCs/>
          <w:lang w:val="hy-AM"/>
        </w:rPr>
        <w:t xml:space="preserve">Ի </w:t>
      </w:r>
      <w:r w:rsidRPr="00D802D3">
        <w:rPr>
          <w:rFonts w:ascii="GHEA Grapalat" w:hAnsi="GHEA Grapalat" w:cs="Sylfaen"/>
          <w:b/>
          <w:bCs/>
          <w:lang w:val="hy-AM"/>
        </w:rPr>
        <w:t>ՆԱԽԱԳԾԻ</w:t>
      </w:r>
      <w:r w:rsidR="00DC4EE6" w:rsidRPr="00DC4EE6">
        <w:rPr>
          <w:rFonts w:ascii="GHEA Grapalat" w:hAnsi="GHEA Grapalat" w:cs="Sylfaen"/>
          <w:b/>
          <w:lang w:val="hy-AM"/>
        </w:rPr>
        <w:t xml:space="preserve"> ԸՆԴՈՒՆՄԱՆ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DC4EE6" w:rsidRPr="00DC4EE6" w:rsidRDefault="00DC4EE6" w:rsidP="00DC4EE6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DC4EE6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7E5069" w:rsidRDefault="006A438C" w:rsidP="006A438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«Հ</w:t>
      </w:r>
      <w:r w:rsidRPr="006A438C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6A438C">
        <w:rPr>
          <w:rFonts w:ascii="GHEA Grapalat" w:hAnsi="GHEA Grapalat" w:cs="Sylfaen"/>
          <w:lang w:val="hy-AM"/>
        </w:rPr>
        <w:t xml:space="preserve">անրապետության հարկային օրենսգրքում լրացումներ </w:t>
      </w:r>
      <w:r>
        <w:rPr>
          <w:rFonts w:ascii="GHEA Grapalat" w:hAnsi="GHEA Grapalat" w:cs="Sylfaen"/>
          <w:lang w:val="hy-AM"/>
        </w:rPr>
        <w:t xml:space="preserve">և </w:t>
      </w:r>
      <w:r w:rsidRPr="006A438C">
        <w:rPr>
          <w:rFonts w:ascii="GHEA Grapalat" w:hAnsi="GHEA Grapalat" w:cs="Sylfaen"/>
          <w:lang w:val="hy-AM"/>
        </w:rPr>
        <w:t>փոփո</w:t>
      </w:r>
      <w:r w:rsidR="0031272F">
        <w:rPr>
          <w:rFonts w:ascii="GHEA Grapalat" w:hAnsi="GHEA Grapalat" w:cs="Sylfaen"/>
          <w:lang w:val="hy-AM"/>
        </w:rPr>
        <w:t xml:space="preserve">խություններ կատարելու մասին» </w:t>
      </w:r>
      <w:r>
        <w:rPr>
          <w:rFonts w:ascii="GHEA Grapalat" w:hAnsi="GHEA Grapalat" w:cs="Sylfaen"/>
          <w:lang w:val="hy-AM"/>
        </w:rPr>
        <w:t>Հայաստանի Հ</w:t>
      </w:r>
      <w:r w:rsidR="0031272F">
        <w:rPr>
          <w:rFonts w:ascii="GHEA Grapalat" w:hAnsi="GHEA Grapalat" w:cs="Sylfaen"/>
          <w:lang w:val="hy-AM"/>
        </w:rPr>
        <w:t>անրապետության օրենք</w:t>
      </w:r>
      <w:r w:rsidRPr="006A438C">
        <w:rPr>
          <w:rFonts w:ascii="GHEA Grapalat" w:hAnsi="GHEA Grapalat" w:cs="Sylfaen"/>
          <w:lang w:val="hy-AM"/>
        </w:rPr>
        <w:t>ի նախագ</w:t>
      </w:r>
      <w:r w:rsidR="00DE546D">
        <w:rPr>
          <w:rFonts w:ascii="GHEA Grapalat" w:hAnsi="GHEA Grapalat" w:cs="Sylfaen"/>
          <w:lang w:val="hy-AM"/>
        </w:rPr>
        <w:t>ի</w:t>
      </w:r>
      <w:r w:rsidRPr="006A438C">
        <w:rPr>
          <w:rFonts w:ascii="GHEA Grapalat" w:hAnsi="GHEA Grapalat" w:cs="Sylfaen"/>
          <w:lang w:val="hy-AM"/>
        </w:rPr>
        <w:t>ծ</w:t>
      </w:r>
      <w:r>
        <w:rPr>
          <w:rFonts w:ascii="GHEA Grapalat" w:hAnsi="GHEA Grapalat" w:cs="Sylfaen"/>
          <w:lang w:val="hy-AM"/>
        </w:rPr>
        <w:t xml:space="preserve">ը մշակվել </w:t>
      </w:r>
      <w:r w:rsidR="00DE546D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 w:rsidR="006305DD">
        <w:rPr>
          <w:rFonts w:ascii="GHEA Grapalat" w:hAnsi="GHEA Grapalat" w:cs="Sylfaen"/>
          <w:lang w:val="hy-AM"/>
        </w:rPr>
        <w:t xml:space="preserve">ՀՀ վարչապետի կողմից </w:t>
      </w:r>
      <w:r w:rsidR="00D802D3" w:rsidRPr="00D802D3">
        <w:rPr>
          <w:rFonts w:ascii="GHEA Grapalat" w:hAnsi="GHEA Grapalat" w:cs="Sylfaen"/>
          <w:lang w:val="hy-AM"/>
        </w:rPr>
        <w:t>23.01.2023թ.</w:t>
      </w:r>
      <w:r w:rsidR="006305DD">
        <w:rPr>
          <w:rFonts w:ascii="GHEA Grapalat" w:hAnsi="GHEA Grapalat" w:cs="Sylfaen"/>
          <w:lang w:val="hy-AM"/>
        </w:rPr>
        <w:t xml:space="preserve">-ին </w:t>
      </w:r>
      <w:r w:rsidR="00D802D3" w:rsidRPr="00D802D3">
        <w:rPr>
          <w:rFonts w:ascii="GHEA Grapalat" w:hAnsi="GHEA Grapalat" w:cs="Sylfaen"/>
          <w:lang w:val="hy-AM"/>
        </w:rPr>
        <w:t>ՀՀ ՊԵԿ-ում անցկացված խորհրդակցության N</w:t>
      </w:r>
      <w:r w:rsidR="006305DD">
        <w:rPr>
          <w:rFonts w:ascii="GHEA Grapalat" w:hAnsi="GHEA Grapalat" w:cs="Sylfaen"/>
          <w:lang w:val="hy-AM"/>
        </w:rPr>
        <w:t xml:space="preserve"> </w:t>
      </w:r>
      <w:r w:rsidR="00D802D3" w:rsidRPr="00D802D3">
        <w:rPr>
          <w:rFonts w:ascii="GHEA Grapalat" w:hAnsi="GHEA Grapalat" w:cs="Sylfaen"/>
          <w:lang w:val="hy-AM"/>
        </w:rPr>
        <w:t xml:space="preserve">Վ/08-2023 արձանագրության </w:t>
      </w:r>
      <w:r w:rsidR="00C65A4B" w:rsidRPr="00C65A4B">
        <w:rPr>
          <w:rFonts w:ascii="GHEA Grapalat" w:hAnsi="GHEA Grapalat" w:cs="Sylfaen"/>
          <w:lang w:val="fr-FR"/>
        </w:rPr>
        <w:t>(</w:t>
      </w:r>
      <w:r w:rsidR="00C65A4B">
        <w:rPr>
          <w:rFonts w:ascii="GHEA Grapalat" w:hAnsi="GHEA Grapalat" w:cs="Sylfaen"/>
          <w:lang w:val="hy-AM"/>
        </w:rPr>
        <w:t>այսուհետ` Արձանագրություն</w:t>
      </w:r>
      <w:r w:rsidR="00C65A4B" w:rsidRPr="00C65A4B">
        <w:rPr>
          <w:rFonts w:ascii="GHEA Grapalat" w:hAnsi="GHEA Grapalat" w:cs="Sylfaen"/>
          <w:lang w:val="fr-FR"/>
        </w:rPr>
        <w:t xml:space="preserve">) </w:t>
      </w:r>
      <w:r w:rsidR="00D802D3" w:rsidRPr="00D802D3">
        <w:rPr>
          <w:rFonts w:ascii="GHEA Grapalat" w:hAnsi="GHEA Grapalat" w:cs="Sylfaen"/>
          <w:lang w:val="hy-AM"/>
        </w:rPr>
        <w:t>5-րդ կետի 2-րդ ենթակետի կատարումն ապահովելու նպատակով</w:t>
      </w:r>
      <w:r w:rsidR="006305DD">
        <w:rPr>
          <w:rFonts w:ascii="GHEA Grapalat" w:hAnsi="GHEA Grapalat" w:cs="Sylfaen"/>
          <w:lang w:val="hy-AM"/>
        </w:rPr>
        <w:t xml:space="preserve">: </w:t>
      </w:r>
    </w:p>
    <w:p w:rsid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DC4EE6">
        <w:rPr>
          <w:rFonts w:ascii="GHEA Grapalat" w:hAnsi="GHEA Grapalat" w:cs="Sylfaen"/>
          <w:b/>
          <w:bCs/>
          <w:lang w:val="hy-AM"/>
        </w:rPr>
        <w:t>2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Ընթացիկ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իրավիճակը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և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իրավական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ակտի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ընդունման</w:t>
      </w:r>
      <w:r w:rsidRPr="00DC4EE6">
        <w:rPr>
          <w:rFonts w:ascii="GHEA Grapalat" w:hAnsi="GHEA Grapalat" w:cs="Sylfaen"/>
          <w:b/>
          <w:bCs/>
          <w:lang w:val="fr-FR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A74DE8" w:rsidRDefault="00A74DE8" w:rsidP="00DB0B8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A74DE8">
        <w:rPr>
          <w:rFonts w:ascii="GHEA Grapalat" w:hAnsi="GHEA Grapalat" w:cs="Sylfaen"/>
          <w:bCs/>
          <w:lang w:val="hy-AM"/>
        </w:rPr>
        <w:t xml:space="preserve">2022 թվականին ավարտված դատական գործերի ցուցանիշների համաձայն վարչական դատարանների կողմից կայացված որոշումների </w:t>
      </w:r>
      <w:proofErr w:type="spellStart"/>
      <w:r w:rsidRPr="00A74DE8">
        <w:rPr>
          <w:rFonts w:ascii="GHEA Grapalat" w:hAnsi="GHEA Grapalat" w:cs="Sylfaen"/>
          <w:bCs/>
          <w:lang w:val="hy-AM"/>
        </w:rPr>
        <w:t>գերակշռիռ</w:t>
      </w:r>
      <w:proofErr w:type="spellEnd"/>
      <w:r w:rsidRPr="00A74DE8">
        <w:rPr>
          <w:rFonts w:ascii="GHEA Grapalat" w:hAnsi="GHEA Grapalat" w:cs="Sylfaen"/>
          <w:bCs/>
          <w:lang w:val="hy-AM"/>
        </w:rPr>
        <w:t xml:space="preserve"> մասը կայացվել է ի օգուտ </w:t>
      </w:r>
      <w:proofErr w:type="spellStart"/>
      <w:r w:rsidRPr="00A74DE8">
        <w:rPr>
          <w:rFonts w:ascii="GHEA Grapalat" w:hAnsi="GHEA Grapalat" w:cs="Sylfaen"/>
          <w:bCs/>
          <w:lang w:val="hy-AM"/>
        </w:rPr>
        <w:t>տնտեսվարողի</w:t>
      </w:r>
      <w:proofErr w:type="spellEnd"/>
      <w:r w:rsidRPr="00A74DE8">
        <w:rPr>
          <w:rFonts w:ascii="GHEA Grapalat" w:hAnsi="GHEA Grapalat" w:cs="Sylfaen"/>
          <w:bCs/>
          <w:lang w:val="hy-AM"/>
        </w:rPr>
        <w:t xml:space="preserve">, և ՀՀ ՊԵԿ կողմից իրականացված </w:t>
      </w:r>
      <w:proofErr w:type="spellStart"/>
      <w:r w:rsidRPr="00A74DE8">
        <w:rPr>
          <w:rFonts w:ascii="GHEA Grapalat" w:hAnsi="GHEA Grapalat" w:cs="Sylfaen"/>
          <w:bCs/>
          <w:lang w:val="hy-AM"/>
        </w:rPr>
        <w:t>վարչարարության</w:t>
      </w:r>
      <w:proofErr w:type="spellEnd"/>
      <w:r w:rsidRPr="00A74DE8">
        <w:rPr>
          <w:rFonts w:ascii="GHEA Grapalat" w:hAnsi="GHEA Grapalat" w:cs="Sylfaen"/>
          <w:bCs/>
          <w:lang w:val="hy-AM"/>
        </w:rPr>
        <w:t xml:space="preserve"> արդյունքում կայացված որոշումների և դատարանների կողմից կայացված որոշումների </w:t>
      </w:r>
      <w:proofErr w:type="spellStart"/>
      <w:r w:rsidRPr="00A74DE8">
        <w:rPr>
          <w:rFonts w:ascii="GHEA Grapalat" w:hAnsi="GHEA Grapalat" w:cs="Sylfaen"/>
          <w:bCs/>
          <w:lang w:val="hy-AM"/>
        </w:rPr>
        <w:t>միջև</w:t>
      </w:r>
      <w:proofErr w:type="spellEnd"/>
      <w:r w:rsidRPr="00A74DE8">
        <w:rPr>
          <w:rFonts w:ascii="GHEA Grapalat" w:hAnsi="GHEA Grapalat" w:cs="Sylfaen"/>
          <w:bCs/>
          <w:lang w:val="hy-AM"/>
        </w:rPr>
        <w:t xml:space="preserve"> առկա շեղումները կարող են պայմանավորված լինել որոշակի հանգամանքներով, ուստի Արձանագրության 5-րդ կետի 2-րդ ենթակետով հանձնարարվել է  դատական համակարգի հետ ցուցանիշների </w:t>
      </w:r>
      <w:proofErr w:type="spellStart"/>
      <w:r w:rsidRPr="00A74DE8">
        <w:rPr>
          <w:rFonts w:ascii="GHEA Grapalat" w:hAnsi="GHEA Grapalat" w:cs="Sylfaen"/>
          <w:bCs/>
          <w:lang w:val="hy-AM"/>
        </w:rPr>
        <w:t>միջև</w:t>
      </w:r>
      <w:proofErr w:type="spellEnd"/>
      <w:r w:rsidRPr="00A74DE8">
        <w:rPr>
          <w:rFonts w:ascii="GHEA Grapalat" w:hAnsi="GHEA Grapalat" w:cs="Sylfaen"/>
          <w:bCs/>
          <w:lang w:val="hy-AM"/>
        </w:rPr>
        <w:t xml:space="preserve"> առկա շեղումների խնդրի կարգավորման շրջանակներում իրականացնել քննարկումներ և վեր հանել հնարավոր խնդիրները: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ՀՀ կառավարության կողմից որդեգրվել է ստվերային տնտեսության դեմ պայքարի </w:t>
      </w:r>
      <w:proofErr w:type="spellStart"/>
      <w:r w:rsidRPr="00D3705A">
        <w:rPr>
          <w:rFonts w:ascii="GHEA Grapalat" w:hAnsi="GHEA Grapalat" w:cs="Sylfaen"/>
          <w:bCs/>
          <w:lang w:val="hy-AM"/>
        </w:rPr>
        <w:t>հետևողական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քաղաքականություն: Հաշվի առնելով այն հանգամանքը, որ պրակտիկայում հանդիպում են դեպքեր, երբ հարկային հսկողության արդյուն</w:t>
      </w:r>
      <w:r w:rsidR="00393558">
        <w:rPr>
          <w:rFonts w:ascii="GHEA Grapalat" w:hAnsi="GHEA Grapalat" w:cs="Sylfaen"/>
          <w:bCs/>
          <w:lang w:val="hy-AM"/>
        </w:rPr>
        <w:t xml:space="preserve">քներով՝ ՀԴՄ կտրոն չտրամադրելու </w:t>
      </w:r>
      <w:r w:rsidRPr="00D3705A">
        <w:rPr>
          <w:rFonts w:ascii="GHEA Grapalat" w:hAnsi="GHEA Grapalat" w:cs="Sylfaen"/>
          <w:bCs/>
          <w:lang w:val="hy-AM"/>
        </w:rPr>
        <w:t xml:space="preserve">դեպքեր հայտնաբերելիս ապացուցողական բեռը շատ բարդ է` անհրաժեշտություն է առաջացել որպես հարկային հսկողության հարակից ընթացակարգի տեսակ սահմանել </w:t>
      </w:r>
      <w:proofErr w:type="spellStart"/>
      <w:r w:rsidRPr="00D3705A">
        <w:rPr>
          <w:rFonts w:ascii="GHEA Grapalat" w:hAnsi="GHEA Grapalat" w:cs="Sylfaen"/>
          <w:bCs/>
          <w:lang w:val="hy-AM"/>
        </w:rPr>
        <w:t>տեսանկարահանումը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հարկային հսկողության ընթացքում՝ հարկային հսկողության շրջանակներում արձանագրված խախտման փաստը հաստատող  հանգամանքները հիմնավորելու նպատակով։ 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lastRenderedPageBreak/>
        <w:t>Հսկիչ դրամարկղային մեքենաների</w:t>
      </w:r>
      <w:r w:rsidR="007445F1">
        <w:rPr>
          <w:rFonts w:ascii="GHEA Grapalat" w:hAnsi="GHEA Grapalat" w:cs="Sylfaen"/>
          <w:bCs/>
          <w:lang w:val="hy-AM"/>
        </w:rPr>
        <w:t xml:space="preserve"> կիրառության կանոնների խախտման </w:t>
      </w:r>
      <w:r w:rsidRPr="00D3705A">
        <w:rPr>
          <w:rFonts w:ascii="GHEA Grapalat" w:hAnsi="GHEA Grapalat" w:cs="Sylfaen"/>
          <w:bCs/>
          <w:lang w:val="hy-AM"/>
        </w:rPr>
        <w:t xml:space="preserve">ստուգման արդյունքում կազմված վարչական ակտերի գերակշիռ մասը դատական կարգով վիճարկման արդյունքում ճանաչվում է անվավեր: Որպես կանոն անվավեր ճանաչվելու հիմքում դրվում է այն փաստը, որ չի հիմնավորվում հսկիչ գնում կատարելու փաստը: 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Գործող </w:t>
      </w:r>
      <w:proofErr w:type="spellStart"/>
      <w:r w:rsidRPr="00D3705A">
        <w:rPr>
          <w:rFonts w:ascii="GHEA Grapalat" w:hAnsi="GHEA Grapalat" w:cs="Sylfaen"/>
          <w:bCs/>
          <w:lang w:val="hy-AM"/>
        </w:rPr>
        <w:t>իրավակարգավորումների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համաձայն հարկային հսկողության ընթացքում կարող է տեսաձայնագրում կիրառվել բացառապես  հարկային հսկողության համար նշանակություն ունեցող հանգամանքների բացահայտման նպատակով  հարկ վճարողի տարածքների, շինությունների, փոխադրամիջոցների, փաստաթղթերի և առարկաների զննման շրջանակում, այն էլ՝ հարկ վճարողին նախապես գրավոր ծանուցելուց հետո միայն (ՀՕ 354 հդ</w:t>
      </w:r>
      <w:r w:rsidRPr="00D3705A">
        <w:rPr>
          <w:rFonts w:ascii="Cambria Math" w:hAnsi="Cambria Math" w:cs="Cambria Math"/>
          <w:bCs/>
          <w:lang w:val="hy-AM"/>
        </w:rPr>
        <w:t>․</w:t>
      </w:r>
      <w:r w:rsidRPr="00D3705A">
        <w:rPr>
          <w:rFonts w:ascii="GHEA Grapalat" w:hAnsi="GHEA Grapalat" w:cs="Sylfaen"/>
          <w:bCs/>
          <w:lang w:val="hy-AM"/>
        </w:rPr>
        <w:t>)</w:t>
      </w:r>
      <w:r w:rsidRPr="00D3705A">
        <w:rPr>
          <w:rFonts w:ascii="GHEA Grapalat" w:hAnsi="GHEA Grapalat" w:cs="GHEA Grapalat"/>
          <w:bCs/>
          <w:lang w:val="hy-AM"/>
        </w:rPr>
        <w:t>։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GHEA Grapalat"/>
          <w:bCs/>
          <w:lang w:val="hy-AM"/>
        </w:rPr>
        <w:t>Ուստի</w:t>
      </w:r>
      <w:r w:rsidRPr="00D3705A">
        <w:rPr>
          <w:rFonts w:ascii="GHEA Grapalat" w:hAnsi="GHEA Grapalat" w:cs="Sylfaen"/>
          <w:bCs/>
          <w:lang w:val="hy-AM"/>
        </w:rPr>
        <w:t xml:space="preserve">,  </w:t>
      </w:r>
      <w:r w:rsidRPr="00D3705A">
        <w:rPr>
          <w:rFonts w:ascii="GHEA Grapalat" w:hAnsi="GHEA Grapalat" w:cs="GHEA Grapalat"/>
          <w:bCs/>
          <w:lang w:val="hy-AM"/>
        </w:rPr>
        <w:t>տեսանկարահանման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GHEA Grapalat"/>
          <w:bCs/>
          <w:lang w:val="hy-AM"/>
        </w:rPr>
        <w:t>կամ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D3705A">
        <w:rPr>
          <w:rFonts w:ascii="GHEA Grapalat" w:hAnsi="GHEA Grapalat" w:cs="GHEA Grapalat"/>
          <w:bCs/>
          <w:lang w:val="hy-AM"/>
        </w:rPr>
        <w:t>լուսանկարահանման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GHEA Grapalat"/>
          <w:bCs/>
          <w:lang w:val="hy-AM"/>
        </w:rPr>
        <w:t>սարքեր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GHEA Grapalat"/>
          <w:bCs/>
          <w:lang w:val="hy-AM"/>
        </w:rPr>
        <w:t>կիրառելը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GHEA Grapalat"/>
          <w:bCs/>
          <w:lang w:val="hy-AM"/>
        </w:rPr>
        <w:t>ներկա</w:t>
      </w:r>
      <w:r w:rsidRPr="00D3705A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D3705A">
        <w:rPr>
          <w:rFonts w:ascii="GHEA Grapalat" w:hAnsi="GHEA Grapalat" w:cs="GHEA Grapalat"/>
          <w:bCs/>
          <w:lang w:val="hy-AM"/>
        </w:rPr>
        <w:t>իրավակարգավո</w:t>
      </w:r>
      <w:r w:rsidRPr="00D3705A">
        <w:rPr>
          <w:rFonts w:ascii="GHEA Grapalat" w:hAnsi="GHEA Grapalat" w:cs="Sylfaen"/>
          <w:bCs/>
          <w:lang w:val="hy-AM"/>
        </w:rPr>
        <w:t>րումների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պարագայում կարող է հակասության մեջ մտնել Սահմանադրության 31-րդ հոդվածի և Մարդու իրավունքների </w:t>
      </w:r>
      <w:proofErr w:type="spellStart"/>
      <w:r w:rsidRPr="00D3705A">
        <w:rPr>
          <w:rFonts w:ascii="GHEA Grapalat" w:hAnsi="GHEA Grapalat" w:cs="Sylfaen"/>
          <w:bCs/>
          <w:lang w:val="hy-AM"/>
        </w:rPr>
        <w:t>եվրոպական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կոնվենցիայի 8-րդ հոդվածի հետ։ 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Ներկա վիճակում տնտեսության մեջ առկա ստվերային շրջանառությունները կրճատելու նպատակով առաջարկվում են նոր մոտեցումներ։ Անհրաժեշտությունը հիմնավորվում է ինչպես միջազգային փորձով, այնպես էլ առկա </w:t>
      </w:r>
      <w:proofErr w:type="spellStart"/>
      <w:r w:rsidRPr="00D3705A">
        <w:rPr>
          <w:rFonts w:ascii="GHEA Grapalat" w:hAnsi="GHEA Grapalat" w:cs="Sylfaen"/>
          <w:bCs/>
          <w:lang w:val="hy-AM"/>
        </w:rPr>
        <w:t>իրավակիրառ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պրակտիկայում առաջացած  խնդիրները լուծելու նպատակով, մասնավորապես՝ ներկայումս </w:t>
      </w:r>
      <w:proofErr w:type="spellStart"/>
      <w:r w:rsidRPr="00D3705A">
        <w:rPr>
          <w:rFonts w:ascii="GHEA Grapalat" w:hAnsi="GHEA Grapalat" w:cs="Sylfaen"/>
          <w:bCs/>
          <w:lang w:val="hy-AM"/>
        </w:rPr>
        <w:t>իրավակիրառ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պրակտիկայում զգալի թիվ են կազմում </w:t>
      </w:r>
      <w:proofErr w:type="spellStart"/>
      <w:r w:rsidRPr="00D3705A">
        <w:rPr>
          <w:rFonts w:ascii="GHEA Grapalat" w:hAnsi="GHEA Grapalat" w:cs="Sylfaen"/>
          <w:bCs/>
          <w:lang w:val="hy-AM"/>
        </w:rPr>
        <w:t>ընթացակարգային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խախտումների վերաբերյալ հարկատուների բողոքները, ինչպես նաև դեպքերի զգալի մասով անհնարի</w:t>
      </w:r>
      <w:r w:rsidR="002D6243">
        <w:rPr>
          <w:rFonts w:ascii="GHEA Grapalat" w:hAnsi="GHEA Grapalat" w:cs="Sylfaen"/>
          <w:bCs/>
          <w:lang w:val="hy-AM"/>
        </w:rPr>
        <w:t>ն</w:t>
      </w:r>
      <w:r w:rsidRPr="00D3705A">
        <w:rPr>
          <w:rFonts w:ascii="GHEA Grapalat" w:hAnsi="GHEA Grapalat" w:cs="Sylfaen"/>
          <w:bCs/>
          <w:lang w:val="hy-AM"/>
        </w:rPr>
        <w:t xml:space="preserve"> է լինում ապահովել ապացույցների այնպիսի փաթեթ, որը </w:t>
      </w:r>
      <w:proofErr w:type="spellStart"/>
      <w:r w:rsidRPr="00D3705A">
        <w:rPr>
          <w:rFonts w:ascii="GHEA Grapalat" w:hAnsi="GHEA Grapalat" w:cs="Sylfaen"/>
          <w:bCs/>
          <w:lang w:val="hy-AM"/>
        </w:rPr>
        <w:t>կբարարարի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վարույթի </w:t>
      </w:r>
      <w:proofErr w:type="spellStart"/>
      <w:r w:rsidRPr="00D3705A">
        <w:rPr>
          <w:rFonts w:ascii="GHEA Grapalat" w:hAnsi="GHEA Grapalat" w:cs="Sylfaen"/>
          <w:bCs/>
          <w:lang w:val="hy-AM"/>
        </w:rPr>
        <w:t>բազմակողմանիությունը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, </w:t>
      </w:r>
      <w:proofErr w:type="spellStart"/>
      <w:r w:rsidRPr="00D3705A">
        <w:rPr>
          <w:rFonts w:ascii="GHEA Grapalat" w:hAnsi="GHEA Grapalat" w:cs="Sylfaen"/>
          <w:bCs/>
          <w:lang w:val="hy-AM"/>
        </w:rPr>
        <w:t>լրիվությունը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և օբյեկտիվությունը։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Նշվածի հետ կապված հարկ է նշել </w:t>
      </w:r>
      <w:proofErr w:type="spellStart"/>
      <w:r w:rsidRPr="00D3705A">
        <w:rPr>
          <w:rFonts w:ascii="GHEA Grapalat" w:hAnsi="GHEA Grapalat" w:cs="Sylfaen"/>
          <w:bCs/>
          <w:lang w:val="hy-AM"/>
        </w:rPr>
        <w:t>հետևյալը</w:t>
      </w:r>
      <w:proofErr w:type="spellEnd"/>
      <w:r w:rsidRPr="00D3705A">
        <w:rPr>
          <w:rFonts w:ascii="GHEA Grapalat" w:hAnsi="GHEA Grapalat" w:cs="Sylfaen"/>
          <w:bCs/>
          <w:lang w:val="hy-AM"/>
        </w:rPr>
        <w:t>.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      ՀՀ Սահմանադրության 31-րդ հոդվածի 2-րդ մասի համաձայն.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      «Մասնավոր և ընտանեկան կյանքի անձեռնմխելիության իրավունքը կարող է սահմանափակվել միայն օրենքով` պետական անվտանգության, </w:t>
      </w:r>
      <w:r w:rsidRPr="003B7226">
        <w:rPr>
          <w:rFonts w:ascii="GHEA Grapalat" w:hAnsi="GHEA Grapalat" w:cs="Sylfaen"/>
          <w:b/>
          <w:bCs/>
          <w:lang w:val="hy-AM"/>
        </w:rPr>
        <w:t>երկրի տնտեսական</w:t>
      </w:r>
      <w:r w:rsidR="003B7226" w:rsidRPr="003B7226">
        <w:rPr>
          <w:rFonts w:ascii="GHEA Grapalat" w:hAnsi="GHEA Grapalat" w:cs="Sylfaen"/>
          <w:b/>
          <w:bCs/>
          <w:lang w:val="hy-AM"/>
        </w:rPr>
        <w:t xml:space="preserve"> </w:t>
      </w:r>
      <w:r w:rsidRPr="003B7226">
        <w:rPr>
          <w:rFonts w:ascii="GHEA Grapalat" w:hAnsi="GHEA Grapalat" w:cs="Sylfaen"/>
          <w:b/>
          <w:bCs/>
          <w:lang w:val="hy-AM"/>
        </w:rPr>
        <w:t>բարեկեցության</w:t>
      </w:r>
      <w:r w:rsidRPr="00D3705A">
        <w:rPr>
          <w:rFonts w:ascii="GHEA Grapalat" w:hAnsi="GHEA Grapalat" w:cs="Sylfaen"/>
          <w:bCs/>
          <w:lang w:val="hy-AM"/>
        </w:rPr>
        <w:t>, հանցագործությունների կանխման կամ բացահայտման, հասարակական կարգի, առողջության և բարոյականության կամ այլոց հիմնական իրավունքների և ազատությունների պաշտպանության նպատակով:»</w:t>
      </w:r>
    </w:p>
    <w:p w:rsidR="00D3705A" w:rsidRPr="00D3705A" w:rsidRDefault="008C2387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lastRenderedPageBreak/>
        <w:tab/>
      </w:r>
      <w:r w:rsidR="00D3705A" w:rsidRPr="00D3705A">
        <w:rPr>
          <w:rFonts w:ascii="GHEA Grapalat" w:hAnsi="GHEA Grapalat" w:cs="Sylfaen"/>
          <w:bCs/>
          <w:lang w:val="hy-AM"/>
        </w:rPr>
        <w:t xml:space="preserve">Մարդու իրավունքների և հիմնարար ազատությունների մասին  </w:t>
      </w:r>
      <w:proofErr w:type="spellStart"/>
      <w:r w:rsidR="00D3705A" w:rsidRPr="00D3705A">
        <w:rPr>
          <w:rFonts w:ascii="GHEA Grapalat" w:hAnsi="GHEA Grapalat" w:cs="Sylfaen"/>
          <w:bCs/>
          <w:lang w:val="hy-AM"/>
        </w:rPr>
        <w:t>եվրոպական</w:t>
      </w:r>
      <w:proofErr w:type="spellEnd"/>
      <w:r w:rsidR="00D3705A" w:rsidRPr="00D3705A">
        <w:rPr>
          <w:rFonts w:ascii="GHEA Grapalat" w:hAnsi="GHEA Grapalat" w:cs="Sylfaen"/>
          <w:bCs/>
          <w:lang w:val="hy-AM"/>
        </w:rPr>
        <w:t xml:space="preserve"> կոնվենցիայի 8-րդ հոդվածի 1-ին մասի համաձայն.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«1. Յուրաքանչյուր </w:t>
      </w:r>
      <w:proofErr w:type="spellStart"/>
      <w:r w:rsidRPr="00D3705A">
        <w:rPr>
          <w:rFonts w:ascii="GHEA Grapalat" w:hAnsi="GHEA Grapalat" w:cs="Sylfaen"/>
          <w:bCs/>
          <w:lang w:val="hy-AM"/>
        </w:rPr>
        <w:t>ոք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ունի անձնական ու ընտանեկան կյանքի, բնակարանի և նամակագրության նկատմամբ հարգանքի իրավունք։»: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ab/>
        <w:t>Նույն հոդվածի 2-րդ մասի համաձայն.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ab/>
        <w:t xml:space="preserve">«Չի թույլատրվում պետական մարմինների միջամտությունն այդ իրավունքի իրականացմանը, բացառությամբ այն դեպքերի, երբ դա նախատեսված է օրենքով և անհրաժեշտ է ժողովրդավարական հասարակությունում` ի շահ պետական անվտանգության, հասարակական կարգի կամ </w:t>
      </w:r>
      <w:r w:rsidRPr="003B7226">
        <w:rPr>
          <w:rFonts w:ascii="GHEA Grapalat" w:hAnsi="GHEA Grapalat" w:cs="Sylfaen"/>
          <w:b/>
          <w:bCs/>
          <w:lang w:val="hy-AM"/>
        </w:rPr>
        <w:t>երկրի տնտեսական բարեկեցության</w:t>
      </w:r>
      <w:r w:rsidRPr="00D3705A">
        <w:rPr>
          <w:rFonts w:ascii="GHEA Grapalat" w:hAnsi="GHEA Grapalat" w:cs="Sylfaen"/>
          <w:bCs/>
          <w:lang w:val="hy-AM"/>
        </w:rPr>
        <w:t>, ինչպես նաև անկարգությունների կամ հանցագործությունների կանխման, առողջության կամ բարոյականության պաշտպանության կամ այլ անձանց իրավունքների և ազատությունների պաշտպանության նպատակով։»</w:t>
      </w:r>
    </w:p>
    <w:p w:rsidR="00D3705A" w:rsidRPr="00D3705A" w:rsidRDefault="00D3705A" w:rsidP="00D3705A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ab/>
        <w:t xml:space="preserve">Վերոգրյալ նորմ-երաշխիքների </w:t>
      </w:r>
      <w:proofErr w:type="spellStart"/>
      <w:r w:rsidRPr="00D3705A">
        <w:rPr>
          <w:rFonts w:ascii="GHEA Grapalat" w:hAnsi="GHEA Grapalat" w:cs="Sylfaen"/>
          <w:bCs/>
          <w:lang w:val="hy-AM"/>
        </w:rPr>
        <w:t>վերլուծությունից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D3705A">
        <w:rPr>
          <w:rFonts w:ascii="GHEA Grapalat" w:hAnsi="GHEA Grapalat" w:cs="Sylfaen"/>
          <w:bCs/>
          <w:lang w:val="hy-AM"/>
        </w:rPr>
        <w:t>հետևում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է, որ անձնական և ընտանեկան կյանքի </w:t>
      </w:r>
      <w:proofErr w:type="spellStart"/>
      <w:r w:rsidRPr="00D3705A">
        <w:rPr>
          <w:rFonts w:ascii="GHEA Grapalat" w:hAnsi="GHEA Grapalat" w:cs="Sylfaen"/>
          <w:bCs/>
          <w:lang w:val="hy-AM"/>
        </w:rPr>
        <w:t>անձեռնխելիությունը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կարող է սահմանափակվել, երբ այն ուղղակիորեն նախատեսված է </w:t>
      </w:r>
      <w:r w:rsidRPr="008C2387">
        <w:rPr>
          <w:rFonts w:ascii="GHEA Grapalat" w:hAnsi="GHEA Grapalat" w:cs="Sylfaen"/>
          <w:b/>
          <w:bCs/>
          <w:lang w:val="hy-AM"/>
        </w:rPr>
        <w:t xml:space="preserve">օրենքով, անհրաժեշտ է ժողովրդավարական հասարակությունում և ուղղված է երկրի տնտեսական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բարեկեցությանը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 xml:space="preserve"> (ի թիվս այլնի)</w:t>
      </w:r>
      <w:r w:rsidRPr="00D3705A">
        <w:rPr>
          <w:rFonts w:ascii="GHEA Grapalat" w:hAnsi="GHEA Grapalat" w:cs="Sylfaen"/>
          <w:bCs/>
          <w:lang w:val="hy-AM"/>
        </w:rPr>
        <w:t>:</w:t>
      </w:r>
    </w:p>
    <w:p w:rsidR="008C2387" w:rsidRDefault="00D3705A" w:rsidP="00B57242">
      <w:pPr>
        <w:shd w:val="clear" w:color="auto" w:fill="FFFFFF"/>
        <w:spacing w:line="360" w:lineRule="auto"/>
        <w:ind w:firstLine="567"/>
        <w:jc w:val="both"/>
        <w:rPr>
          <w:lang w:val="hy-AM"/>
        </w:rPr>
      </w:pPr>
      <w:r w:rsidRPr="00D3705A">
        <w:rPr>
          <w:rFonts w:ascii="GHEA Grapalat" w:hAnsi="GHEA Grapalat" w:cs="Sylfaen"/>
          <w:bCs/>
          <w:lang w:val="hy-AM"/>
        </w:rPr>
        <w:t xml:space="preserve">ՄԻԵԴ </w:t>
      </w:r>
      <w:proofErr w:type="spellStart"/>
      <w:r w:rsidRPr="00D3705A">
        <w:rPr>
          <w:rFonts w:ascii="GHEA Grapalat" w:hAnsi="GHEA Grapalat" w:cs="Sylfaen"/>
          <w:bCs/>
          <w:lang w:val="hy-AM"/>
        </w:rPr>
        <w:t>նախադեպային</w:t>
      </w:r>
      <w:proofErr w:type="spellEnd"/>
      <w:r w:rsidRPr="00D3705A">
        <w:rPr>
          <w:rFonts w:ascii="GHEA Grapalat" w:hAnsi="GHEA Grapalat" w:cs="Sylfaen"/>
          <w:bCs/>
          <w:lang w:val="hy-AM"/>
        </w:rPr>
        <w:t xml:space="preserve"> իրավունքի համաձայն անձնական կյանք հասկացությունը ինքնավար է և ներառում է նաև մասնագիտական կամ </w:t>
      </w:r>
      <w:proofErr w:type="spellStart"/>
      <w:r w:rsidRPr="00D3705A">
        <w:rPr>
          <w:rFonts w:ascii="GHEA Grapalat" w:hAnsi="GHEA Grapalat" w:cs="Sylfaen"/>
          <w:bCs/>
          <w:lang w:val="hy-AM"/>
        </w:rPr>
        <w:t>առևտրային</w:t>
      </w:r>
      <w:proofErr w:type="spellEnd"/>
      <w:r>
        <w:rPr>
          <w:rFonts w:ascii="GHEA Grapalat" w:hAnsi="GHEA Grapalat" w:cs="Sylfaen"/>
          <w:bCs/>
          <w:lang w:val="hy-AM"/>
        </w:rPr>
        <w:t xml:space="preserve"> </w:t>
      </w:r>
      <w:r w:rsidRPr="00D3705A">
        <w:rPr>
          <w:rFonts w:ascii="GHEA Grapalat" w:hAnsi="GHEA Grapalat" w:cs="Sylfaen"/>
          <w:bCs/>
          <w:lang w:val="hy-AM"/>
        </w:rPr>
        <w:t>գործունեությունը</w:t>
      </w:r>
      <w:r>
        <w:rPr>
          <w:rStyle w:val="FootnoteReference"/>
          <w:rFonts w:ascii="GHEA Grapalat" w:hAnsi="GHEA Grapalat" w:cs="Sylfaen"/>
          <w:bCs/>
          <w:lang w:val="hy-AM"/>
        </w:rPr>
        <w:footnoteReference w:id="1"/>
      </w:r>
      <w:r>
        <w:rPr>
          <w:rFonts w:ascii="GHEA Grapalat" w:hAnsi="GHEA Grapalat" w:cs="Sylfaen"/>
          <w:bCs/>
          <w:lang w:val="hy-AM"/>
        </w:rPr>
        <w:t xml:space="preserve">: </w:t>
      </w:r>
      <w:r w:rsidRPr="00D3705A">
        <w:rPr>
          <w:rFonts w:ascii="GHEA Grapalat" w:hAnsi="GHEA Grapalat" w:cs="Sylfaen"/>
          <w:bCs/>
          <w:lang w:val="hy-AM"/>
        </w:rPr>
        <w:t xml:space="preserve">Այդուհանդերձ հարկ է նկատել, որ ՄԻԵԴ-ը իր որոշումներով ամրագրել է այն դիրքորոշումը, որ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տեսանկարահանումը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 xml:space="preserve"> կարող է միջամտել անձնական կյանքի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անձեռմխելիությանը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>, երբ այն կրում է սիստեմատիկ, մշտական բնույթ</w:t>
      </w:r>
      <w:r w:rsidRPr="008C2387">
        <w:rPr>
          <w:rStyle w:val="FootnoteReference"/>
          <w:rFonts w:ascii="GHEA Grapalat" w:hAnsi="GHEA Grapalat" w:cs="Sylfaen"/>
          <w:b/>
          <w:bCs/>
          <w:lang w:val="hy-AM"/>
        </w:rPr>
        <w:footnoteReference w:id="2"/>
      </w:r>
      <w:r w:rsidRPr="008C2387">
        <w:rPr>
          <w:rFonts w:ascii="GHEA Grapalat" w:hAnsi="GHEA Grapalat" w:cs="Sylfaen"/>
          <w:b/>
          <w:bCs/>
          <w:lang w:val="hy-AM"/>
        </w:rPr>
        <w:t>: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B34395" w:rsidRPr="00B34395">
        <w:rPr>
          <w:rFonts w:ascii="GHEA Grapalat" w:hAnsi="GHEA Grapalat" w:cs="Sylfaen"/>
          <w:bCs/>
          <w:lang w:val="hy-AM"/>
        </w:rPr>
        <w:t xml:space="preserve">Միաժամանակ դատարանն արձանագրել է, որ միջամտությունը (գաղտնի տեսաձայնագրում կիրառելը) կարող է </w:t>
      </w:r>
      <w:proofErr w:type="spellStart"/>
      <w:r w:rsidR="00B34395" w:rsidRPr="00B34395">
        <w:rPr>
          <w:rFonts w:ascii="GHEA Grapalat" w:hAnsi="GHEA Grapalat" w:cs="Sylfaen"/>
          <w:bCs/>
          <w:lang w:val="hy-AM"/>
        </w:rPr>
        <w:t>իրավաչափ</w:t>
      </w:r>
      <w:proofErr w:type="spellEnd"/>
      <w:r w:rsidR="00B34395" w:rsidRPr="00B34395">
        <w:rPr>
          <w:rFonts w:ascii="GHEA Grapalat" w:hAnsi="GHEA Grapalat" w:cs="Sylfaen"/>
          <w:bCs/>
          <w:lang w:val="hy-AM"/>
        </w:rPr>
        <w:t xml:space="preserve"> լինել միայն այն դեպքում, երբ այն ուղղակիորեն նախատեսված է օրենքով և օրենքի որակը թույլ է տալիս բացառելու կամայականությունները</w:t>
      </w:r>
      <w:r w:rsidR="00B34395">
        <w:rPr>
          <w:rStyle w:val="FootnoteReference"/>
          <w:rFonts w:ascii="GHEA Grapalat" w:hAnsi="GHEA Grapalat" w:cs="Sylfaen"/>
          <w:bCs/>
          <w:lang w:val="hy-AM"/>
        </w:rPr>
        <w:footnoteReference w:id="3"/>
      </w:r>
      <w:r w:rsidR="00B57242">
        <w:rPr>
          <w:rFonts w:ascii="GHEA Grapalat" w:hAnsi="GHEA Grapalat" w:cs="Sylfaen"/>
          <w:bCs/>
          <w:lang w:val="hy-AM"/>
        </w:rPr>
        <w:t>:</w:t>
      </w:r>
      <w:r w:rsidR="00B57242" w:rsidRPr="00B57242">
        <w:rPr>
          <w:lang w:val="hy-AM"/>
        </w:rPr>
        <w:t xml:space="preserve"> 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ՄԻԵԴ-ը Ֆոն </w:t>
      </w:r>
      <w:proofErr w:type="spellStart"/>
      <w:r w:rsidRPr="00B57242">
        <w:rPr>
          <w:rFonts w:ascii="GHEA Grapalat" w:hAnsi="GHEA Grapalat" w:cs="Sylfaen"/>
          <w:bCs/>
          <w:lang w:val="hy-AM"/>
        </w:rPr>
        <w:t>Հաննովերն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ընդդեմ Գերմանիայի գործով (գանգատներ թիվ 40660/08 և 60641/08) անդրադարձ է կատարել անձնական կյանքի և իրավունքների պաշտպանությանը </w:t>
      </w:r>
      <w:proofErr w:type="spellStart"/>
      <w:r w:rsidRPr="00B57242">
        <w:rPr>
          <w:rFonts w:ascii="GHEA Grapalat" w:hAnsi="GHEA Grapalat" w:cs="Sylfaen"/>
          <w:bCs/>
          <w:lang w:val="hy-AM"/>
        </w:rPr>
        <w:t>միջամտելուն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: Այսպես նույն գործով դատարանը հայտնել է, որ անձնական իրավունքների </w:t>
      </w:r>
      <w:r w:rsidRPr="00B57242">
        <w:rPr>
          <w:rFonts w:ascii="GHEA Grapalat" w:hAnsi="GHEA Grapalat" w:cs="Sylfaen"/>
          <w:bCs/>
          <w:lang w:val="hy-AM"/>
        </w:rPr>
        <w:lastRenderedPageBreak/>
        <w:t xml:space="preserve">պաշտպանության իրավունքը ավելի ծանրակշիռ է դառնում, </w:t>
      </w:r>
      <w:r w:rsidRPr="008C2387">
        <w:rPr>
          <w:rFonts w:ascii="GHEA Grapalat" w:hAnsi="GHEA Grapalat" w:cs="Sylfaen"/>
          <w:b/>
          <w:bCs/>
          <w:lang w:val="hy-AM"/>
        </w:rPr>
        <w:t>եթե լուսանկարը պատկերում է անձի անձնական կյանքի մանրամասներ</w:t>
      </w:r>
      <w:r w:rsidRPr="00B57242">
        <w:rPr>
          <w:rFonts w:ascii="GHEA Grapalat" w:hAnsi="GHEA Grapalat" w:cs="Sylfaen"/>
          <w:bCs/>
          <w:lang w:val="hy-AM"/>
        </w:rPr>
        <w:t xml:space="preserve">, որոնք հանրային բնական քննարկման առարկա չեն: Նույնը վերաբերում է այն դեպքին, երբ շահագրգիռ </w:t>
      </w:r>
      <w:r w:rsidRPr="008C2387">
        <w:rPr>
          <w:rFonts w:ascii="GHEA Grapalat" w:hAnsi="GHEA Grapalat" w:cs="Sylfaen"/>
          <w:b/>
          <w:bCs/>
          <w:lang w:val="hy-AM"/>
        </w:rPr>
        <w:t xml:space="preserve">անձը կարող էր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իրավաչափորեն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 xml:space="preserve"> ակնկալել</w:t>
      </w:r>
      <w:r w:rsidRPr="00B57242">
        <w:rPr>
          <w:rFonts w:ascii="GHEA Grapalat" w:hAnsi="GHEA Grapalat" w:cs="Sylfaen"/>
          <w:bCs/>
          <w:lang w:val="hy-AM"/>
        </w:rPr>
        <w:t>, հաշվի առնելով հանգամանքները, որ ոչ մի լուսանկար չի հրապարակվի, քանի որ նա մասնավոր վայրում էր (</w:t>
      </w:r>
      <w:proofErr w:type="spellStart"/>
      <w:r w:rsidRPr="00B57242">
        <w:rPr>
          <w:rFonts w:ascii="GHEA Grapalat" w:hAnsi="GHEA Grapalat" w:cs="Sylfaen"/>
          <w:bCs/>
          <w:lang w:val="hy-AM"/>
        </w:rPr>
        <w:t>räumliche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Privatheit</w:t>
      </w:r>
      <w:proofErr w:type="spellEnd"/>
      <w:r w:rsidRPr="00B57242">
        <w:rPr>
          <w:rFonts w:ascii="GHEA Grapalat" w:hAnsi="GHEA Grapalat" w:cs="Sylfaen"/>
          <w:bCs/>
          <w:lang w:val="hy-AM"/>
        </w:rPr>
        <w:t>), ինչպես օրինակ հատուկ պաշտպանված վայրում: ՄԻԵԴ-ը նշել է, որ անձնական իրավունքների</w:t>
      </w:r>
      <w:r w:rsidRPr="00B57242">
        <w:rPr>
          <w:lang w:val="hy-AM"/>
        </w:rPr>
        <w:t xml:space="preserve"> </w:t>
      </w:r>
      <w:r w:rsidRPr="00B57242">
        <w:rPr>
          <w:rFonts w:ascii="GHEA Grapalat" w:hAnsi="GHEA Grapalat" w:cs="Sylfaen"/>
          <w:bCs/>
          <w:lang w:val="hy-AM"/>
        </w:rPr>
        <w:t xml:space="preserve">պաշտպանության իրավունքը պետք է </w:t>
      </w:r>
      <w:proofErr w:type="spellStart"/>
      <w:r w:rsidRPr="00B57242">
        <w:rPr>
          <w:rFonts w:ascii="GHEA Grapalat" w:hAnsi="GHEA Grapalat" w:cs="Sylfaen"/>
          <w:bCs/>
          <w:lang w:val="hy-AM"/>
        </w:rPr>
        <w:t>գերակայի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նաև հրապարակման շահի նկատմամբ տարածական մեկուսացումից բացի նաև այն դեպքերում, երբ շահագրգիռ անձը լուսանկարվել է հանգիստը վայելելիս կամ մասնագիտական կամ ամենօրյա կյանքի սահմանափակումներից ազատ վիճակում: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8C2387">
        <w:rPr>
          <w:rFonts w:ascii="GHEA Grapalat" w:hAnsi="GHEA Grapalat" w:cs="Sylfaen"/>
          <w:b/>
          <w:bCs/>
          <w:lang w:val="hy-AM"/>
        </w:rPr>
        <w:t>Դատարանը փաստել է, որ քննարկվող գործով լուսանկարն արվել է հանրային վայրում, որը ոչ մեկուսացված էր և ոչ էլ հասարակության տեսադաշտից դուրս՝ դա որոշիչ կշիռ է հաղորդում:</w:t>
      </w:r>
      <w:r w:rsidRPr="00B57242">
        <w:rPr>
          <w:rFonts w:ascii="GHEA Grapalat" w:hAnsi="GHEA Grapalat" w:cs="Sylfaen"/>
          <w:bCs/>
          <w:lang w:val="hy-AM"/>
        </w:rPr>
        <w:t xml:space="preserve"> Դատարանը նշել է նաև, որ անձնական կյանքի հասկացությունը տարածվում է անձի ինքնությանը վերաբերող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ասպեկտներին</w:t>
      </w:r>
      <w:proofErr w:type="spellEnd"/>
      <w:r w:rsidRPr="00B57242">
        <w:rPr>
          <w:rFonts w:ascii="GHEA Grapalat" w:hAnsi="GHEA Grapalat" w:cs="Sylfaen"/>
          <w:bCs/>
          <w:lang w:val="hy-AM"/>
        </w:rPr>
        <w:t>, ինչպիսիք են անձի անունը, լուսանկարը կամ ֆիզիկական և բարոյական ամբողջականությունը: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    Կոնվենցիայի 8-րդ հոդվածով սահմանված երաշխիքը հիմնականում նպատակ ունի ապահովել այլ մարդկանց հետ հարաբերություններում յուրաքանչյուր անձի անհատականության զարգացումը` առանց արտաքին միջամտության: 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Լուսանկարների հետ կապված Դատարանը հաստատել է, որ անձի պատկերը հանդիսանում է իր անհատականության գլխավոր հատկանիշներից, քանի որ այն ի ցույց է դնում անձի ուրույն հատկանիշները և տարբերակում է անձին իր </w:t>
      </w:r>
      <w:proofErr w:type="spellStart"/>
      <w:r w:rsidRPr="00B57242">
        <w:rPr>
          <w:rFonts w:ascii="GHEA Grapalat" w:hAnsi="GHEA Grapalat" w:cs="Sylfaen"/>
          <w:bCs/>
          <w:lang w:val="hy-AM"/>
        </w:rPr>
        <w:t>նմաններից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: Անձի պատկերի պաշտպանությունն այդպիսով անձնական զարգացման էական բաղադրիչներից է: </w:t>
      </w:r>
      <w:r w:rsidRPr="008C2387">
        <w:rPr>
          <w:rFonts w:ascii="GHEA Grapalat" w:hAnsi="GHEA Grapalat" w:cs="Sylfaen"/>
          <w:b/>
          <w:bCs/>
          <w:lang w:val="hy-AM"/>
        </w:rPr>
        <w:t>Այն առավելապես ենթադրում է անձի` այդ պատկերի օգտագործումը հսկելու, ներառյալ դրա հրապարակումն արգելելու իրավունքը</w:t>
      </w:r>
      <w:r w:rsidRPr="00B57242">
        <w:rPr>
          <w:rFonts w:ascii="GHEA Grapalat" w:hAnsi="GHEA Grapalat" w:cs="Sylfaen"/>
          <w:bCs/>
          <w:lang w:val="hy-AM"/>
        </w:rPr>
        <w:t xml:space="preserve"> (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տե՛ս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վերը նշված </w:t>
      </w:r>
      <w:proofErr w:type="spellStart"/>
      <w:r w:rsidRPr="00B57242">
        <w:rPr>
          <w:rFonts w:ascii="GHEA Grapalat" w:hAnsi="GHEA Grapalat" w:cs="Sylfaen"/>
          <w:bCs/>
          <w:lang w:val="hy-AM"/>
        </w:rPr>
        <w:t>Ռեկլոսը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Դավուրլիսն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ընդդեմ Հունաստանի` կետ 40): Չնայած 8-րդ հոդվածի հիմնական նպատակը անձին հանրային իշխանությունների կամայական միջամտությունից պաշտպանությունն է, այն պարզապես չի հարկադրում պետությանը ձեռնպահ մնալ այդպիսի միջամտությունից. ի հավելումն պետության բացասական պարտականության կարող են լինել անձնական և ընտանեկան կյանքի նկատմամբ արդյունավետ հարգանքի դրական պարտավորություններ: Այդ պարտավորությունները կարող են ներառել անձնական կյանքի նկատմամբ հարգանք </w:t>
      </w:r>
      <w:r w:rsidRPr="00B57242">
        <w:rPr>
          <w:rFonts w:ascii="GHEA Grapalat" w:hAnsi="GHEA Grapalat" w:cs="Sylfaen"/>
          <w:bCs/>
          <w:lang w:val="hy-AM"/>
        </w:rPr>
        <w:lastRenderedPageBreak/>
        <w:t xml:space="preserve">ապահովելու համար նախատեսված միջոցների ընդունումը նույնիսկ անհատների` միմյանց </w:t>
      </w:r>
      <w:proofErr w:type="spellStart"/>
      <w:r w:rsidRPr="00B57242">
        <w:rPr>
          <w:rFonts w:ascii="GHEA Grapalat" w:hAnsi="GHEA Grapalat" w:cs="Sylfaen"/>
          <w:bCs/>
          <w:lang w:val="hy-AM"/>
        </w:rPr>
        <w:t>միջև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առկա հարաբերությունների կապակցությամբ (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տե՛ս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Իքսը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Իգրեկն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ընդդեմ </w:t>
      </w:r>
      <w:proofErr w:type="spellStart"/>
      <w:r w:rsidRPr="00B57242">
        <w:rPr>
          <w:rFonts w:ascii="GHEA Grapalat" w:hAnsi="GHEA Grapalat" w:cs="Sylfaen"/>
          <w:bCs/>
          <w:lang w:val="hy-AM"/>
        </w:rPr>
        <w:t>Նիդեռլանդների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, 26 մարտի 1985թ., կետ 23, Սերիա A թիվ 91, և վերը նշված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Արմոնասը</w:t>
      </w:r>
      <w:proofErr w:type="spellEnd"/>
      <w:r w:rsidRPr="00B57242">
        <w:rPr>
          <w:rFonts w:ascii="GHEA Grapalat" w:hAnsi="GHEA Grapalat" w:cs="Sylfaen"/>
          <w:bCs/>
          <w:lang w:val="hy-AM"/>
        </w:rPr>
        <w:t>` կետ 36: Դա վերաբերում է նաև անձի պատկերի` այլ անձանց ոտնձգություններից պաշտպանությանը (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տե՛ս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վորը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նշված </w:t>
      </w:r>
      <w:proofErr w:type="spellStart"/>
      <w:r w:rsidRPr="00B57242">
        <w:rPr>
          <w:rFonts w:ascii="GHEA Grapalat" w:hAnsi="GHEA Grapalat" w:cs="Sylfaen"/>
          <w:bCs/>
          <w:lang w:val="hy-AM"/>
        </w:rPr>
        <w:t>Շլյուսել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, Ֆոն </w:t>
      </w:r>
      <w:proofErr w:type="spellStart"/>
      <w:r w:rsidRPr="00B57242">
        <w:rPr>
          <w:rFonts w:ascii="GHEA Grapalat" w:hAnsi="GHEA Grapalat" w:cs="Sylfaen"/>
          <w:bCs/>
          <w:lang w:val="hy-AM"/>
        </w:rPr>
        <w:t>Հաննովերը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` կետ 57;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Ռեկլոսը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Դավոուրլիսը</w:t>
      </w:r>
      <w:proofErr w:type="spellEnd"/>
      <w:r w:rsidRPr="00B57242">
        <w:rPr>
          <w:rFonts w:ascii="GHEA Grapalat" w:hAnsi="GHEA Grapalat" w:cs="Sylfaen"/>
          <w:bCs/>
          <w:lang w:val="hy-AM"/>
        </w:rPr>
        <w:t>` կետ 35):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Պետության` 8-րդ հոդվածով սահմանված դրական և բացասական պարտավորությունների բաժանարարը ինքնին չի ենթադրում հստակ սահմանում. կիրառելի սկզբունքներն, այնուամենայնիվ, համանման են: </w:t>
      </w:r>
      <w:r w:rsidRPr="008C2387">
        <w:rPr>
          <w:rFonts w:ascii="GHEA Grapalat" w:hAnsi="GHEA Grapalat" w:cs="Sylfaen"/>
          <w:b/>
          <w:bCs/>
          <w:lang w:val="hy-AM"/>
        </w:rPr>
        <w:t xml:space="preserve">Երկու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ենթատեքստերում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 xml:space="preserve"> հաշվի պետք է առնվի համապատասխան մրցակցող շահերի </w:t>
      </w:r>
      <w:proofErr w:type="spellStart"/>
      <w:r w:rsidRPr="008C2387">
        <w:rPr>
          <w:rFonts w:ascii="GHEA Grapalat" w:hAnsi="GHEA Grapalat" w:cs="Sylfaen"/>
          <w:b/>
          <w:bCs/>
          <w:lang w:val="hy-AM"/>
        </w:rPr>
        <w:t>միջև</w:t>
      </w:r>
      <w:proofErr w:type="spellEnd"/>
      <w:r w:rsidRPr="008C2387">
        <w:rPr>
          <w:rFonts w:ascii="GHEA Grapalat" w:hAnsi="GHEA Grapalat" w:cs="Sylfaen"/>
          <w:b/>
          <w:bCs/>
          <w:lang w:val="hy-AM"/>
        </w:rPr>
        <w:t xml:space="preserve"> հաստատման ենթակա արդարացի հավասարակշռությունը</w:t>
      </w:r>
      <w:r w:rsidRPr="00B57242">
        <w:rPr>
          <w:rFonts w:ascii="GHEA Grapalat" w:hAnsi="GHEA Grapalat" w:cs="Sylfaen"/>
          <w:bCs/>
          <w:lang w:val="hy-AM"/>
        </w:rPr>
        <w:t xml:space="preserve"> (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տե՛ս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Ուայթն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ընդդեմ Շվեդիայի, թիվ 42435/02, կետ 20, 19 սեպտեմբերի 2006թ., և վեր նշված </w:t>
      </w:r>
      <w:proofErr w:type="spellStart"/>
      <w:r w:rsidRPr="00B57242">
        <w:rPr>
          <w:rFonts w:ascii="GHEA Grapalat" w:hAnsi="GHEA Grapalat" w:cs="Sylfaen"/>
          <w:bCs/>
          <w:lang w:val="hy-AM"/>
        </w:rPr>
        <w:t>Գուրգենիձեն</w:t>
      </w:r>
      <w:proofErr w:type="spellEnd"/>
      <w:r w:rsidRPr="00B57242">
        <w:rPr>
          <w:rFonts w:ascii="GHEA Grapalat" w:hAnsi="GHEA Grapalat" w:cs="Sylfaen"/>
          <w:bCs/>
          <w:lang w:val="hy-AM"/>
        </w:rPr>
        <w:t>` կետ 37):</w:t>
      </w:r>
    </w:p>
    <w:p w:rsidR="00B57242" w:rsidRPr="00B57242" w:rsidRDefault="009164FD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Վերոգրյալի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իրավանորմերի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համատեքստում հարկ է արձանագրել, որ ՀԴՄ կանոնների խախտման վարույթներում տեսանկարահանման կամ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լուսանկարահանման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սարքեր կիրառելը ՀՀ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hարկային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օրենսդրությամբ նախատեսելու դեպքում դրա կիրառումը կլինի լիովին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իրավաչափ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, </w:t>
      </w:r>
      <w:r w:rsidR="00B57242" w:rsidRPr="008C2387">
        <w:rPr>
          <w:rFonts w:ascii="GHEA Grapalat" w:hAnsi="GHEA Grapalat" w:cs="Sylfaen"/>
          <w:b/>
          <w:bCs/>
          <w:lang w:val="hy-AM"/>
        </w:rPr>
        <w:t>քանի որ չի կրելու սիստեմատիկ բնույթ</w:t>
      </w:r>
      <w:r w:rsidR="00B57242" w:rsidRPr="00B57242">
        <w:rPr>
          <w:rFonts w:ascii="GHEA Grapalat" w:hAnsi="GHEA Grapalat" w:cs="Sylfaen"/>
          <w:bCs/>
          <w:lang w:val="hy-AM"/>
        </w:rPr>
        <w:t>, հարկ վճարողին (գործադիր մարմնի ղեկավա</w:t>
      </w:r>
      <w:r w:rsidR="008C2387">
        <w:rPr>
          <w:rFonts w:ascii="GHEA Grapalat" w:hAnsi="GHEA Grapalat" w:cs="Sylfaen"/>
          <w:bCs/>
          <w:lang w:val="hy-AM"/>
        </w:rPr>
        <w:t>րին) կամ նրան փոխարինող պաշտոնա</w:t>
      </w:r>
      <w:r w:rsidR="00B57242" w:rsidRPr="00B57242">
        <w:rPr>
          <w:rFonts w:ascii="GHEA Grapalat" w:hAnsi="GHEA Grapalat" w:cs="Sylfaen"/>
          <w:bCs/>
          <w:lang w:val="hy-AM"/>
        </w:rPr>
        <w:t>տար անձին հանձնվող (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իրազեկվող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, հարկային մարմնի պաշտոնական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կայքում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տեղադրվող)՝ խախտումն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ամրագրած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տե</w:t>
      </w:r>
      <w:r w:rsidR="008C2387">
        <w:rPr>
          <w:rFonts w:ascii="GHEA Grapalat" w:hAnsi="GHEA Grapalat" w:cs="Sylfaen"/>
          <w:bCs/>
          <w:lang w:val="hy-AM"/>
        </w:rPr>
        <w:t>սանյութի</w:t>
      </w:r>
      <w:proofErr w:type="spellEnd"/>
      <w:r w:rsidR="008C2387">
        <w:rPr>
          <w:rFonts w:ascii="GHEA Grapalat" w:hAnsi="GHEA Grapalat" w:cs="Sylfaen"/>
          <w:bCs/>
          <w:lang w:val="hy-AM"/>
        </w:rPr>
        <w:t xml:space="preserve"> կադրում արձանագրված </w:t>
      </w:r>
      <w:r w:rsidR="008C2387" w:rsidRPr="008C2387">
        <w:rPr>
          <w:rFonts w:ascii="GHEA Grapalat" w:hAnsi="GHEA Grapalat" w:cs="Sylfaen"/>
          <w:b/>
          <w:bCs/>
          <w:lang w:val="hy-AM"/>
        </w:rPr>
        <w:t>ան</w:t>
      </w:r>
      <w:r w:rsidR="00B57242" w:rsidRPr="008C2387">
        <w:rPr>
          <w:rFonts w:ascii="GHEA Grapalat" w:hAnsi="GHEA Grapalat" w:cs="Sylfaen"/>
          <w:b/>
          <w:bCs/>
          <w:lang w:val="hy-AM"/>
        </w:rPr>
        <w:t xml:space="preserve">ձանց պատկերները </w:t>
      </w:r>
      <w:proofErr w:type="spellStart"/>
      <w:r w:rsidR="00B57242" w:rsidRPr="008C2387">
        <w:rPr>
          <w:rFonts w:ascii="GHEA Grapalat" w:hAnsi="GHEA Grapalat" w:cs="Sylfaen"/>
          <w:b/>
          <w:bCs/>
          <w:lang w:val="hy-AM"/>
        </w:rPr>
        <w:t>մթնեցվելու</w:t>
      </w:r>
      <w:proofErr w:type="spellEnd"/>
      <w:r w:rsidR="00B57242" w:rsidRPr="008C2387">
        <w:rPr>
          <w:rFonts w:ascii="GHEA Grapalat" w:hAnsi="GHEA Grapalat" w:cs="Sylfaen"/>
          <w:b/>
          <w:bCs/>
          <w:lang w:val="hy-AM"/>
        </w:rPr>
        <w:t xml:space="preserve"> են</w:t>
      </w:r>
      <w:r w:rsidR="00B57242" w:rsidRPr="00B57242">
        <w:rPr>
          <w:rFonts w:ascii="GHEA Grapalat" w:hAnsi="GHEA Grapalat" w:cs="Sylfaen"/>
          <w:bCs/>
          <w:lang w:val="hy-AM"/>
        </w:rPr>
        <w:t xml:space="preserve">, կիրառվելու է միայն կոնկրետ հանձնարարագրի շրջանակներում, կոնկրետ գործողություն` հսկիչ գնում իրականացնելիս, իսկ կամայականության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դրսևորումը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բացառվում է այն հանգամանքով, որ տեսանկարահանման կամ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լուսանկարահանման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սարքերի կիրառումը կարող է իրականացվել միայն կոնկրետ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հանձնարարգրի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շրջանակներում, կոնկրետ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տնտեսվարողի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մոտ, հանձնարարագրով նշված ժամկետի շրջանակներում, իսկ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Հանձնարարագիրը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տրվում է ՊԵԿ նախագահի կողմից: Ավելին նշված օրենսդրական հնարավորության նախատեսումը անհրաժեշտ է ժողովրդական հասարակությունում, քանի որ կոչված է ապահովելու երկրի տնտեսական բարեկեցությունը և ապահովելու արդյունավետ հսկողություն հարկ վճարելու սահմանադրական պարտականության իրականացման նկատմամբ: 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lastRenderedPageBreak/>
        <w:tab/>
        <w:t xml:space="preserve">Ինչ վերաբերում է 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տեսանկարահանում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կիրառելու դեպքում բնակարանի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անձեռմխելիության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խախտման հնարավոր դեպքերին, ապա հարկ է նկատել, որ անդրադառնալով բնակարան հասկացության մեկնաբանությանը Մարդու իրավունքների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եվրոպական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դատարանը  նշել է, որ. «բնակարան հասկացությունն ինքնավար է և չի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սահմնափակվում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ազգային </w:t>
      </w:r>
      <w:proofErr w:type="spellStart"/>
      <w:r w:rsidRPr="00B57242">
        <w:rPr>
          <w:rFonts w:ascii="GHEA Grapalat" w:hAnsi="GHEA Grapalat" w:cs="Sylfaen"/>
          <w:bCs/>
          <w:lang w:val="hy-AM"/>
        </w:rPr>
        <w:t>օրենսդրումբ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նախատեսված </w:t>
      </w:r>
      <w:proofErr w:type="spellStart"/>
      <w:r w:rsidRPr="00B57242">
        <w:rPr>
          <w:rFonts w:ascii="GHEA Grapalat" w:hAnsi="GHEA Grapalat" w:cs="Sylfaen"/>
          <w:bCs/>
          <w:lang w:val="hy-AM"/>
        </w:rPr>
        <w:t>սահմանումներով</w:t>
      </w:r>
      <w:proofErr w:type="spellEnd"/>
      <w:r w:rsidRPr="00B57242">
        <w:rPr>
          <w:rFonts w:ascii="GHEA Grapalat" w:hAnsi="GHEA Grapalat" w:cs="Sylfaen"/>
          <w:bCs/>
          <w:lang w:val="hy-AM"/>
        </w:rPr>
        <w:t>»</w:t>
      </w:r>
      <w:r w:rsidR="004935AE">
        <w:rPr>
          <w:rStyle w:val="FootnoteReference"/>
          <w:rFonts w:ascii="GHEA Grapalat" w:hAnsi="GHEA Grapalat" w:cs="Sylfaen"/>
          <w:bCs/>
          <w:lang w:val="hy-AM"/>
        </w:rPr>
        <w:footnoteReference w:id="4"/>
      </w:r>
      <w:r w:rsidRPr="00B57242">
        <w:rPr>
          <w:rFonts w:ascii="GHEA Grapalat" w:hAnsi="GHEA Grapalat" w:cs="Sylfaen"/>
          <w:bCs/>
          <w:lang w:val="hy-AM"/>
        </w:rPr>
        <w:t xml:space="preserve">:  </w:t>
      </w:r>
      <w:r w:rsidRPr="004935AE">
        <w:rPr>
          <w:rFonts w:ascii="GHEA Grapalat" w:hAnsi="GHEA Grapalat" w:cs="Sylfaen"/>
          <w:b/>
          <w:bCs/>
          <w:lang w:val="hy-AM"/>
        </w:rPr>
        <w:t xml:space="preserve">Ընդ որում </w:t>
      </w:r>
      <w:proofErr w:type="spellStart"/>
      <w:r w:rsidRPr="004935AE">
        <w:rPr>
          <w:rFonts w:ascii="GHEA Grapalat" w:hAnsi="GHEA Grapalat" w:cs="Sylfaen"/>
          <w:b/>
          <w:bCs/>
          <w:lang w:val="hy-AM"/>
        </w:rPr>
        <w:t>գրասենյակակային</w:t>
      </w:r>
      <w:proofErr w:type="spellEnd"/>
      <w:r w:rsidRPr="004935AE">
        <w:rPr>
          <w:rFonts w:ascii="GHEA Grapalat" w:hAnsi="GHEA Grapalat" w:cs="Sylfaen"/>
          <w:b/>
          <w:bCs/>
          <w:lang w:val="hy-AM"/>
        </w:rPr>
        <w:t xml:space="preserve"> և բիզնես նշանակության տարածքները </w:t>
      </w:r>
      <w:proofErr w:type="spellStart"/>
      <w:r w:rsidRPr="004935AE">
        <w:rPr>
          <w:rFonts w:ascii="GHEA Grapalat" w:hAnsi="GHEA Grapalat" w:cs="Sylfaen"/>
          <w:b/>
          <w:bCs/>
          <w:lang w:val="hy-AM"/>
        </w:rPr>
        <w:t>ևս</w:t>
      </w:r>
      <w:proofErr w:type="spellEnd"/>
      <w:r w:rsidRPr="004935AE">
        <w:rPr>
          <w:rFonts w:ascii="GHEA Grapalat" w:hAnsi="GHEA Grapalat" w:cs="Sylfaen"/>
          <w:b/>
          <w:bCs/>
          <w:lang w:val="hy-AM"/>
        </w:rPr>
        <w:t xml:space="preserve"> կարող են օգտվել բնակարանի </w:t>
      </w:r>
      <w:proofErr w:type="spellStart"/>
      <w:r w:rsidRPr="004935AE">
        <w:rPr>
          <w:rFonts w:ascii="GHEA Grapalat" w:hAnsi="GHEA Grapalat" w:cs="Sylfaen"/>
          <w:b/>
          <w:bCs/>
          <w:lang w:val="hy-AM"/>
        </w:rPr>
        <w:t>անձեռմխելիության</w:t>
      </w:r>
      <w:proofErr w:type="spellEnd"/>
      <w:r w:rsidRPr="004935AE">
        <w:rPr>
          <w:rFonts w:ascii="GHEA Grapalat" w:hAnsi="GHEA Grapalat" w:cs="Sylfaen"/>
          <w:b/>
          <w:bCs/>
          <w:lang w:val="hy-AM"/>
        </w:rPr>
        <w:t xml:space="preserve"> երաշխիքից</w:t>
      </w:r>
      <w:r w:rsidR="004935AE">
        <w:rPr>
          <w:rStyle w:val="FootnoteReference"/>
          <w:rFonts w:ascii="GHEA Grapalat" w:hAnsi="GHEA Grapalat" w:cs="Sylfaen"/>
          <w:b/>
          <w:bCs/>
          <w:lang w:val="hy-AM"/>
        </w:rPr>
        <w:footnoteReference w:id="5"/>
      </w:r>
      <w:r w:rsidRPr="004935AE">
        <w:rPr>
          <w:rFonts w:ascii="GHEA Grapalat" w:hAnsi="GHEA Grapalat" w:cs="Sylfaen"/>
          <w:b/>
          <w:bCs/>
          <w:lang w:val="hy-AM"/>
        </w:rPr>
        <w:t>:</w:t>
      </w:r>
      <w:r w:rsidRPr="00B57242">
        <w:rPr>
          <w:rFonts w:ascii="GHEA Grapalat" w:hAnsi="GHEA Grapalat" w:cs="Sylfaen"/>
          <w:bCs/>
          <w:lang w:val="hy-AM"/>
        </w:rPr>
        <w:t xml:space="preserve">  Այդուհանդերձ ՄԻԵԴ- արձանագրել է, որ արտադրական տարածքները, որոնք օգտագործվում են բացառապես մասնագիտական նպատակներով, օրինակ` պահեստային տարածքը, հացի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փուռը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և այլն չեն կարող Կոնվենցիայի իմաստով օգտվել բնակարանի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անձեռմխելիությունից</w:t>
      </w:r>
      <w:proofErr w:type="spellEnd"/>
      <w:r w:rsidR="0011670B">
        <w:rPr>
          <w:rStyle w:val="FootnoteReference"/>
          <w:rFonts w:ascii="GHEA Grapalat" w:hAnsi="GHEA Grapalat" w:cs="Sylfaen"/>
          <w:bCs/>
          <w:lang w:val="hy-AM"/>
        </w:rPr>
        <w:footnoteReference w:id="6"/>
      </w:r>
      <w:r w:rsidRPr="00B57242">
        <w:rPr>
          <w:rFonts w:ascii="GHEA Grapalat" w:hAnsi="GHEA Grapalat" w:cs="Sylfaen"/>
          <w:bCs/>
          <w:lang w:val="hy-AM"/>
        </w:rPr>
        <w:t xml:space="preserve">: 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Հարկ է նկատել նաև, որ բնակարանի անձեռնմխելիության խախտում առկա չի կարող լինել, եթե այն նախատեսված է օրենքով</w:t>
      </w:r>
      <w:r w:rsidR="00064EC1">
        <w:rPr>
          <w:rStyle w:val="FootnoteReference"/>
          <w:rFonts w:ascii="GHEA Grapalat" w:hAnsi="GHEA Grapalat" w:cs="Sylfaen"/>
          <w:bCs/>
          <w:lang w:val="hy-AM"/>
        </w:rPr>
        <w:footnoteReference w:id="7"/>
      </w:r>
      <w:r w:rsidRPr="00B57242">
        <w:rPr>
          <w:rFonts w:ascii="GHEA Grapalat" w:hAnsi="GHEA Grapalat" w:cs="Sylfaen"/>
          <w:bCs/>
          <w:lang w:val="hy-AM"/>
        </w:rPr>
        <w:t>, կոչված է ապահովելու Կոնվենցիայի 8-րդ հոդվածի 2-րդ մասով նախատեսված նպա</w:t>
      </w:r>
      <w:r w:rsidR="00064EC1">
        <w:rPr>
          <w:rFonts w:ascii="GHEA Grapalat" w:hAnsi="GHEA Grapalat" w:cs="Sylfaen"/>
          <w:bCs/>
          <w:lang w:val="hy-AM"/>
        </w:rPr>
        <w:t xml:space="preserve">տակներից </w:t>
      </w:r>
      <w:proofErr w:type="spellStart"/>
      <w:r w:rsidR="00064EC1">
        <w:rPr>
          <w:rFonts w:ascii="GHEA Grapalat" w:hAnsi="GHEA Grapalat" w:cs="Sylfaen"/>
          <w:bCs/>
          <w:lang w:val="hy-AM"/>
        </w:rPr>
        <w:t>որևէ</w:t>
      </w:r>
      <w:proofErr w:type="spellEnd"/>
      <w:r w:rsidR="00064EC1">
        <w:rPr>
          <w:rFonts w:ascii="GHEA Grapalat" w:hAnsi="GHEA Grapalat" w:cs="Sylfaen"/>
          <w:bCs/>
          <w:lang w:val="hy-AM"/>
        </w:rPr>
        <w:t xml:space="preserve"> մեկի իրականացմանը</w:t>
      </w:r>
      <w:r w:rsidR="00064EC1">
        <w:rPr>
          <w:rStyle w:val="FootnoteReference"/>
          <w:rFonts w:ascii="GHEA Grapalat" w:hAnsi="GHEA Grapalat" w:cs="Sylfaen"/>
          <w:bCs/>
          <w:lang w:val="hy-AM"/>
        </w:rPr>
        <w:footnoteReference w:id="8"/>
      </w:r>
      <w:r w:rsidRPr="00B57242">
        <w:rPr>
          <w:rFonts w:ascii="GHEA Grapalat" w:hAnsi="GHEA Grapalat" w:cs="Sylfaen"/>
          <w:bCs/>
          <w:lang w:val="hy-AM"/>
        </w:rPr>
        <w:t>, և անհրաժեշտ է ժո</w:t>
      </w:r>
      <w:r w:rsidR="00064EC1">
        <w:rPr>
          <w:rFonts w:ascii="GHEA Grapalat" w:hAnsi="GHEA Grapalat" w:cs="Sylfaen"/>
          <w:bCs/>
          <w:lang w:val="hy-AM"/>
        </w:rPr>
        <w:t>ղովրդավարական հասարակությունում</w:t>
      </w:r>
      <w:r w:rsidR="00064EC1">
        <w:rPr>
          <w:rStyle w:val="FootnoteReference"/>
          <w:rFonts w:ascii="GHEA Grapalat" w:hAnsi="GHEA Grapalat" w:cs="Sylfaen"/>
          <w:bCs/>
          <w:lang w:val="hy-AM"/>
        </w:rPr>
        <w:footnoteReference w:id="9"/>
      </w:r>
      <w:r w:rsidRPr="00B57242">
        <w:rPr>
          <w:rFonts w:ascii="GHEA Grapalat" w:hAnsi="GHEA Grapalat" w:cs="Sylfaen"/>
          <w:bCs/>
          <w:lang w:val="hy-AM"/>
        </w:rPr>
        <w:t xml:space="preserve">: Որպես </w:t>
      </w:r>
      <w:proofErr w:type="spellStart"/>
      <w:r w:rsidRPr="00B57242">
        <w:rPr>
          <w:rFonts w:ascii="GHEA Grapalat" w:hAnsi="GHEA Grapalat" w:cs="Sylfaen"/>
          <w:bCs/>
          <w:lang w:val="hy-AM"/>
        </w:rPr>
        <w:t>իրավաչափ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նպատակ ի թիվս այլնի կարող է լինել </w:t>
      </w:r>
      <w:proofErr w:type="spellStart"/>
      <w:r w:rsidRPr="00B57242">
        <w:rPr>
          <w:rFonts w:ascii="GHEA Grapalat" w:hAnsi="GHEA Grapalat" w:cs="Sylfaen"/>
          <w:bCs/>
          <w:lang w:val="hy-AM"/>
        </w:rPr>
        <w:t>հսկողոթյունը</w:t>
      </w:r>
      <w:proofErr w:type="spellEnd"/>
      <w:r w:rsidRPr="00B57242">
        <w:rPr>
          <w:rFonts w:ascii="GHEA Grapalat" w:hAnsi="GHEA Grapalat" w:cs="Sylfaen"/>
          <w:bCs/>
          <w:lang w:val="hy-AM"/>
        </w:rPr>
        <w:t>` հարկերից խուսափելը բացառելու նպատակով:</w:t>
      </w:r>
      <w:r w:rsidR="00064EC1">
        <w:rPr>
          <w:rStyle w:val="FootnoteReference"/>
          <w:rFonts w:ascii="GHEA Grapalat" w:hAnsi="GHEA Grapalat" w:cs="Sylfaen"/>
          <w:bCs/>
          <w:lang w:val="hy-AM"/>
        </w:rPr>
        <w:footnoteReference w:id="10"/>
      </w:r>
      <w:r w:rsidRPr="00B57242">
        <w:rPr>
          <w:rFonts w:ascii="GHEA Grapalat" w:hAnsi="GHEA Grapalat" w:cs="Sylfaen"/>
          <w:bCs/>
          <w:lang w:val="hy-AM"/>
        </w:rPr>
        <w:t xml:space="preserve">  Հարկ է նկատել նաև, որ իրավաբանական անձանց(անհատ ձեռնարկատերերին) պատկանող օբյեկտների անձեռնմխելիությունը որոշելիս դատարանի </w:t>
      </w:r>
      <w:r w:rsidR="00064EC1">
        <w:rPr>
          <w:rFonts w:ascii="GHEA Grapalat" w:hAnsi="GHEA Grapalat" w:cs="Sylfaen"/>
          <w:bCs/>
          <w:lang w:val="hy-AM"/>
        </w:rPr>
        <w:t>գնահատման շրջանակը ավելի լայն է</w:t>
      </w:r>
      <w:r w:rsidR="00064EC1">
        <w:rPr>
          <w:rStyle w:val="FootnoteReference"/>
          <w:rFonts w:ascii="GHEA Grapalat" w:hAnsi="GHEA Grapalat" w:cs="Sylfaen"/>
          <w:bCs/>
          <w:lang w:val="hy-AM"/>
        </w:rPr>
        <w:footnoteReference w:id="11"/>
      </w:r>
      <w:r w:rsidRPr="00B57242">
        <w:rPr>
          <w:rFonts w:ascii="GHEA Grapalat" w:hAnsi="GHEA Grapalat" w:cs="Sylfaen"/>
          <w:bCs/>
          <w:lang w:val="hy-AM"/>
        </w:rPr>
        <w:t>:</w:t>
      </w:r>
      <w:r w:rsidRPr="00B57242">
        <w:rPr>
          <w:lang w:val="hy-AM"/>
        </w:rPr>
        <w:t xml:space="preserve"> </w:t>
      </w:r>
      <w:r w:rsidRPr="00B57242">
        <w:rPr>
          <w:rFonts w:ascii="GHEA Grapalat" w:hAnsi="GHEA Grapalat" w:cs="Sylfaen"/>
          <w:bCs/>
          <w:lang w:val="hy-AM"/>
        </w:rPr>
        <w:t xml:space="preserve">Դատարանը պետք է քննարկման առարկա դարձնի 8-րդ հոդվածին միջամտության </w:t>
      </w:r>
      <w:proofErr w:type="spellStart"/>
      <w:r w:rsidRPr="00B57242">
        <w:rPr>
          <w:rFonts w:ascii="GHEA Grapalat" w:hAnsi="GHEA Grapalat" w:cs="Sylfaen"/>
          <w:bCs/>
          <w:lang w:val="hy-AM"/>
        </w:rPr>
        <w:t>համաչափությունը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հարկերից խուսափելու դեմ պայքարի արդյունավետության տեսանկյունից:</w:t>
      </w:r>
      <w:r w:rsidR="004A4C83">
        <w:rPr>
          <w:rStyle w:val="FootnoteReference"/>
          <w:rFonts w:ascii="GHEA Grapalat" w:hAnsi="GHEA Grapalat" w:cs="Sylfaen"/>
          <w:bCs/>
          <w:lang w:val="hy-AM"/>
        </w:rPr>
        <w:footnoteReference w:id="12"/>
      </w:r>
      <w:r w:rsidRPr="00B57242">
        <w:rPr>
          <w:rFonts w:ascii="GHEA Grapalat" w:hAnsi="GHEA Grapalat" w:cs="Sylfaen"/>
          <w:bCs/>
          <w:lang w:val="hy-AM"/>
        </w:rPr>
        <w:t xml:space="preserve">  </w:t>
      </w:r>
      <w:proofErr w:type="spellStart"/>
      <w:r w:rsidRPr="004A4C83">
        <w:rPr>
          <w:rFonts w:ascii="GHEA Grapalat" w:hAnsi="GHEA Grapalat" w:cs="Sylfaen"/>
          <w:b/>
          <w:bCs/>
          <w:lang w:val="hy-AM"/>
        </w:rPr>
        <w:t>Կոնվենիցիայի</w:t>
      </w:r>
      <w:proofErr w:type="spellEnd"/>
      <w:r w:rsidRPr="004A4C83">
        <w:rPr>
          <w:rFonts w:ascii="GHEA Grapalat" w:hAnsi="GHEA Grapalat" w:cs="Sylfaen"/>
          <w:b/>
          <w:bCs/>
          <w:lang w:val="hy-AM"/>
        </w:rPr>
        <w:t xml:space="preserve"> 8-րդ հոդվածի համատեքստում հարկ է ուշադրություն դարձնել նաև այն հանգամանքին, որ որպես կանոն բնակարանի </w:t>
      </w:r>
      <w:proofErr w:type="spellStart"/>
      <w:r w:rsidRPr="004A4C83">
        <w:rPr>
          <w:rFonts w:ascii="GHEA Grapalat" w:hAnsi="GHEA Grapalat" w:cs="Sylfaen"/>
          <w:b/>
          <w:bCs/>
          <w:lang w:val="hy-AM"/>
        </w:rPr>
        <w:t>անձեռմխելիությամբ</w:t>
      </w:r>
      <w:proofErr w:type="spellEnd"/>
      <w:r w:rsidRPr="004A4C83">
        <w:rPr>
          <w:rFonts w:ascii="GHEA Grapalat" w:hAnsi="GHEA Grapalat" w:cs="Sylfaen"/>
          <w:b/>
          <w:bCs/>
          <w:lang w:val="hy-AM"/>
        </w:rPr>
        <w:t xml:space="preserve"> օժտված են այն տարածքները, որոնք առանց սեփականատիրոջ թույլտվության կամ դատական սանկցիայի հասանելի չեն երրորդ անձանց (այդ թվում` հանրային </w:t>
      </w:r>
      <w:r w:rsidRPr="004A4C83">
        <w:rPr>
          <w:rFonts w:ascii="GHEA Grapalat" w:hAnsi="GHEA Grapalat" w:cs="Sylfaen"/>
          <w:b/>
          <w:bCs/>
          <w:lang w:val="hy-AM"/>
        </w:rPr>
        <w:lastRenderedPageBreak/>
        <w:t>իշխանության մարմինների) համար:</w:t>
      </w:r>
      <w:r w:rsidRPr="00B57242">
        <w:rPr>
          <w:rFonts w:ascii="GHEA Grapalat" w:hAnsi="GHEA Grapalat" w:cs="Sylfaen"/>
          <w:bCs/>
          <w:lang w:val="hy-AM"/>
        </w:rPr>
        <w:t xml:space="preserve"> Այնինչ տվյալ դեպքում ՀԴՄ կիրառող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առևտրային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օբյեկտները բաց են յուրաքանչյուր անձի մուտքի համար, և մուտք գործելու </w:t>
      </w:r>
      <w:proofErr w:type="spellStart"/>
      <w:r w:rsidRPr="00B57242">
        <w:rPr>
          <w:rFonts w:ascii="GHEA Grapalat" w:hAnsi="GHEA Grapalat" w:cs="Sylfaen"/>
          <w:bCs/>
          <w:lang w:val="hy-AM"/>
        </w:rPr>
        <w:t>որևէ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թույլտվություն չի պահանջում: Ավելին ՄԻԵԴ </w:t>
      </w:r>
      <w:proofErr w:type="spellStart"/>
      <w:r w:rsidRPr="00B57242">
        <w:rPr>
          <w:rFonts w:ascii="GHEA Grapalat" w:hAnsi="GHEA Grapalat" w:cs="Sylfaen"/>
          <w:bCs/>
          <w:lang w:val="hy-AM"/>
        </w:rPr>
        <w:t>նախադեպային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պրակտիկայի ուսումնասիրությունից պարզ է դառնում, որ 8-րդ հոդվածի իմաստով բնակարանի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անձեռմխելիության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իրաունքին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միջամտությունը ի թիվս այլնի կարող է </w:t>
      </w:r>
      <w:proofErr w:type="spellStart"/>
      <w:r w:rsidRPr="00B57242">
        <w:rPr>
          <w:rFonts w:ascii="GHEA Grapalat" w:hAnsi="GHEA Grapalat" w:cs="Sylfaen"/>
          <w:bCs/>
          <w:lang w:val="hy-AM"/>
        </w:rPr>
        <w:t>դրսևորվել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հետևյալ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Pr="00B57242">
        <w:rPr>
          <w:rFonts w:ascii="GHEA Grapalat" w:hAnsi="GHEA Grapalat" w:cs="Sylfaen"/>
          <w:bCs/>
          <w:lang w:val="hy-AM"/>
        </w:rPr>
        <w:t>ձևերով</w:t>
      </w:r>
      <w:proofErr w:type="spellEnd"/>
      <w:r w:rsidRPr="00B57242">
        <w:rPr>
          <w:rFonts w:ascii="GHEA Grapalat" w:hAnsi="GHEA Grapalat" w:cs="Sylfaen"/>
          <w:bCs/>
          <w:lang w:val="hy-AM"/>
        </w:rPr>
        <w:t>.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1.</w:t>
      </w:r>
      <w:r w:rsidRPr="00B57242">
        <w:rPr>
          <w:rFonts w:ascii="GHEA Grapalat" w:hAnsi="GHEA Grapalat" w:cs="Sylfaen"/>
          <w:bCs/>
          <w:lang w:val="hy-AM"/>
        </w:rPr>
        <w:tab/>
        <w:t>Գույքի բռնագրավումը կամ քանդումը,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2.</w:t>
      </w:r>
      <w:r w:rsidRPr="00B57242">
        <w:rPr>
          <w:rFonts w:ascii="GHEA Grapalat" w:hAnsi="GHEA Grapalat" w:cs="Sylfaen"/>
          <w:bCs/>
          <w:lang w:val="hy-AM"/>
        </w:rPr>
        <w:tab/>
        <w:t>Բնակարան վերադառնալուն արգելելը, խոչընդոտելը,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3.</w:t>
      </w:r>
      <w:r w:rsidRPr="00B57242">
        <w:rPr>
          <w:rFonts w:ascii="GHEA Grapalat" w:hAnsi="GHEA Grapalat" w:cs="Sylfaen"/>
          <w:bCs/>
          <w:lang w:val="hy-AM"/>
        </w:rPr>
        <w:tab/>
        <w:t xml:space="preserve">Իրավապահ մարմինների մուտքը բնակարան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փնտրողական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գործողությունները,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4.</w:t>
      </w:r>
      <w:r w:rsidRPr="00B57242">
        <w:rPr>
          <w:rFonts w:ascii="GHEA Grapalat" w:hAnsi="GHEA Grapalat" w:cs="Sylfaen"/>
          <w:bCs/>
          <w:lang w:val="hy-AM"/>
        </w:rPr>
        <w:tab/>
        <w:t xml:space="preserve">Արգելադրման և առգրավման </w:t>
      </w:r>
      <w:bookmarkStart w:id="0" w:name="_GoBack"/>
      <w:r w:rsidRPr="00B57242">
        <w:rPr>
          <w:rFonts w:ascii="GHEA Grapalat" w:hAnsi="GHEA Grapalat" w:cs="Sylfaen"/>
          <w:bCs/>
          <w:lang w:val="hy-AM"/>
        </w:rPr>
        <w:t>աշխատ</w:t>
      </w:r>
      <w:bookmarkEnd w:id="0"/>
      <w:r w:rsidRPr="00B57242">
        <w:rPr>
          <w:rFonts w:ascii="GHEA Grapalat" w:hAnsi="GHEA Grapalat" w:cs="Sylfaen"/>
          <w:bCs/>
          <w:lang w:val="hy-AM"/>
        </w:rPr>
        <w:t>անքները,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5.</w:t>
      </w:r>
      <w:r w:rsidRPr="00B57242">
        <w:rPr>
          <w:rFonts w:ascii="GHEA Grapalat" w:hAnsi="GHEA Grapalat" w:cs="Sylfaen"/>
          <w:bCs/>
          <w:lang w:val="hy-AM"/>
        </w:rPr>
        <w:tab/>
        <w:t>Արտաքսումը բնակարանից,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6.</w:t>
      </w:r>
      <w:r w:rsidRPr="00B57242">
        <w:rPr>
          <w:rFonts w:ascii="GHEA Grapalat" w:hAnsi="GHEA Grapalat" w:cs="Sylfaen"/>
          <w:bCs/>
          <w:lang w:val="hy-AM"/>
        </w:rPr>
        <w:tab/>
        <w:t>Հարկադիր օտարումը: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>Միջազգային փորձի մասով հարկ ենք համարում անդրադառնալ Վրաստանի Հանրապետության հարկային օրենսգրքին, որի 258-րդ հոդվածի 4-րդ մասի համաձայն՝ հարկային մարմինն իրավունք ունի հարկ վճարողից ապրանքների/ծառայությունների հսկիչ գնում կամ (և) գնում իրականացնելու առաջարկի ընթացքում առանց դատավորի հրամանի կիրառել ընթացակարգի արձանագրման տեխնիկական միջոցներ (17.12.2010 N4114):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Այսինքն Վրաստանի Հանրապետության Հարկային օրենսգրքի տվյալ կարգավորումից բխում է, որ հարկային ուսումնասիրության տեսակ հանդիսացող հսկիչ գնման կամ նման գնման առաջարկի դեպքում հարկային մարմնի աշխատակիցը իրավասու է տեխնիկական միջոցների կիրառմամբ կատարել տվյալ ուսումնասիրության ընթացակարգի արձանագրում։ Սա մի կողմից թույլ է տալիս ապահովել ընթացակարգի ամբողջական արձանագրում, նույնիսկ եթե տվյալ ընթացակարգով եղել են խախտումներ, ապա դրանք կլինեն արձանագրված և կապահովեն քաղաքացիների իրավունքների պահպանությունը, իսկ իրավունքի խախտման դեպքում նաև դրանց վերականգնումը, բացի այդ տվյալ կարգավորումը թույլ է տալիս ապահովել վարույթի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լրիվությունը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, օբյեկտիվությունը և </w:t>
      </w:r>
      <w:proofErr w:type="spellStart"/>
      <w:r w:rsidRPr="00B57242">
        <w:rPr>
          <w:rFonts w:ascii="GHEA Grapalat" w:hAnsi="GHEA Grapalat" w:cs="Sylfaen"/>
          <w:bCs/>
          <w:lang w:val="hy-AM"/>
        </w:rPr>
        <w:t>բազմակոմանիությունը</w:t>
      </w:r>
      <w:proofErr w:type="spellEnd"/>
      <w:r w:rsidRPr="00B57242">
        <w:rPr>
          <w:rFonts w:ascii="GHEA Grapalat" w:hAnsi="GHEA Grapalat" w:cs="Sylfaen"/>
          <w:bCs/>
          <w:lang w:val="hy-AM"/>
        </w:rPr>
        <w:t>։</w:t>
      </w:r>
      <w:r w:rsidRPr="00B57242">
        <w:rPr>
          <w:rFonts w:ascii="GHEA Grapalat" w:hAnsi="GHEA Grapalat" w:cs="Sylfaen"/>
          <w:bCs/>
          <w:lang w:val="hy-AM"/>
        </w:rPr>
        <w:tab/>
      </w:r>
      <w:r w:rsidRPr="00B57242">
        <w:rPr>
          <w:rFonts w:ascii="GHEA Grapalat" w:hAnsi="GHEA Grapalat" w:cs="Sylfaen"/>
          <w:bCs/>
          <w:lang w:val="hy-AM"/>
        </w:rPr>
        <w:tab/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Ելնելով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վերոգրյալից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և հիմք ընդունելով վերոնշյալ իրավական եզրահանգումները և նորմերը՝ </w:t>
      </w:r>
      <w:r w:rsidR="00B57242" w:rsidRPr="00B57242">
        <w:rPr>
          <w:rFonts w:ascii="GHEA Grapalat" w:hAnsi="GHEA Grapalat" w:cs="Sylfaen"/>
          <w:bCs/>
          <w:lang w:val="hy-AM"/>
        </w:rPr>
        <w:tab/>
        <w:t xml:space="preserve">հայտնում ենք, որ Նախագծով նախատեսվող փոփոխության արդյունքում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առևտրային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օբյեկտներում հարկային հսկողության կոնկրետ միջոցների շրջանակներում </w:t>
      </w:r>
      <w:r w:rsidR="00B57242" w:rsidRPr="00B57242">
        <w:rPr>
          <w:rFonts w:ascii="GHEA Grapalat" w:hAnsi="GHEA Grapalat" w:cs="Sylfaen"/>
          <w:bCs/>
          <w:lang w:val="hy-AM"/>
        </w:rPr>
        <w:lastRenderedPageBreak/>
        <w:t xml:space="preserve">իրականացվող </w:t>
      </w:r>
      <w:proofErr w:type="spellStart"/>
      <w:r w:rsidR="00B57242" w:rsidRPr="008E40A3">
        <w:rPr>
          <w:rFonts w:ascii="GHEA Grapalat" w:hAnsi="GHEA Grapalat" w:cs="Sylfaen"/>
          <w:b/>
          <w:bCs/>
          <w:lang w:val="hy-AM"/>
        </w:rPr>
        <w:t>տեսանկարահանումը</w:t>
      </w:r>
      <w:proofErr w:type="spellEnd"/>
      <w:r w:rsidR="00B57242" w:rsidRPr="008E40A3">
        <w:rPr>
          <w:rFonts w:ascii="GHEA Grapalat" w:hAnsi="GHEA Grapalat" w:cs="Sylfaen"/>
          <w:b/>
          <w:bCs/>
          <w:lang w:val="hy-AM"/>
        </w:rPr>
        <w:t xml:space="preserve"> կամ լուսանկարահանումը</w:t>
      </w:r>
      <w:r w:rsidR="00B57242" w:rsidRPr="00B57242">
        <w:rPr>
          <w:rFonts w:ascii="GHEA Grapalat" w:hAnsi="GHEA Grapalat" w:cs="Sylfaen"/>
          <w:bCs/>
          <w:lang w:val="hy-AM"/>
        </w:rPr>
        <w:t xml:space="preserve"> չի կարող դիտարկվել</w:t>
      </w:r>
      <w:r w:rsidR="00B57242" w:rsidRPr="00B57242">
        <w:rPr>
          <w:lang w:val="hy-AM"/>
        </w:rPr>
        <w:t xml:space="preserve"> </w:t>
      </w:r>
      <w:r w:rsidR="00B57242" w:rsidRPr="00B57242">
        <w:rPr>
          <w:rFonts w:ascii="GHEA Grapalat" w:hAnsi="GHEA Grapalat" w:cs="Sylfaen"/>
          <w:bCs/>
          <w:lang w:val="hy-AM"/>
        </w:rPr>
        <w:t>որպես բնակարանի /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առևտրային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օբյեկտի/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անձեռմխելիության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և անձի անձնական իրավունքների խախտում, քանի որ՝ 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-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տեսանկարահանումը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կամ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լուսանկարահանումն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արվելու է հանրային վայրում, այլ ոչ թե՝ անձի անձնական տիրույթում, 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>- անձը ողջամտորեն չունի կամ չէր կարող ունենալ իր մասնավոր կյանքի գաղտնիության լեգիտիմ ակնկալիք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- հետապնդելու է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իրավաչափ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նպատակ, 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>- չի կրելու սիստեմատիկ բնույթ՝ կիրառվելու է միայն կոնկրետ հանձնարարագրի շրջանակներում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- խախտումն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ամրագրած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տեսանյութի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կադրում արձանագրված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ան¬ձանց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պատկերները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մթնեցվելու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են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>- իրականացվելու է երկրի տնտեսական բարեկեցության, ինչպես նաև իրավախախտման կանխման կամ բացահայտման նպատակով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- ապահովելու է մրցակցող շահերի /պետության և մասնավոր անձի/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միջև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հաստատման ենթակա արդարացի շահերի հավասարակշռությունը</w:t>
      </w:r>
    </w:p>
    <w:p w:rsidR="00B57242" w:rsidRPr="00B57242" w:rsidRDefault="008E40A3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ab/>
      </w:r>
      <w:r w:rsidR="00B57242" w:rsidRPr="00B57242">
        <w:rPr>
          <w:rFonts w:ascii="GHEA Grapalat" w:hAnsi="GHEA Grapalat" w:cs="Sylfaen"/>
          <w:bCs/>
          <w:lang w:val="hy-AM"/>
        </w:rPr>
        <w:t xml:space="preserve">- անձի անձնական անձեռնմխելիության խախտում չի դիտարկվելու, քանի որ նախատեսվելու է օրենքով, կոչված է ապահովելու Կոնվենցիայի 8-րդ հոդվածի 2-րդ մասով նախատեսված նպատակներից </w:t>
      </w:r>
      <w:proofErr w:type="spellStart"/>
      <w:r w:rsidR="00B57242" w:rsidRPr="00B57242">
        <w:rPr>
          <w:rFonts w:ascii="GHEA Grapalat" w:hAnsi="GHEA Grapalat" w:cs="Sylfaen"/>
          <w:bCs/>
          <w:lang w:val="hy-AM"/>
        </w:rPr>
        <w:t>որևէ</w:t>
      </w:r>
      <w:proofErr w:type="spellEnd"/>
      <w:r w:rsidR="00B57242" w:rsidRPr="00B57242">
        <w:rPr>
          <w:rFonts w:ascii="GHEA Grapalat" w:hAnsi="GHEA Grapalat" w:cs="Sylfaen"/>
          <w:bCs/>
          <w:lang w:val="hy-AM"/>
        </w:rPr>
        <w:t xml:space="preserve"> մեկի իրականացումը, և անհրաժեշտ է ժողովրդավարական հասարակությունում:</w:t>
      </w:r>
    </w:p>
    <w:p w:rsidR="00B57242" w:rsidRPr="00B57242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Այսպիսով, վերը նշվածի համատեքստում, Նախագծի նպատակն է ապահովել անհրաժեշտ իրավական բազա, որպեսզի հարկային հսկողության ընթացքում խախտումներ բացահայտելու համար կիրառվի </w:t>
      </w:r>
      <w:proofErr w:type="spellStart"/>
      <w:r w:rsidRPr="00B57242">
        <w:rPr>
          <w:rFonts w:ascii="GHEA Grapalat" w:hAnsi="GHEA Grapalat" w:cs="Sylfaen"/>
          <w:bCs/>
          <w:lang w:val="hy-AM"/>
        </w:rPr>
        <w:t>տեսանկարահանում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կամ լուսանկարահանում, այդպիսի տեխնիկական հնարավորություն ունեցող սարքերի միջոցով, քանի որ ներկա </w:t>
      </w:r>
      <w:proofErr w:type="spellStart"/>
      <w:r w:rsidRPr="00B57242">
        <w:rPr>
          <w:rFonts w:ascii="GHEA Grapalat" w:hAnsi="GHEA Grapalat" w:cs="Sylfaen"/>
          <w:bCs/>
          <w:lang w:val="hy-AM"/>
        </w:rPr>
        <w:t>իրավակարգավորումների</w:t>
      </w:r>
      <w:proofErr w:type="spellEnd"/>
      <w:r w:rsidRPr="00B57242">
        <w:rPr>
          <w:rFonts w:ascii="GHEA Grapalat" w:hAnsi="GHEA Grapalat" w:cs="Sylfaen"/>
          <w:bCs/>
          <w:lang w:val="hy-AM"/>
        </w:rPr>
        <w:t xml:space="preserve"> պարագայում հնարավոր չէ այն իրականացնել գաղտնի եղանակով, իսկ այն հրապարակային իրականացնելը առարկայազուրկ կդարձնի հսկիչ գնումը և չի ծառայի իր նպատակին:</w:t>
      </w:r>
    </w:p>
    <w:p w:rsidR="00D3705A" w:rsidRPr="00DB0B89" w:rsidRDefault="00B57242" w:rsidP="00B5724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B57242">
        <w:rPr>
          <w:rFonts w:ascii="GHEA Grapalat" w:hAnsi="GHEA Grapalat" w:cs="Sylfaen"/>
          <w:bCs/>
          <w:lang w:val="hy-AM"/>
        </w:rPr>
        <w:t xml:space="preserve">Փոփոխության արդյունքում հնարավոր կլինի ավելի արդյունավետ պայքար մղել ստվերային տնտեսության դեմ և բացառել շրջանառությունը թաքցնելու դեպքերը: Իսկ </w:t>
      </w:r>
      <w:r w:rsidRPr="00B57242">
        <w:rPr>
          <w:rFonts w:ascii="GHEA Grapalat" w:hAnsi="GHEA Grapalat" w:cs="Sylfaen"/>
          <w:bCs/>
          <w:lang w:val="hy-AM"/>
        </w:rPr>
        <w:lastRenderedPageBreak/>
        <w:t>ստուգման ակտի վիճարկման դեպքում հնարավոր կլինի ներկայացնել հիմնավոր ապացույց` իրավախախտման փաստն արձանագրող:</w:t>
      </w:r>
    </w:p>
    <w:p w:rsidR="00C65A4B" w:rsidRDefault="00CD681C" w:rsidP="00CD681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Ելնելով </w:t>
      </w:r>
      <w:proofErr w:type="spellStart"/>
      <w:r>
        <w:rPr>
          <w:rFonts w:ascii="GHEA Grapalat" w:hAnsi="GHEA Grapalat" w:cs="Sylfaen"/>
          <w:bCs/>
          <w:lang w:val="hy-AM"/>
        </w:rPr>
        <w:t>վերոգրյալից</w:t>
      </w:r>
      <w:proofErr w:type="spellEnd"/>
      <w:r>
        <w:rPr>
          <w:rFonts w:ascii="GHEA Grapalat" w:hAnsi="GHEA Grapalat" w:cs="Sylfaen"/>
          <w:bCs/>
          <w:lang w:val="hy-AM"/>
        </w:rPr>
        <w:t xml:space="preserve">` </w:t>
      </w:r>
      <w:r w:rsidRPr="00CD681C">
        <w:rPr>
          <w:rFonts w:ascii="GHEA Grapalat" w:hAnsi="GHEA Grapalat" w:cs="Sylfaen"/>
          <w:bCs/>
          <w:lang w:val="hy-AM"/>
        </w:rPr>
        <w:t xml:space="preserve">առկա օրենսդրական </w:t>
      </w:r>
      <w:proofErr w:type="spellStart"/>
      <w:r w:rsidRPr="00CD681C">
        <w:rPr>
          <w:rFonts w:ascii="GHEA Grapalat" w:hAnsi="GHEA Grapalat" w:cs="Sylfaen"/>
          <w:bCs/>
          <w:lang w:val="hy-AM"/>
        </w:rPr>
        <w:t>բացերը</w:t>
      </w:r>
      <w:proofErr w:type="spellEnd"/>
      <w:r w:rsidRPr="00CD681C">
        <w:rPr>
          <w:rFonts w:ascii="GHEA Grapalat" w:hAnsi="GHEA Grapalat" w:cs="Sylfaen"/>
          <w:bCs/>
          <w:lang w:val="hy-AM"/>
        </w:rPr>
        <w:t xml:space="preserve"> վերացնելու նպատակով մշակվել </w:t>
      </w:r>
      <w:r w:rsidR="002D6243">
        <w:rPr>
          <w:rFonts w:ascii="GHEA Grapalat" w:hAnsi="GHEA Grapalat" w:cs="Sylfaen"/>
          <w:bCs/>
          <w:lang w:val="hy-AM"/>
        </w:rPr>
        <w:t>է</w:t>
      </w:r>
      <w:r>
        <w:rPr>
          <w:rFonts w:ascii="GHEA Grapalat" w:hAnsi="GHEA Grapalat" w:cs="Sylfaen"/>
          <w:bCs/>
          <w:lang w:val="hy-AM"/>
        </w:rPr>
        <w:t xml:space="preserve"> նախագ</w:t>
      </w:r>
      <w:r w:rsidR="002D6243">
        <w:rPr>
          <w:rFonts w:ascii="GHEA Grapalat" w:hAnsi="GHEA Grapalat" w:cs="Sylfaen"/>
          <w:bCs/>
          <w:lang w:val="hy-AM"/>
        </w:rPr>
        <w:t>ի</w:t>
      </w:r>
      <w:r>
        <w:rPr>
          <w:rFonts w:ascii="GHEA Grapalat" w:hAnsi="GHEA Grapalat" w:cs="Sylfaen"/>
          <w:bCs/>
          <w:lang w:val="hy-AM"/>
        </w:rPr>
        <w:t>ծը:</w:t>
      </w:r>
    </w:p>
    <w:p w:rsidR="00645301" w:rsidRPr="00C65A4B" w:rsidRDefault="002D6243" w:rsidP="00CD681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Մասնավորապես, նախագծ</w:t>
      </w:r>
      <w:r w:rsidR="00645301">
        <w:rPr>
          <w:rFonts w:ascii="GHEA Grapalat" w:hAnsi="GHEA Grapalat" w:cs="Sylfaen"/>
          <w:bCs/>
          <w:lang w:val="hy-AM"/>
        </w:rPr>
        <w:t xml:space="preserve">ով նախատեսվել </w:t>
      </w:r>
      <w:r>
        <w:rPr>
          <w:rFonts w:ascii="GHEA Grapalat" w:hAnsi="GHEA Grapalat" w:cs="Sylfaen"/>
          <w:bCs/>
          <w:lang w:val="hy-AM"/>
        </w:rPr>
        <w:t>է</w:t>
      </w:r>
      <w:r w:rsidR="00645301">
        <w:rPr>
          <w:rFonts w:ascii="GHEA Grapalat" w:hAnsi="GHEA Grapalat" w:cs="Sylfaen"/>
          <w:bCs/>
          <w:lang w:val="hy-AM"/>
        </w:rPr>
        <w:t xml:space="preserve"> </w:t>
      </w:r>
      <w:r w:rsidR="00AB2156">
        <w:rPr>
          <w:rFonts w:ascii="GHEA Grapalat" w:hAnsi="GHEA Grapalat" w:cs="Sylfaen"/>
          <w:bCs/>
          <w:lang w:val="hy-AM"/>
        </w:rPr>
        <w:t>հ</w:t>
      </w:r>
      <w:r w:rsidR="00AB2156" w:rsidRPr="00AB2156">
        <w:rPr>
          <w:rFonts w:ascii="GHEA Grapalat" w:hAnsi="GHEA Grapalat" w:cs="Sylfaen"/>
          <w:bCs/>
          <w:lang w:val="hy-AM"/>
        </w:rPr>
        <w:t>արկային հսկողության շրջանակներում արձա</w:t>
      </w:r>
      <w:r w:rsidR="00DE42E2">
        <w:rPr>
          <w:rFonts w:ascii="GHEA Grapalat" w:hAnsi="GHEA Grapalat" w:cs="Sylfaen"/>
          <w:bCs/>
          <w:lang w:val="hy-AM"/>
        </w:rPr>
        <w:t xml:space="preserve">նագրված խախտման փաստը հաստատող </w:t>
      </w:r>
      <w:r w:rsidR="00AB2156" w:rsidRPr="00AB2156">
        <w:rPr>
          <w:rFonts w:ascii="GHEA Grapalat" w:hAnsi="GHEA Grapalat" w:cs="Sylfaen"/>
          <w:bCs/>
          <w:lang w:val="hy-AM"/>
        </w:rPr>
        <w:t>հանգամանքները հիմնավորելու նպատակով հարկային հսկողություն իրականացնող պաշտոնատար անձ</w:t>
      </w:r>
      <w:r w:rsidR="00AB2156">
        <w:rPr>
          <w:rFonts w:ascii="GHEA Grapalat" w:hAnsi="GHEA Grapalat" w:cs="Sylfaen"/>
          <w:bCs/>
          <w:lang w:val="hy-AM"/>
        </w:rPr>
        <w:t xml:space="preserve">անց </w:t>
      </w:r>
      <w:proofErr w:type="spellStart"/>
      <w:r w:rsidR="00AB2156" w:rsidRPr="00AB2156">
        <w:rPr>
          <w:rFonts w:ascii="GHEA Grapalat" w:hAnsi="GHEA Grapalat" w:cs="Sylfaen"/>
          <w:bCs/>
          <w:lang w:val="hy-AM"/>
        </w:rPr>
        <w:t>տեսանկարահանող</w:t>
      </w:r>
      <w:proofErr w:type="spellEnd"/>
      <w:r w:rsidR="00AB2156" w:rsidRPr="00AB2156">
        <w:rPr>
          <w:rFonts w:ascii="GHEA Grapalat" w:hAnsi="GHEA Grapalat" w:cs="Sylfaen"/>
          <w:bCs/>
          <w:lang w:val="hy-AM"/>
        </w:rPr>
        <w:t xml:space="preserve"> տեխնիկական միջոցներ </w:t>
      </w:r>
      <w:r w:rsidR="00AB2156">
        <w:rPr>
          <w:rFonts w:ascii="GHEA Grapalat" w:hAnsi="GHEA Grapalat" w:cs="Sylfaen"/>
          <w:bCs/>
          <w:lang w:val="hy-AM"/>
        </w:rPr>
        <w:t xml:space="preserve">կիրառելու իրավասություն վերապահող </w:t>
      </w:r>
      <w:proofErr w:type="spellStart"/>
      <w:r w:rsidR="00AB2156">
        <w:rPr>
          <w:rFonts w:ascii="GHEA Grapalat" w:hAnsi="GHEA Grapalat" w:cs="Sylfaen"/>
          <w:bCs/>
          <w:lang w:val="hy-AM"/>
        </w:rPr>
        <w:t>կանոնակարգումներ</w:t>
      </w:r>
      <w:proofErr w:type="spellEnd"/>
      <w:r w:rsidR="00AB2156">
        <w:rPr>
          <w:rFonts w:ascii="GHEA Grapalat" w:hAnsi="GHEA Grapalat" w:cs="Sylfaen"/>
          <w:bCs/>
          <w:lang w:val="hy-AM"/>
        </w:rPr>
        <w:t xml:space="preserve">: 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DC4EE6">
        <w:rPr>
          <w:rFonts w:ascii="GHEA Grapalat" w:hAnsi="GHEA Grapalat" w:cs="Sylfaen"/>
          <w:b/>
          <w:bCs/>
          <w:lang w:val="hy-AM"/>
        </w:rPr>
        <w:t>3</w:t>
      </w:r>
      <w:r w:rsidRPr="00DC4EE6">
        <w:rPr>
          <w:rFonts w:ascii="Cambria Math" w:hAnsi="Cambria Math" w:cs="Cambria Math"/>
          <w:b/>
          <w:bCs/>
          <w:lang w:val="hy-AM"/>
        </w:rPr>
        <w:t>․</w:t>
      </w:r>
      <w:r w:rsidRPr="00DC4EE6">
        <w:rPr>
          <w:rFonts w:ascii="GHEA Grapalat" w:hAnsi="GHEA Grapalat" w:cs="Sylfaen"/>
          <w:b/>
          <w:bCs/>
          <w:lang w:val="hy-AM"/>
        </w:rPr>
        <w:t xml:space="preserve"> Առաջարկվող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կարգավորման</w:t>
      </w:r>
      <w:r w:rsidRPr="00DC4EE6">
        <w:rPr>
          <w:rFonts w:ascii="GHEA Grapalat" w:hAnsi="GHEA Grapalat" w:cs="Sylfaen"/>
          <w:b/>
          <w:bCs/>
          <w:lang w:val="af-ZA"/>
        </w:rPr>
        <w:t xml:space="preserve"> </w:t>
      </w:r>
      <w:r w:rsidRPr="00DC4EE6">
        <w:rPr>
          <w:rFonts w:ascii="GHEA Grapalat" w:hAnsi="GHEA Grapalat" w:cs="Sylfaen"/>
          <w:b/>
          <w:bCs/>
          <w:lang w:val="hy-AM"/>
        </w:rPr>
        <w:t>բնույթը</w:t>
      </w:r>
      <w:r w:rsidRPr="00DC4EE6">
        <w:rPr>
          <w:rFonts w:ascii="GHEA Grapalat" w:hAnsi="GHEA Grapalat" w:cs="Sylfaen"/>
          <w:b/>
          <w:bCs/>
          <w:lang w:val="af-ZA"/>
        </w:rPr>
        <w:t>.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DC4EE6">
        <w:rPr>
          <w:rFonts w:ascii="GHEA Grapalat" w:hAnsi="GHEA Grapalat" w:cs="Sylfaen"/>
          <w:lang w:val="af-ZA"/>
        </w:rPr>
        <w:t xml:space="preserve">Հաշվի առնելով </w:t>
      </w:r>
      <w:r w:rsidRPr="00DC4EE6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DC4EE6">
        <w:rPr>
          <w:rFonts w:ascii="GHEA Grapalat" w:hAnsi="GHEA Grapalat" w:cs="Sylfaen"/>
          <w:lang w:val="pt-BR"/>
        </w:rPr>
        <w:t xml:space="preserve">, </w:t>
      </w:r>
      <w:r w:rsidRPr="00DC4EE6">
        <w:rPr>
          <w:rFonts w:ascii="GHEA Grapalat" w:hAnsi="GHEA Grapalat" w:cs="Sylfaen"/>
          <w:lang w:val="hy-AM"/>
        </w:rPr>
        <w:t>մշակվել</w:t>
      </w:r>
      <w:r w:rsidRPr="00DC4EE6">
        <w:rPr>
          <w:rFonts w:ascii="GHEA Grapalat" w:hAnsi="GHEA Grapalat" w:cs="Sylfaen"/>
          <w:lang w:val="pt-BR"/>
        </w:rPr>
        <w:t xml:space="preserve"> </w:t>
      </w:r>
      <w:r w:rsidR="002D6243">
        <w:rPr>
          <w:rFonts w:ascii="GHEA Grapalat" w:hAnsi="GHEA Grapalat" w:cs="Sylfaen"/>
          <w:lang w:val="hy-AM"/>
        </w:rPr>
        <w:t>է</w:t>
      </w:r>
      <w:r w:rsidR="006171E6">
        <w:rPr>
          <w:rFonts w:ascii="GHEA Grapalat" w:hAnsi="GHEA Grapalat" w:cs="Sylfaen"/>
          <w:lang w:val="hy-AM"/>
        </w:rPr>
        <w:t xml:space="preserve"> </w:t>
      </w:r>
      <w:r w:rsidR="00F324E3">
        <w:rPr>
          <w:rFonts w:ascii="GHEA Grapalat" w:hAnsi="GHEA Grapalat" w:cs="Sylfaen"/>
          <w:lang w:val="hy-AM"/>
        </w:rPr>
        <w:t>նախագ</w:t>
      </w:r>
      <w:r w:rsidR="002D6243">
        <w:rPr>
          <w:rFonts w:ascii="GHEA Grapalat" w:hAnsi="GHEA Grapalat" w:cs="Sylfaen"/>
          <w:lang w:val="hy-AM"/>
        </w:rPr>
        <w:t>ի</w:t>
      </w:r>
      <w:r w:rsidR="00F324E3">
        <w:rPr>
          <w:rFonts w:ascii="GHEA Grapalat" w:hAnsi="GHEA Grapalat" w:cs="Sylfaen"/>
          <w:lang w:val="hy-AM"/>
        </w:rPr>
        <w:t>ծը</w:t>
      </w:r>
      <w:r w:rsidRPr="00DC4EE6">
        <w:rPr>
          <w:rFonts w:ascii="GHEA Grapalat" w:hAnsi="GHEA Grapalat" w:cs="Sylfaen"/>
          <w:lang w:val="af-ZA"/>
        </w:rPr>
        <w:t>:</w:t>
      </w:r>
    </w:p>
    <w:p w:rsidR="00DC4EE6" w:rsidRPr="00DC4EE6" w:rsidRDefault="00DC4EE6" w:rsidP="00DC4EE6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t>4</w:t>
      </w:r>
      <w:r w:rsidRPr="00DC4EE6">
        <w:rPr>
          <w:rFonts w:ascii="Cambria Math" w:hAnsi="Cambria Math" w:cs="Cambria Math"/>
          <w:b/>
          <w:lang w:val="hy-AM"/>
        </w:rPr>
        <w:t>․</w:t>
      </w:r>
      <w:r w:rsidRPr="00DC4EE6">
        <w:rPr>
          <w:rFonts w:ascii="GHEA Grapalat" w:hAnsi="GHEA Grapalat" w:cs="Sylfaen"/>
          <w:b/>
          <w:lang w:val="hy-AM"/>
        </w:rPr>
        <w:t xml:space="preserve"> Նախագծի մշակման գործընթացում ներգրավված ինստիտուտները և անձինք.</w:t>
      </w:r>
    </w:p>
    <w:p w:rsidR="00DC4EE6" w:rsidRPr="00DC4EE6" w:rsidRDefault="002D6243" w:rsidP="00DC4EE6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Նախագիծ</w:t>
      </w:r>
      <w:r w:rsidR="00DC4EE6" w:rsidRPr="00DC4EE6">
        <w:rPr>
          <w:rFonts w:ascii="GHEA Grapalat" w:hAnsi="GHEA Grapalat" w:cs="Sylfaen"/>
          <w:lang w:val="hy-AM"/>
        </w:rPr>
        <w:t xml:space="preserve">ը մշակվել </w:t>
      </w:r>
      <w:r>
        <w:rPr>
          <w:rFonts w:ascii="GHEA Grapalat" w:hAnsi="GHEA Grapalat" w:cs="Sylfaen"/>
          <w:lang w:val="hy-AM"/>
        </w:rPr>
        <w:t>է</w:t>
      </w:r>
      <w:r w:rsidR="00DC4EE6" w:rsidRPr="00DC4EE6">
        <w:rPr>
          <w:rFonts w:ascii="GHEA Grapalat" w:hAnsi="GHEA Grapalat" w:cs="Sylfaen"/>
          <w:lang w:val="hy-AM"/>
        </w:rPr>
        <w:t xml:space="preserve"> ՀՀ ՊԵԿ իրավաբանական վարչության կողմից:</w:t>
      </w:r>
    </w:p>
    <w:p w:rsidR="000337C2" w:rsidRDefault="00DC4EE6" w:rsidP="000337C2">
      <w:pPr>
        <w:tabs>
          <w:tab w:val="left" w:pos="162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 w:rsidRPr="00DC4EE6">
        <w:rPr>
          <w:rFonts w:ascii="GHEA Grapalat" w:hAnsi="GHEA Grapalat"/>
          <w:b/>
          <w:bCs/>
          <w:lang w:val="hy-AM"/>
        </w:rPr>
        <w:t xml:space="preserve">          5. </w:t>
      </w:r>
      <w:r w:rsidRPr="00DC4EE6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DC4EE6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871737" w:rsidRDefault="000337C2" w:rsidP="00871737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836AF7" w:rsidRPr="00836AF7">
        <w:rPr>
          <w:rFonts w:ascii="GHEA Grapalat" w:hAnsi="GHEA Grapalat" w:cs="Sylfaen"/>
          <w:bCs/>
          <w:lang w:val="hy-AM"/>
        </w:rPr>
        <w:t xml:space="preserve">Նախագծի ընդունումը </w:t>
      </w:r>
      <w:r w:rsidR="00871737">
        <w:rPr>
          <w:rFonts w:ascii="GHEA Grapalat" w:hAnsi="GHEA Grapalat" w:cs="Sylfaen"/>
          <w:bCs/>
          <w:lang w:val="hy-AM"/>
        </w:rPr>
        <w:t xml:space="preserve">չի </w:t>
      </w:r>
      <w:r w:rsidR="00836AF7" w:rsidRPr="00836AF7">
        <w:rPr>
          <w:rFonts w:ascii="GHEA Grapalat" w:hAnsi="GHEA Grapalat" w:cs="Sylfaen"/>
          <w:bCs/>
          <w:lang w:val="hy-AM"/>
        </w:rPr>
        <w:t>բխու</w:t>
      </w:r>
      <w:r w:rsidR="00836AF7">
        <w:rPr>
          <w:rFonts w:ascii="GHEA Grapalat" w:hAnsi="GHEA Grapalat" w:cs="Sylfaen"/>
          <w:bCs/>
          <w:lang w:val="hy-AM"/>
        </w:rPr>
        <w:t xml:space="preserve">մ </w:t>
      </w:r>
      <w:r w:rsidR="00871737" w:rsidRPr="00871737">
        <w:rPr>
          <w:rFonts w:ascii="GHEA Grapalat" w:hAnsi="GHEA Grapalat" w:cs="Sylfaen"/>
          <w:bCs/>
          <w:lang w:val="hy-AM"/>
        </w:rPr>
        <w:t xml:space="preserve">Հայաստանի վերափոխման ռազմավարություն 2050, Կառավարության 2021-2026թթ. ծրագրից, ոլորտային և/կամ այլ </w:t>
      </w:r>
      <w:proofErr w:type="spellStart"/>
      <w:r w:rsidR="00871737" w:rsidRPr="00871737">
        <w:rPr>
          <w:rFonts w:ascii="GHEA Grapalat" w:hAnsi="GHEA Grapalat" w:cs="Sylfaen"/>
          <w:bCs/>
          <w:lang w:val="hy-AM"/>
        </w:rPr>
        <w:t>ռազմավարություններից</w:t>
      </w:r>
      <w:proofErr w:type="spellEnd"/>
      <w:r w:rsidR="00871737" w:rsidRPr="00871737">
        <w:rPr>
          <w:rFonts w:ascii="GHEA Grapalat" w:hAnsi="GHEA Grapalat" w:cs="Sylfaen"/>
          <w:bCs/>
          <w:lang w:val="hy-AM"/>
        </w:rPr>
        <w:t xml:space="preserve">: </w:t>
      </w:r>
      <w:r>
        <w:rPr>
          <w:rFonts w:ascii="GHEA Grapalat" w:hAnsi="GHEA Grapalat" w:cs="Sylfaen"/>
          <w:b/>
          <w:lang w:val="hy-AM"/>
        </w:rPr>
        <w:t xml:space="preserve"> </w:t>
      </w:r>
    </w:p>
    <w:p w:rsidR="00DC4EE6" w:rsidRPr="00DC4EE6" w:rsidRDefault="000337C2" w:rsidP="00871737">
      <w:pPr>
        <w:tabs>
          <w:tab w:val="left" w:pos="1620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</w:t>
      </w:r>
      <w:r w:rsidR="00DC4EE6" w:rsidRPr="00DC4EE6">
        <w:rPr>
          <w:rFonts w:ascii="GHEA Grapalat" w:hAnsi="GHEA Grapalat" w:cs="Sylfaen"/>
          <w:b/>
          <w:lang w:val="hy-AM"/>
        </w:rPr>
        <w:t>6</w:t>
      </w:r>
      <w:r w:rsidR="00DC4EE6" w:rsidRPr="00DC4EE6">
        <w:rPr>
          <w:rFonts w:ascii="Cambria Math" w:hAnsi="Cambria Math" w:cs="Cambria Math"/>
          <w:b/>
          <w:lang w:val="hy-AM"/>
        </w:rPr>
        <w:t>․</w:t>
      </w:r>
      <w:r w:rsidR="00DC4EE6" w:rsidRPr="00DC4EE6">
        <w:rPr>
          <w:rFonts w:ascii="GHEA Grapalat" w:hAnsi="GHEA Grapalat" w:cs="Sylfaen"/>
          <w:b/>
          <w:lang w:val="hy-AM"/>
        </w:rPr>
        <w:t xml:space="preserve"> Նպատակը և ակնկալվող արդյունքը.</w:t>
      </w:r>
    </w:p>
    <w:p w:rsidR="00646C68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C4EE6">
        <w:rPr>
          <w:rFonts w:ascii="GHEA Grapalat" w:hAnsi="GHEA Grapalat" w:cs="Sylfaen"/>
          <w:lang w:val="hy-AM"/>
        </w:rPr>
        <w:t>Ն</w:t>
      </w:r>
      <w:r w:rsidR="00646C68">
        <w:rPr>
          <w:rFonts w:ascii="GHEA Grapalat" w:hAnsi="GHEA Grapalat" w:cs="Sylfaen"/>
          <w:lang w:val="hy-AM"/>
        </w:rPr>
        <w:t>ախագծ</w:t>
      </w:r>
      <w:r w:rsidRPr="00DC4EE6">
        <w:rPr>
          <w:rFonts w:ascii="GHEA Grapalat" w:hAnsi="GHEA Grapalat" w:cs="Sylfaen"/>
          <w:lang w:val="hy-AM"/>
        </w:rPr>
        <w:t xml:space="preserve">ի </w:t>
      </w:r>
      <w:proofErr w:type="spellStart"/>
      <w:r w:rsidRPr="00DC4EE6">
        <w:rPr>
          <w:rFonts w:ascii="GHEA Grapalat" w:hAnsi="GHEA Grapalat" w:cs="Sylfaen"/>
          <w:lang w:val="hy-AM"/>
        </w:rPr>
        <w:t>ընդունմամբ</w:t>
      </w:r>
      <w:proofErr w:type="spellEnd"/>
      <w:r w:rsidRPr="00DC4EE6">
        <w:rPr>
          <w:rFonts w:ascii="GHEA Grapalat" w:hAnsi="GHEA Grapalat" w:cs="Sylfaen"/>
          <w:lang w:val="hy-AM"/>
        </w:rPr>
        <w:t xml:space="preserve"> </w:t>
      </w:r>
      <w:r w:rsidR="009164FD">
        <w:rPr>
          <w:rFonts w:ascii="GHEA Grapalat" w:hAnsi="GHEA Grapalat" w:cs="Sylfaen"/>
          <w:lang w:val="hy-AM"/>
        </w:rPr>
        <w:t>կնախատեսվե</w:t>
      </w:r>
      <w:r w:rsidR="009164FD" w:rsidRPr="009164FD">
        <w:rPr>
          <w:rFonts w:ascii="GHEA Grapalat" w:hAnsi="GHEA Grapalat" w:cs="Sylfaen"/>
          <w:lang w:val="hy-AM"/>
        </w:rPr>
        <w:t xml:space="preserve">ն հարկային հսկողության շրջանակներում արձանագրված խախտման փաստը հաստատող հանգամանքները հիմնավորելու նպատակով հարկային հսկողություն իրականացնող պաշտոնատար անձանց </w:t>
      </w:r>
      <w:proofErr w:type="spellStart"/>
      <w:r w:rsidR="009164FD" w:rsidRPr="009164FD">
        <w:rPr>
          <w:rFonts w:ascii="GHEA Grapalat" w:hAnsi="GHEA Grapalat" w:cs="Sylfaen"/>
          <w:lang w:val="hy-AM"/>
        </w:rPr>
        <w:t>տեսանկարահանող</w:t>
      </w:r>
      <w:proofErr w:type="spellEnd"/>
      <w:r w:rsidR="009164FD" w:rsidRPr="009164FD">
        <w:rPr>
          <w:rFonts w:ascii="GHEA Grapalat" w:hAnsi="GHEA Grapalat" w:cs="Sylfaen"/>
          <w:lang w:val="hy-AM"/>
        </w:rPr>
        <w:t xml:space="preserve"> տեխնիկական միջոցներ կիրառելու իրավասություն վերապահող </w:t>
      </w:r>
      <w:proofErr w:type="spellStart"/>
      <w:r w:rsidR="009164FD" w:rsidRPr="009164FD">
        <w:rPr>
          <w:rFonts w:ascii="GHEA Grapalat" w:hAnsi="GHEA Grapalat" w:cs="Sylfaen"/>
          <w:lang w:val="hy-AM"/>
        </w:rPr>
        <w:t>կանոնակարգումներ</w:t>
      </w:r>
      <w:proofErr w:type="spellEnd"/>
      <w:r w:rsidR="009164FD">
        <w:rPr>
          <w:rFonts w:ascii="GHEA Grapalat" w:hAnsi="GHEA Grapalat" w:cs="Sylfaen"/>
          <w:lang w:val="hy-AM"/>
        </w:rPr>
        <w:t xml:space="preserve">, </w:t>
      </w:r>
      <w:r w:rsidR="003309D7">
        <w:rPr>
          <w:rFonts w:ascii="GHEA Grapalat" w:hAnsi="GHEA Grapalat" w:cs="Sylfaen"/>
          <w:lang w:val="hy-AM"/>
        </w:rPr>
        <w:t xml:space="preserve">կբարձրանա </w:t>
      </w:r>
      <w:r w:rsidR="003309D7" w:rsidRPr="003309D7">
        <w:rPr>
          <w:rFonts w:ascii="GHEA Grapalat" w:hAnsi="GHEA Grapalat" w:cs="Sylfaen"/>
          <w:lang w:val="hy-AM"/>
        </w:rPr>
        <w:t xml:space="preserve">հարկային մարմնի կողմից իրականացվող հսկողական աշխատանքների արդյունավետությունը, ինչպես նաև հնարավորինս </w:t>
      </w:r>
      <w:proofErr w:type="spellStart"/>
      <w:r w:rsidR="003309D7">
        <w:rPr>
          <w:rFonts w:ascii="GHEA Grapalat" w:hAnsi="GHEA Grapalat" w:cs="Sylfaen"/>
          <w:lang w:val="hy-AM"/>
        </w:rPr>
        <w:t>կ</w:t>
      </w:r>
      <w:r w:rsidR="003309D7" w:rsidRPr="003309D7">
        <w:rPr>
          <w:rFonts w:ascii="GHEA Grapalat" w:hAnsi="GHEA Grapalat" w:cs="Sylfaen"/>
          <w:lang w:val="hy-AM"/>
        </w:rPr>
        <w:t>բացառ</w:t>
      </w:r>
      <w:r w:rsidR="003309D7">
        <w:rPr>
          <w:rFonts w:ascii="GHEA Grapalat" w:hAnsi="GHEA Grapalat" w:cs="Sylfaen"/>
          <w:lang w:val="hy-AM"/>
        </w:rPr>
        <w:t>վեն</w:t>
      </w:r>
      <w:proofErr w:type="spellEnd"/>
      <w:r w:rsidR="003309D7">
        <w:rPr>
          <w:rFonts w:ascii="GHEA Grapalat" w:hAnsi="GHEA Grapalat" w:cs="Sylfaen"/>
          <w:lang w:val="hy-AM"/>
        </w:rPr>
        <w:t xml:space="preserve"> </w:t>
      </w:r>
      <w:r w:rsidR="003309D7" w:rsidRPr="003309D7">
        <w:rPr>
          <w:rFonts w:ascii="GHEA Grapalat" w:hAnsi="GHEA Grapalat" w:cs="Sylfaen"/>
          <w:lang w:val="hy-AM"/>
        </w:rPr>
        <w:t xml:space="preserve"> ՀՀ ՊԵԿ կողմից իրականացված </w:t>
      </w:r>
      <w:proofErr w:type="spellStart"/>
      <w:r w:rsidR="003309D7" w:rsidRPr="003309D7">
        <w:rPr>
          <w:rFonts w:ascii="GHEA Grapalat" w:hAnsi="GHEA Grapalat" w:cs="Sylfaen"/>
          <w:lang w:val="hy-AM"/>
        </w:rPr>
        <w:t>վարչարարության</w:t>
      </w:r>
      <w:proofErr w:type="spellEnd"/>
      <w:r w:rsidR="003309D7" w:rsidRPr="003309D7">
        <w:rPr>
          <w:rFonts w:ascii="GHEA Grapalat" w:hAnsi="GHEA Grapalat" w:cs="Sylfaen"/>
          <w:lang w:val="hy-AM"/>
        </w:rPr>
        <w:t xml:space="preserve"> արդյունքում կայացվ</w:t>
      </w:r>
      <w:r w:rsidR="003309D7">
        <w:rPr>
          <w:rFonts w:ascii="GHEA Grapalat" w:hAnsi="GHEA Grapalat" w:cs="Sylfaen"/>
          <w:lang w:val="hy-AM"/>
        </w:rPr>
        <w:t xml:space="preserve">ած վարչական ակտերի </w:t>
      </w:r>
      <w:r w:rsidR="003309D7" w:rsidRPr="003309D7">
        <w:rPr>
          <w:rFonts w:ascii="GHEA Grapalat" w:hAnsi="GHEA Grapalat" w:cs="Sylfaen"/>
          <w:lang w:val="hy-AM"/>
        </w:rPr>
        <w:t>վիճարկ</w:t>
      </w:r>
      <w:r w:rsidR="003309D7">
        <w:rPr>
          <w:rFonts w:ascii="GHEA Grapalat" w:hAnsi="GHEA Grapalat" w:cs="Sylfaen"/>
          <w:lang w:val="hy-AM"/>
        </w:rPr>
        <w:t xml:space="preserve">ման </w:t>
      </w:r>
      <w:r w:rsidR="003B68FC">
        <w:rPr>
          <w:rFonts w:ascii="GHEA Grapalat" w:hAnsi="GHEA Grapalat" w:cs="Sylfaen"/>
          <w:lang w:val="hy-AM"/>
        </w:rPr>
        <w:t xml:space="preserve">և անվավեր ճանաչման </w:t>
      </w:r>
      <w:r w:rsidR="003309D7">
        <w:rPr>
          <w:rFonts w:ascii="GHEA Grapalat" w:hAnsi="GHEA Grapalat" w:cs="Sylfaen"/>
          <w:lang w:val="hy-AM"/>
        </w:rPr>
        <w:t>դեպքերը</w:t>
      </w:r>
      <w:r w:rsidR="003B68FC">
        <w:rPr>
          <w:rFonts w:ascii="GHEA Grapalat" w:hAnsi="GHEA Grapalat" w:cs="Sylfaen"/>
          <w:lang w:val="hy-AM"/>
        </w:rPr>
        <w:t>:</w:t>
      </w:r>
      <w:r w:rsidR="00171018">
        <w:rPr>
          <w:rFonts w:ascii="GHEA Grapalat" w:hAnsi="GHEA Grapalat" w:cs="Sylfaen"/>
          <w:lang w:val="hy-AM"/>
        </w:rPr>
        <w:t xml:space="preserve"> </w:t>
      </w:r>
    </w:p>
    <w:p w:rsidR="00DC4EE6" w:rsidRPr="00DC4EE6" w:rsidRDefault="00DC4EE6" w:rsidP="00DC4EE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DC4EE6">
        <w:rPr>
          <w:rFonts w:ascii="GHEA Grapalat" w:hAnsi="GHEA Grapalat" w:cs="Sylfaen"/>
          <w:b/>
          <w:lang w:val="hy-AM"/>
        </w:rPr>
        <w:lastRenderedPageBreak/>
        <w:tab/>
        <w:t xml:space="preserve">7. </w:t>
      </w:r>
      <w:r w:rsidR="002F0056">
        <w:rPr>
          <w:rFonts w:ascii="GHEA Grapalat" w:hAnsi="GHEA Grapalat" w:cs="Sylfaen"/>
          <w:b/>
          <w:lang w:val="hy-AM"/>
        </w:rPr>
        <w:t>Պ</w:t>
      </w:r>
      <w:r w:rsidR="002F0056" w:rsidRPr="002F0056">
        <w:rPr>
          <w:rFonts w:ascii="GHEA Grapalat" w:hAnsi="GHEA Grapalat" w:cs="Sylfaen"/>
          <w:b/>
          <w:lang w:val="hy-AM"/>
        </w:rPr>
        <w:t xml:space="preserve">ետական բյուջեի </w:t>
      </w:r>
      <w:proofErr w:type="spellStart"/>
      <w:r w:rsidR="002F0056" w:rsidRPr="002F0056">
        <w:rPr>
          <w:rFonts w:ascii="GHEA Grapalat" w:hAnsi="GHEA Grapalat" w:cs="Sylfaen"/>
          <w:b/>
          <w:lang w:val="hy-AM"/>
        </w:rPr>
        <w:t>եկամուտներում</w:t>
      </w:r>
      <w:proofErr w:type="spellEnd"/>
      <w:r w:rsidR="002F0056" w:rsidRPr="002F0056">
        <w:rPr>
          <w:rFonts w:ascii="GHEA Grapalat" w:hAnsi="GHEA Grapalat" w:cs="Sylfaen"/>
          <w:b/>
          <w:lang w:val="hy-AM"/>
        </w:rPr>
        <w:t xml:space="preserve"> և ծախսերում սպասվելիք փոփոխությունների </w:t>
      </w:r>
      <w:r w:rsidR="002F0056">
        <w:rPr>
          <w:rFonts w:ascii="GHEA Grapalat" w:hAnsi="GHEA Grapalat" w:cs="Sylfaen"/>
          <w:b/>
          <w:lang w:val="hy-AM"/>
        </w:rPr>
        <w:t>վերաբերյալ</w:t>
      </w:r>
      <w:r w:rsidRPr="00DC4EE6">
        <w:rPr>
          <w:rFonts w:ascii="GHEA Grapalat" w:hAnsi="GHEA Grapalat" w:cs="Sylfaen"/>
          <w:b/>
          <w:lang w:val="hy-AM"/>
        </w:rPr>
        <w:t>.</w:t>
      </w:r>
    </w:p>
    <w:p w:rsidR="00970CDB" w:rsidRPr="00F02703" w:rsidRDefault="00646C68" w:rsidP="00DB602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="00522AF6">
        <w:rPr>
          <w:rFonts w:ascii="GHEA Grapalat" w:hAnsi="GHEA Grapalat" w:cs="Sylfaen"/>
          <w:lang w:val="hy-AM"/>
        </w:rPr>
        <w:t xml:space="preserve">ախագծի </w:t>
      </w:r>
      <w:r w:rsidR="00DC4EE6" w:rsidRPr="00DC4EE6">
        <w:rPr>
          <w:rFonts w:ascii="GHEA Grapalat" w:hAnsi="GHEA Grapalat" w:cs="Sylfaen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50" w:rsidRDefault="00725350" w:rsidP="00D3705A">
      <w:r>
        <w:separator/>
      </w:r>
    </w:p>
  </w:endnote>
  <w:endnote w:type="continuationSeparator" w:id="0">
    <w:p w:rsidR="00725350" w:rsidRDefault="00725350" w:rsidP="00D3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50" w:rsidRDefault="00725350" w:rsidP="00D3705A">
      <w:r>
        <w:separator/>
      </w:r>
    </w:p>
  </w:footnote>
  <w:footnote w:type="continuationSeparator" w:id="0">
    <w:p w:rsidR="00725350" w:rsidRDefault="00725350" w:rsidP="00D3705A">
      <w:r>
        <w:continuationSeparator/>
      </w:r>
    </w:p>
  </w:footnote>
  <w:footnote w:id="1">
    <w:p w:rsidR="00D3705A" w:rsidRPr="00D3705A" w:rsidRDefault="00D3705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1" w:anchor="{%22itemid%22:[%22001-175121%22]}" w:history="1">
        <w:r>
          <w:rPr>
            <w:rStyle w:val="Hyperlink"/>
          </w:rPr>
          <w:t>https://hudoc.echr.coe.int/eng#{%22itemid%22:[%22001-175121%22]}</w:t>
        </w:r>
      </w:hyperlink>
      <w:r>
        <w:rPr>
          <w:rFonts w:ascii="Sylfaen" w:hAnsi="Sylfaen"/>
          <w:lang w:val="hy-AM"/>
        </w:rPr>
        <w:t xml:space="preserve"> , պարբերություն 130:</w:t>
      </w:r>
    </w:p>
  </w:footnote>
  <w:footnote w:id="2">
    <w:p w:rsidR="00D3705A" w:rsidRPr="00D3705A" w:rsidRDefault="00D3705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D3705A">
        <w:rPr>
          <w:lang w:val="hy-AM"/>
        </w:rPr>
        <w:t xml:space="preserve"> 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"{%22itemid%22:[%22001-59665%22]}" </w:instrText>
      </w:r>
      <w:r w:rsidR="00725350">
        <w:fldChar w:fldCharType="separate"/>
      </w:r>
      <w:r w:rsidRPr="00D3705A">
        <w:rPr>
          <w:rStyle w:val="Hyperlink"/>
          <w:lang w:val="hy-AM"/>
        </w:rPr>
        <w:t>https://hudoc.echr.coe.int/eng#{%22itemid%22:[%22001-59665%22]}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57:</w:t>
      </w:r>
    </w:p>
  </w:footnote>
  <w:footnote w:id="3">
    <w:p w:rsidR="00B34395" w:rsidRPr="00B34395" w:rsidRDefault="00B3439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34395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"{%22itemid%22:[%22001-59665%22]}"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https://hudoc.echr.coe.int/eng#{%22itemid%22:[%22001-59665%22]}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61:</w:t>
      </w:r>
    </w:p>
  </w:footnote>
  <w:footnote w:id="4">
    <w:p w:rsidR="004935AE" w:rsidRPr="004935AE" w:rsidRDefault="004935A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935AE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"{%22itemid%22:[%22001-155353%22]}"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https://hudoc.echr.coe.int/eng#{%22itemid%22:[%22001-155353%22]}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206:</w:t>
      </w:r>
    </w:p>
  </w:footnote>
  <w:footnote w:id="5">
    <w:p w:rsidR="004935AE" w:rsidRPr="004935AE" w:rsidRDefault="004935A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935AE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"{%22itemid%22:[%22001-57887%22]}"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https://hudoc.echr.coe.int/eng#{%22itemid%22:[%22001-57887%22]}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309:</w:t>
      </w:r>
    </w:p>
  </w:footnote>
  <w:footnote w:id="6">
    <w:p w:rsidR="0011670B" w:rsidRPr="0011670B" w:rsidRDefault="0011670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1670B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"{%22itemid%22:[%22001-83273%22</w:instrText>
      </w:r>
      <w:r w:rsidR="00725350" w:rsidRPr="00DE546D">
        <w:rPr>
          <w:lang w:val="hy-AM"/>
        </w:rPr>
        <w:instrText xml:space="preserve">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https://hudoc.echr.coe.int/eng#{%22itemid%22:[%22001-83273%22]}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:</w:t>
      </w:r>
    </w:p>
  </w:footnote>
  <w:footnote w:id="7">
    <w:p w:rsidR="00064EC1" w:rsidRPr="00064EC1" w:rsidRDefault="00064EC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64EC1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"{%22itemid%22:[%22001-68191%22]}" </w:instrText>
      </w:r>
      <w:r w:rsidR="00725350">
        <w:fldChar w:fldCharType="separate"/>
      </w:r>
      <w:r>
        <w:rPr>
          <w:rStyle w:val="Hyperlink"/>
          <w:rFonts w:ascii="Sylfaen" w:hAnsi="Sylfaen"/>
          <w:lang w:val="hy-AM"/>
        </w:rPr>
        <w:t>https://hudoc.echr.coe.int/eng#{%22itemid%22:[%22001-68191%22]}</w:t>
      </w:r>
      <w:r w:rsidR="00725350">
        <w:rPr>
          <w:rStyle w:val="Hyperlink"/>
          <w:rFonts w:ascii="Sylfaen" w:hAnsi="Sylfaen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29 և 31:</w:t>
      </w:r>
    </w:p>
  </w:footnote>
  <w:footnote w:id="8">
    <w:p w:rsidR="00064EC1" w:rsidRPr="00064EC1" w:rsidRDefault="00064EC1" w:rsidP="00064EC1">
      <w:pPr>
        <w:pStyle w:val="NormalWeb"/>
        <w:ind w:left="0"/>
        <w:rPr>
          <w:lang w:val="hy-AM"/>
        </w:rPr>
      </w:pPr>
      <w:r>
        <w:rPr>
          <w:rStyle w:val="FootnoteReference"/>
        </w:rPr>
        <w:footnoteRef/>
      </w:r>
      <w:r w:rsidRPr="00064EC1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"{%22itemid%22:[%22001-80953%22]}" </w:instrText>
      </w:r>
      <w:r w:rsidR="00725350">
        <w:fldChar w:fldCharType="separate"/>
      </w:r>
      <w:r w:rsidRPr="00064EC1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hy-AM"/>
        </w:rPr>
        <w:t>https://hudoc.echr.coe.int/eng#{%22itemid%22:[%22001-80953%22]}</w:t>
      </w:r>
      <w:r w:rsidR="0072535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hy-AM"/>
        </w:rPr>
        <w:fldChar w:fldCharType="end"/>
      </w:r>
      <w:r w:rsidRPr="00064EC1">
        <w:rPr>
          <w:rFonts w:ascii="Sylfaen" w:eastAsia="Times New Roman" w:hAnsi="Sylfaen" w:cs="Times New Roman"/>
          <w:sz w:val="20"/>
          <w:szCs w:val="20"/>
          <w:lang w:val="hy-AM"/>
        </w:rPr>
        <w:t xml:space="preserve"> , պարբերություն 40:</w:t>
      </w:r>
    </w:p>
  </w:footnote>
  <w:footnote w:id="9">
    <w:p w:rsidR="00064EC1" w:rsidRPr="00064EC1" w:rsidRDefault="00064EC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64EC1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"{%22itemid%22:[%22001-58125%22]}"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https://hudoc.echr.coe.int/eng#{%22itemid%22:[%22001-58125%22]}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պարբերություն 47:</w:t>
      </w:r>
    </w:p>
  </w:footnote>
  <w:footnote w:id="10">
    <w:p w:rsidR="00064EC1" w:rsidRPr="00064EC1" w:rsidRDefault="00064EC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64EC1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"{%22itemid%22:[%22001-167573%22]}"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https://hudoc.echr.coe.int/eng#{%22itemid%22:[%22001-167573%22]}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պարբերություն 48:</w:t>
      </w:r>
    </w:p>
  </w:footnote>
  <w:footnote w:id="11">
    <w:p w:rsidR="00064EC1" w:rsidRPr="00064EC1" w:rsidRDefault="00064EC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064EC1">
        <w:rPr>
          <w:lang w:val="hy-AM"/>
        </w:rPr>
        <w:t xml:space="preserve"> </w:t>
      </w:r>
      <w:r w:rsidR="00725350">
        <w:fldChar w:fldCharType="begin"/>
      </w:r>
      <w:r w:rsidR="00725350" w:rsidRPr="00DE546D">
        <w:rPr>
          <w:lang w:val="hy-AM"/>
        </w:rPr>
        <w:instrText xml:space="preserve"> </w:instrText>
      </w:r>
      <w:r w:rsidR="00725350" w:rsidRPr="00DE546D">
        <w:rPr>
          <w:lang w:val="hy-AM"/>
        </w:rPr>
        <w:instrText xml:space="preserve">HYPERLINK "https://hudoc.echr.coe.int/eng" \l "{%22itemid%22:[%22001-117133%22]}"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https://hudoc.echr.coe.int/eng#{%22itemid%22:[%22001-117133%22]}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>, պարբերություն 159:</w:t>
      </w:r>
    </w:p>
  </w:footnote>
  <w:footnote w:id="12">
    <w:p w:rsidR="004A4C83" w:rsidRPr="004A4C83" w:rsidRDefault="004A4C8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="00725350">
        <w:fldChar w:fldCharType="begin"/>
      </w:r>
      <w:r w:rsidR="00725350" w:rsidRPr="00DE546D">
        <w:rPr>
          <w:lang w:val="hy-AM"/>
        </w:rPr>
        <w:instrText xml:space="preserve"> HYPERLINK "https://hudoc.echr.coe.int/eng" \l "{%22itemid%22:[%22001-117133%22]}" </w:instrText>
      </w:r>
      <w:r w:rsidR="00725350">
        <w:fldChar w:fldCharType="separate"/>
      </w:r>
      <w:r>
        <w:rPr>
          <w:rStyle w:val="Hyperlink"/>
          <w:lang w:val="hy-AM"/>
        </w:rPr>
        <w:t>https://hudoc.echr.coe.int/eng#{%22itemid%22:[%22001-117133%22]}</w:t>
      </w:r>
      <w:r w:rsidR="00725350">
        <w:rPr>
          <w:rStyle w:val="Hyperlink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, պարբերություն 172-175:</w:t>
      </w:r>
      <w:r w:rsidRPr="004A4C83">
        <w:rPr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64EC1"/>
    <w:rsid w:val="00083369"/>
    <w:rsid w:val="000A0CD4"/>
    <w:rsid w:val="000A59A2"/>
    <w:rsid w:val="00100593"/>
    <w:rsid w:val="0011670B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B64FF"/>
    <w:rsid w:val="001C089D"/>
    <w:rsid w:val="001C0A18"/>
    <w:rsid w:val="001D1504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40394"/>
    <w:rsid w:val="0026216F"/>
    <w:rsid w:val="0027294C"/>
    <w:rsid w:val="002B1B7F"/>
    <w:rsid w:val="002C3D5A"/>
    <w:rsid w:val="002D33A4"/>
    <w:rsid w:val="002D6243"/>
    <w:rsid w:val="002F0056"/>
    <w:rsid w:val="002F6426"/>
    <w:rsid w:val="00301177"/>
    <w:rsid w:val="00305502"/>
    <w:rsid w:val="00307E21"/>
    <w:rsid w:val="003101CB"/>
    <w:rsid w:val="0031272F"/>
    <w:rsid w:val="003243B8"/>
    <w:rsid w:val="003247A1"/>
    <w:rsid w:val="003309D7"/>
    <w:rsid w:val="00332C46"/>
    <w:rsid w:val="00333898"/>
    <w:rsid w:val="00364C66"/>
    <w:rsid w:val="003650DD"/>
    <w:rsid w:val="003731E8"/>
    <w:rsid w:val="00373D59"/>
    <w:rsid w:val="00393558"/>
    <w:rsid w:val="003A504D"/>
    <w:rsid w:val="003A71FD"/>
    <w:rsid w:val="003B09F8"/>
    <w:rsid w:val="003B0CB9"/>
    <w:rsid w:val="003B68FC"/>
    <w:rsid w:val="003B7226"/>
    <w:rsid w:val="003C5C80"/>
    <w:rsid w:val="003D3F67"/>
    <w:rsid w:val="003D50E3"/>
    <w:rsid w:val="00402756"/>
    <w:rsid w:val="00403A4D"/>
    <w:rsid w:val="004129D3"/>
    <w:rsid w:val="004175CB"/>
    <w:rsid w:val="0042207C"/>
    <w:rsid w:val="00423FC4"/>
    <w:rsid w:val="00431E77"/>
    <w:rsid w:val="00434BBE"/>
    <w:rsid w:val="004739F7"/>
    <w:rsid w:val="00487E6B"/>
    <w:rsid w:val="004935AE"/>
    <w:rsid w:val="004A0E88"/>
    <w:rsid w:val="004A4C83"/>
    <w:rsid w:val="004B5F37"/>
    <w:rsid w:val="004C0034"/>
    <w:rsid w:val="004C7550"/>
    <w:rsid w:val="004E2041"/>
    <w:rsid w:val="004E4415"/>
    <w:rsid w:val="00522AF6"/>
    <w:rsid w:val="00524286"/>
    <w:rsid w:val="00552DA1"/>
    <w:rsid w:val="00553861"/>
    <w:rsid w:val="00575E1B"/>
    <w:rsid w:val="0058428A"/>
    <w:rsid w:val="005908B8"/>
    <w:rsid w:val="005B1154"/>
    <w:rsid w:val="005C49DA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305DD"/>
    <w:rsid w:val="00645301"/>
    <w:rsid w:val="006464A3"/>
    <w:rsid w:val="00646C68"/>
    <w:rsid w:val="00647EA0"/>
    <w:rsid w:val="00650604"/>
    <w:rsid w:val="00661C1A"/>
    <w:rsid w:val="00664336"/>
    <w:rsid w:val="006773B4"/>
    <w:rsid w:val="00692D70"/>
    <w:rsid w:val="006A22C3"/>
    <w:rsid w:val="006A438C"/>
    <w:rsid w:val="006A573F"/>
    <w:rsid w:val="006B7D65"/>
    <w:rsid w:val="006C0B2E"/>
    <w:rsid w:val="006D1F0B"/>
    <w:rsid w:val="006D3D8B"/>
    <w:rsid w:val="007127D8"/>
    <w:rsid w:val="00725350"/>
    <w:rsid w:val="0073037D"/>
    <w:rsid w:val="00734012"/>
    <w:rsid w:val="007432D4"/>
    <w:rsid w:val="007445F1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E6090"/>
    <w:rsid w:val="007F17AB"/>
    <w:rsid w:val="008032B9"/>
    <w:rsid w:val="008143D1"/>
    <w:rsid w:val="00836AF7"/>
    <w:rsid w:val="00871737"/>
    <w:rsid w:val="00872817"/>
    <w:rsid w:val="00872A05"/>
    <w:rsid w:val="00875DE4"/>
    <w:rsid w:val="00887E00"/>
    <w:rsid w:val="008A0D72"/>
    <w:rsid w:val="008A3C5D"/>
    <w:rsid w:val="008A525B"/>
    <w:rsid w:val="008B2F3C"/>
    <w:rsid w:val="008C2387"/>
    <w:rsid w:val="008E40A3"/>
    <w:rsid w:val="008F3E4D"/>
    <w:rsid w:val="009160BA"/>
    <w:rsid w:val="009164FD"/>
    <w:rsid w:val="009169B0"/>
    <w:rsid w:val="009202D1"/>
    <w:rsid w:val="00932EFE"/>
    <w:rsid w:val="00937C81"/>
    <w:rsid w:val="00952433"/>
    <w:rsid w:val="009533A5"/>
    <w:rsid w:val="00963277"/>
    <w:rsid w:val="00970CDB"/>
    <w:rsid w:val="00983E36"/>
    <w:rsid w:val="009849B9"/>
    <w:rsid w:val="0098567A"/>
    <w:rsid w:val="009907E8"/>
    <w:rsid w:val="009A7DDD"/>
    <w:rsid w:val="009B160C"/>
    <w:rsid w:val="009C66D6"/>
    <w:rsid w:val="009D4FEB"/>
    <w:rsid w:val="009E68B5"/>
    <w:rsid w:val="00A031F3"/>
    <w:rsid w:val="00A133A6"/>
    <w:rsid w:val="00A274DD"/>
    <w:rsid w:val="00A35499"/>
    <w:rsid w:val="00A74DE8"/>
    <w:rsid w:val="00A80B33"/>
    <w:rsid w:val="00A972CB"/>
    <w:rsid w:val="00AA4F70"/>
    <w:rsid w:val="00AB2156"/>
    <w:rsid w:val="00AC5DF8"/>
    <w:rsid w:val="00AD3080"/>
    <w:rsid w:val="00AF521F"/>
    <w:rsid w:val="00AF614C"/>
    <w:rsid w:val="00B01644"/>
    <w:rsid w:val="00B34395"/>
    <w:rsid w:val="00B438B3"/>
    <w:rsid w:val="00B57242"/>
    <w:rsid w:val="00B63A2F"/>
    <w:rsid w:val="00B65126"/>
    <w:rsid w:val="00B673FA"/>
    <w:rsid w:val="00B678F6"/>
    <w:rsid w:val="00B70039"/>
    <w:rsid w:val="00B70340"/>
    <w:rsid w:val="00B73781"/>
    <w:rsid w:val="00B81260"/>
    <w:rsid w:val="00B81DE6"/>
    <w:rsid w:val="00B85554"/>
    <w:rsid w:val="00B936ED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17580"/>
    <w:rsid w:val="00C32FE4"/>
    <w:rsid w:val="00C65A4B"/>
    <w:rsid w:val="00C800A0"/>
    <w:rsid w:val="00C802FB"/>
    <w:rsid w:val="00CD681C"/>
    <w:rsid w:val="00CE1B1E"/>
    <w:rsid w:val="00CE2FD0"/>
    <w:rsid w:val="00CE6BCB"/>
    <w:rsid w:val="00CF3499"/>
    <w:rsid w:val="00D11073"/>
    <w:rsid w:val="00D12A28"/>
    <w:rsid w:val="00D16899"/>
    <w:rsid w:val="00D218FF"/>
    <w:rsid w:val="00D229F0"/>
    <w:rsid w:val="00D3705A"/>
    <w:rsid w:val="00D40130"/>
    <w:rsid w:val="00D42DB3"/>
    <w:rsid w:val="00D802D3"/>
    <w:rsid w:val="00D85F9E"/>
    <w:rsid w:val="00DA0AF5"/>
    <w:rsid w:val="00DA48C2"/>
    <w:rsid w:val="00DB0B89"/>
    <w:rsid w:val="00DB31DC"/>
    <w:rsid w:val="00DB54D2"/>
    <w:rsid w:val="00DB6022"/>
    <w:rsid w:val="00DC4EE6"/>
    <w:rsid w:val="00DC70E9"/>
    <w:rsid w:val="00DD3FA6"/>
    <w:rsid w:val="00DE42E2"/>
    <w:rsid w:val="00DE546D"/>
    <w:rsid w:val="00E03B2F"/>
    <w:rsid w:val="00E04371"/>
    <w:rsid w:val="00E063E6"/>
    <w:rsid w:val="00E21068"/>
    <w:rsid w:val="00E226CF"/>
    <w:rsid w:val="00E334CD"/>
    <w:rsid w:val="00E36DF3"/>
    <w:rsid w:val="00E45796"/>
    <w:rsid w:val="00E61232"/>
    <w:rsid w:val="00E62CF8"/>
    <w:rsid w:val="00E863DD"/>
    <w:rsid w:val="00E94F79"/>
    <w:rsid w:val="00EB59B6"/>
    <w:rsid w:val="00EE0254"/>
    <w:rsid w:val="00EE6291"/>
    <w:rsid w:val="00EF3C09"/>
    <w:rsid w:val="00F0141C"/>
    <w:rsid w:val="00F02703"/>
    <w:rsid w:val="00F04D15"/>
    <w:rsid w:val="00F20436"/>
    <w:rsid w:val="00F324E3"/>
    <w:rsid w:val="00F3549F"/>
    <w:rsid w:val="00F45956"/>
    <w:rsid w:val="00F54B7C"/>
    <w:rsid w:val="00F70442"/>
    <w:rsid w:val="00F71B68"/>
    <w:rsid w:val="00F87432"/>
    <w:rsid w:val="00F92989"/>
    <w:rsid w:val="00F94D8C"/>
    <w:rsid w:val="00F960B1"/>
    <w:rsid w:val="00FA00E0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B7F6C-13D0-41E4-9449-68B8B6B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5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7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udoc.echr.coe.int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D444-8DF5-4CAF-A048-59795E67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157</cp:revision>
  <cp:lastPrinted>2021-10-13T06:31:00Z</cp:lastPrinted>
  <dcterms:created xsi:type="dcterms:W3CDTF">2022-01-05T10:46:00Z</dcterms:created>
  <dcterms:modified xsi:type="dcterms:W3CDTF">2023-05-03T05:46:00Z</dcterms:modified>
</cp:coreProperties>
</file>