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B9BD" w14:textId="77777777" w:rsidR="0079653D" w:rsidRPr="00A16EBA" w:rsidRDefault="0079653D" w:rsidP="0079653D">
      <w:pPr>
        <w:spacing w:after="120"/>
        <w:jc w:val="center"/>
        <w:rPr>
          <w:rFonts w:ascii="GHEA Grapalat" w:hAnsi="GHEA Grapalat"/>
          <w:b/>
          <w:bCs/>
          <w:color w:val="000000"/>
        </w:rPr>
      </w:pPr>
      <w:r w:rsidRPr="00612F17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  <w:r>
        <w:rPr>
          <w:rFonts w:ascii="GHEA Grapalat" w:hAnsi="GHEA Grapalat"/>
          <w:b/>
          <w:bCs/>
          <w:color w:val="000000"/>
        </w:rPr>
        <w:t xml:space="preserve"> </w:t>
      </w:r>
    </w:p>
    <w:p w14:paraId="707C367D" w14:textId="77777777" w:rsidR="0079653D" w:rsidRPr="00A16EBA" w:rsidRDefault="0079653D" w:rsidP="0079653D">
      <w:pPr>
        <w:pStyle w:val="BodyText"/>
        <w:ind w:right="49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>
        <w:rPr>
          <w:rFonts w:ascii="GHEA Grapalat" w:eastAsia="Times New Roman" w:hAnsi="GHEA Grapalat" w:cs="Times New Roman"/>
          <w:b/>
          <w:bCs/>
          <w:color w:val="000000"/>
        </w:rPr>
        <w:t>«Փ</w:t>
      </w:r>
      <w:r w:rsidRPr="00B824D2">
        <w:rPr>
          <w:rFonts w:ascii="GHEA Grapalat" w:eastAsia="Times New Roman" w:hAnsi="GHEA Grapalat" w:cs="Times New Roman"/>
          <w:b/>
          <w:bCs/>
          <w:color w:val="000000"/>
        </w:rPr>
        <w:t xml:space="preserve">արիզյան համաձայնագրի ներքո </w:t>
      </w:r>
      <w:r>
        <w:rPr>
          <w:rFonts w:ascii="GHEA Grapalat" w:eastAsia="Times New Roman" w:hAnsi="GHEA Grapalat" w:cs="Times New Roman"/>
          <w:b/>
          <w:bCs/>
          <w:color w:val="000000"/>
        </w:rPr>
        <w:t>Հ</w:t>
      </w:r>
      <w:r w:rsidRPr="00B824D2">
        <w:rPr>
          <w:rFonts w:ascii="GHEA Grapalat" w:eastAsia="Times New Roman" w:hAnsi="GHEA Grapalat" w:cs="Times New Roman"/>
          <w:b/>
          <w:bCs/>
          <w:color w:val="000000"/>
        </w:rPr>
        <w:t xml:space="preserve">այաստանի </w:t>
      </w:r>
      <w:r>
        <w:rPr>
          <w:rFonts w:ascii="GHEA Grapalat" w:eastAsia="Times New Roman" w:hAnsi="GHEA Grapalat" w:cs="Times New Roman"/>
          <w:b/>
          <w:bCs/>
          <w:color w:val="000000"/>
        </w:rPr>
        <w:t>Հ</w:t>
      </w:r>
      <w:r w:rsidRPr="00B824D2">
        <w:rPr>
          <w:rFonts w:ascii="GHEA Grapalat" w:eastAsia="Times New Roman" w:hAnsi="GHEA Grapalat" w:cs="Times New Roman"/>
          <w:b/>
          <w:bCs/>
          <w:color w:val="000000"/>
        </w:rPr>
        <w:t>անրապետության 202</w:t>
      </w:r>
      <w:r>
        <w:rPr>
          <w:rFonts w:ascii="GHEA Grapalat" w:eastAsia="Times New Roman" w:hAnsi="GHEA Grapalat" w:cs="Times New Roman"/>
          <w:b/>
          <w:bCs/>
          <w:color w:val="000000"/>
        </w:rPr>
        <w:t>3</w:t>
      </w:r>
      <w:r w:rsidRPr="00B824D2">
        <w:rPr>
          <w:rFonts w:ascii="GHEA Grapalat" w:eastAsia="Times New Roman" w:hAnsi="GHEA Grapalat" w:cs="Times New Roman"/>
          <w:b/>
          <w:bCs/>
          <w:color w:val="000000"/>
        </w:rPr>
        <w:t xml:space="preserve">-2030 թվականների </w:t>
      </w:r>
      <w:r>
        <w:rPr>
          <w:rFonts w:ascii="GHEA Grapalat" w:eastAsia="Times New Roman" w:hAnsi="GHEA Grapalat" w:cs="Times New Roman"/>
          <w:b/>
          <w:bCs/>
          <w:color w:val="000000"/>
        </w:rPr>
        <w:t>Ա</w:t>
      </w:r>
      <w:r w:rsidRPr="00B824D2">
        <w:rPr>
          <w:rFonts w:ascii="GHEA Grapalat" w:eastAsia="Times New Roman" w:hAnsi="GHEA Grapalat" w:cs="Times New Roman"/>
          <w:b/>
          <w:bCs/>
          <w:color w:val="000000"/>
        </w:rPr>
        <w:t xml:space="preserve">զգային մակարդակով սահմանված գործողությունների իրականացման </w:t>
      </w:r>
      <w:r>
        <w:rPr>
          <w:rFonts w:ascii="GHEA Grapalat" w:eastAsia="Times New Roman" w:hAnsi="GHEA Grapalat" w:cs="Times New Roman"/>
          <w:b/>
          <w:bCs/>
          <w:color w:val="000000"/>
        </w:rPr>
        <w:t>ծրագիր</w:t>
      </w:r>
      <w:r w:rsidRPr="00B824D2">
        <w:rPr>
          <w:rFonts w:ascii="GHEA Grapalat" w:eastAsia="Times New Roman" w:hAnsi="GHEA Grapalat" w:cs="Times New Roman"/>
          <w:b/>
          <w:bCs/>
          <w:color w:val="000000"/>
        </w:rPr>
        <w:t xml:space="preserve">ը, ֆինանսավորման ռազմավարությունն ու ներդրումային պլանը </w:t>
      </w:r>
      <w:r w:rsidRPr="008F1CA9">
        <w:rPr>
          <w:rFonts w:ascii="GHEA Grapalat" w:eastAsia="Times New Roman" w:hAnsi="GHEA Grapalat" w:cs="Times New Roman"/>
          <w:b/>
          <w:bCs/>
          <w:color w:val="000000"/>
        </w:rPr>
        <w:t>հաստատելու</w:t>
      </w:r>
      <w:r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A16EBA">
        <w:rPr>
          <w:rFonts w:ascii="GHEA Grapalat" w:eastAsia="Times New Roman" w:hAnsi="GHEA Grapalat" w:cs="Times New Roman"/>
          <w:b/>
          <w:bCs/>
          <w:color w:val="000000"/>
        </w:rPr>
        <w:t>մասին</w:t>
      </w:r>
      <w:r>
        <w:rPr>
          <w:rFonts w:ascii="GHEA Grapalat" w:eastAsia="Times New Roman" w:hAnsi="GHEA Grapalat" w:cs="Times New Roman"/>
          <w:b/>
          <w:bCs/>
          <w:color w:val="000000"/>
        </w:rPr>
        <w:t xml:space="preserve">» Հայաստանի Հանրապետության կառավարության որոշման ընդունման </w:t>
      </w:r>
    </w:p>
    <w:p w14:paraId="68434767" w14:textId="77777777" w:rsidR="0079653D" w:rsidRPr="00A16EBA" w:rsidRDefault="0079653D" w:rsidP="0079653D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567" w:hanging="270"/>
        <w:jc w:val="both"/>
        <w:rPr>
          <w:rFonts w:ascii="GHEA Grapalat" w:hAnsi="GHEA Grapalat"/>
          <w:b/>
          <w:bCs/>
          <w:color w:val="000000"/>
          <w:sz w:val="22"/>
          <w:szCs w:val="22"/>
        </w:rPr>
      </w:pPr>
      <w:r w:rsidRPr="00A16EB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Անհրաժեշտությունը</w:t>
      </w:r>
    </w:p>
    <w:p w14:paraId="78172D21" w14:textId="77777777" w:rsidR="0079653D" w:rsidRPr="00B824D2" w:rsidRDefault="0079653D" w:rsidP="0079653D">
      <w:pPr>
        <w:pStyle w:val="dec-name"/>
        <w:shd w:val="clear" w:color="auto" w:fill="FFFFFF"/>
        <w:spacing w:before="120" w:beforeAutospacing="0" w:after="120" w:afterAutospacing="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t>2021 թվականի ապրիլի 22-ին Հայաստանի Հանրապետության կառավարությունը հաս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տա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տեց Փարիզյան համաձայնագրի ներքո Հայաստանի 202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3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t>-2030 թվականների վերա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նայված ազգային մակարդակով սահմանված գործողությունները (ԱՍԳ), որով սահմանվեց տնտեսության բոլոր ոլորտներում մինչև 2030 թվականը ՋԳ արտանե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տում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ների 40 տոկոս նվազեցման թիրախ` 1990 թվականի արտանետումների մակարդակի հետ համեմատ:</w:t>
      </w:r>
    </w:p>
    <w:p w14:paraId="2C2B4EB7" w14:textId="77777777" w:rsidR="0079653D" w:rsidRDefault="0079653D" w:rsidP="0079653D">
      <w:pPr>
        <w:pStyle w:val="dec-name"/>
        <w:shd w:val="clear" w:color="auto" w:fill="FFFFFF"/>
        <w:spacing w:before="120" w:beforeAutospacing="0" w:after="120" w:afterAutospacing="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t>Այնուամենայնիվ, կարևոր մարտահրավեր է ԱՍԳ փոխակերպումը շոշափելի գործողու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թյուն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ների, որոնք կհանգեցնեն երկարաժամկետ ցածր արտանետումների և հնարավո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>րու</w:t>
      </w:r>
      <w:r w:rsidRPr="00B824D2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 xml:space="preserve">թյուններ կստեղծեն կլիմայի նկատմամբ դիմակայուն զարգացման համար: </w:t>
      </w:r>
    </w:p>
    <w:p w14:paraId="1477828C" w14:textId="77777777" w:rsidR="0079653D" w:rsidRPr="00562437" w:rsidRDefault="0079653D" w:rsidP="0079653D">
      <w:pPr>
        <w:pStyle w:val="dec-name"/>
        <w:shd w:val="clear" w:color="auto" w:fill="FFFFFF"/>
        <w:spacing w:before="120" w:beforeAutospacing="0" w:after="120" w:afterAutospacing="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Կառավարությանը հետամուտ է համակարգային վերափոխումների՝ օգտագործելով ԱՍԳ իրականացումը որպես կլիմայի փոփոխության մեղմման մեջ ներդրումներն ավելացնելու և կայուն զարգացում ապահովելու մեխանիզմ: 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ԱՍԳ իրականացման 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ծրագիրը 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>ներկայացնում է Հայաստանի կառավարության 202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3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>-2030 թվականների ԱՍԳ-ի իրականացմանն ուղղված գործողությունները, անհրաժեշտ ինստիտուցիոնալ և ռեսուրսային հենքը, ինչպես նաև՝ մոնիթորինգի, գնահատման և պարբերական վերանայման մոտեցումները: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>ԱՍԳ իրականացման ֆինանսական մեխանիզմների զարգացման և արմատավորման մոտեցումները ներկայացվում են ԱՍԳ իրականացման ֆինանսավորման ռազմավա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softHyphen/>
        <w:t xml:space="preserve">րությամբ (Հավելված 2), իսկ ԱՍԳ-ով հռչակված կլիմայական հավակնությունները երաշխավորելու նպատակով նույնականացված լրացուցիչ ներդրումային ծրագրերը՝ ԱՍԳ իրականացման ներդրումային  պլանով (Հավելված 3):  </w:t>
      </w:r>
    </w:p>
    <w:p w14:paraId="47D7F3F3" w14:textId="77777777" w:rsidR="0079653D" w:rsidRDefault="0079653D" w:rsidP="0079653D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567" w:hanging="270"/>
        <w:jc w:val="both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Ընթացիկ իրավիճակը</w:t>
      </w:r>
    </w:p>
    <w:p w14:paraId="42B688DE" w14:textId="77777777" w:rsidR="0079653D" w:rsidRPr="00612F17" w:rsidRDefault="0079653D" w:rsidP="0079653D">
      <w:pPr>
        <w:tabs>
          <w:tab w:val="left" w:pos="426"/>
        </w:tabs>
        <w:spacing w:before="200" w:after="200"/>
        <w:jc w:val="both"/>
        <w:rPr>
          <w:rFonts w:ascii="GHEA Grapalat" w:hAnsi="GHEA Grapalat" w:cs="Calibri"/>
          <w:sz w:val="22"/>
          <w:szCs w:val="22"/>
        </w:rPr>
      </w:pPr>
      <w:r w:rsidRPr="00612F17">
        <w:rPr>
          <w:rFonts w:ascii="GHEA Grapalat" w:hAnsi="GHEA Grapalat" w:cs="Calibri"/>
          <w:sz w:val="22"/>
          <w:szCs w:val="22"/>
        </w:rPr>
        <w:t>Հայաստանի ընդամենը ջերմոցային գազերի արտանետումները 1990 թվականի 25,855 միլիոն տոննայի համեմատ 1995 թվականին նվազել էր մինչև 7,328.6 միլիոն տոննա։ 2017 թվականի դրությամբ դրանք կազմում են արդեն 10,624 միլիոն տոննա CO</w:t>
      </w:r>
      <w:r w:rsidRPr="00612F17">
        <w:rPr>
          <w:rFonts w:ascii="GHEA Grapalat" w:hAnsi="GHEA Grapalat" w:cs="Calibri"/>
          <w:sz w:val="22"/>
          <w:szCs w:val="22"/>
          <w:vertAlign w:val="subscript"/>
        </w:rPr>
        <w:t>2համ</w:t>
      </w:r>
      <w:r w:rsidRPr="00612F17">
        <w:rPr>
          <w:rFonts w:ascii="GHEA Grapalat" w:hAnsi="GHEA Grapalat" w:cs="Calibri"/>
          <w:sz w:val="22"/>
          <w:szCs w:val="22"/>
        </w:rPr>
        <w:t>., որից 67 տոկոսը առաջանում է Էներգետիկա սեկտորից, Գյուղատնտեսության սեկտորը կազմում է 18.5 տոկոս, Արդյունաբերական պրոցեսներ և արտադրանքի օգտագործում սեկտորը 8.9 տոկոս, իսկ թափոնների սեկտորը 5.8 տոկոս:</w:t>
      </w:r>
      <w:r>
        <w:rPr>
          <w:rFonts w:ascii="GHEA Grapalat" w:hAnsi="GHEA Grapalat" w:cs="Calibri"/>
          <w:sz w:val="22"/>
          <w:szCs w:val="22"/>
        </w:rPr>
        <w:t xml:space="preserve"> </w:t>
      </w:r>
      <w:r w:rsidRPr="00612F17">
        <w:rPr>
          <w:rFonts w:ascii="GHEA Grapalat" w:hAnsi="GHEA Grapalat" w:cs="Calibri"/>
          <w:sz w:val="22"/>
          <w:szCs w:val="22"/>
        </w:rPr>
        <w:t>ԱՍԳ համաձայն՝ Հայաստանը պարտավորվել է ջերմոցային գազերի արտանետում</w:t>
      </w:r>
      <w:r w:rsidRPr="00612F17">
        <w:rPr>
          <w:rFonts w:ascii="GHEA Grapalat" w:hAnsi="GHEA Grapalat" w:cs="Calibri"/>
          <w:sz w:val="22"/>
          <w:szCs w:val="22"/>
        </w:rPr>
        <w:softHyphen/>
        <w:t>ները նվազեցնել 40 տոկոսով 1990 թվականի մակարդակի համեմատ, երբ ընդհանուր արտանետումները կազմում էին 25,855 միլիոն տոննա CO</w:t>
      </w:r>
      <w:r w:rsidRPr="00612F17">
        <w:rPr>
          <w:rFonts w:ascii="GHEA Grapalat" w:hAnsi="GHEA Grapalat" w:cs="Calibri"/>
          <w:sz w:val="22"/>
          <w:szCs w:val="22"/>
          <w:vertAlign w:val="subscript"/>
        </w:rPr>
        <w:t>2համ</w:t>
      </w:r>
      <w:r w:rsidRPr="00612F17">
        <w:rPr>
          <w:rFonts w:ascii="GHEA Grapalat" w:hAnsi="GHEA Grapalat" w:cs="Calibri"/>
          <w:sz w:val="22"/>
          <w:szCs w:val="22"/>
        </w:rPr>
        <w:t>., իսկ զուտ արտանե</w:t>
      </w:r>
      <w:r w:rsidRPr="00612F17">
        <w:rPr>
          <w:rFonts w:ascii="GHEA Grapalat" w:hAnsi="GHEA Grapalat" w:cs="Calibri"/>
          <w:sz w:val="22"/>
          <w:szCs w:val="22"/>
        </w:rPr>
        <w:softHyphen/>
        <w:t>տում</w:t>
      </w:r>
      <w:r w:rsidRPr="00612F17">
        <w:rPr>
          <w:rFonts w:ascii="GHEA Grapalat" w:hAnsi="GHEA Grapalat" w:cs="Calibri"/>
          <w:sz w:val="22"/>
          <w:szCs w:val="22"/>
        </w:rPr>
        <w:softHyphen/>
        <w:t>ները ՝ 25,118 միլիոն տ CO</w:t>
      </w:r>
      <w:r w:rsidRPr="00612F17">
        <w:rPr>
          <w:rFonts w:ascii="GHEA Grapalat" w:hAnsi="GHEA Grapalat" w:cs="Calibri"/>
          <w:sz w:val="22"/>
          <w:szCs w:val="22"/>
          <w:vertAlign w:val="subscript"/>
        </w:rPr>
        <w:t>2համ</w:t>
      </w:r>
      <w:r w:rsidRPr="00612F17">
        <w:rPr>
          <w:rFonts w:ascii="GHEA Grapalat" w:hAnsi="GHEA Grapalat" w:cs="Calibri"/>
          <w:sz w:val="22"/>
          <w:szCs w:val="22"/>
        </w:rPr>
        <w:t>.:</w:t>
      </w:r>
    </w:p>
    <w:p w14:paraId="6FAD9373" w14:textId="77777777" w:rsidR="0079653D" w:rsidRPr="00612F17" w:rsidRDefault="0079653D" w:rsidP="0079653D">
      <w:pPr>
        <w:tabs>
          <w:tab w:val="left" w:pos="426"/>
        </w:tabs>
        <w:spacing w:before="200" w:after="200"/>
        <w:jc w:val="both"/>
        <w:rPr>
          <w:rFonts w:ascii="GHEA Grapalat" w:hAnsi="GHEA Grapalat" w:cs="Calibri"/>
          <w:sz w:val="22"/>
          <w:szCs w:val="22"/>
        </w:rPr>
      </w:pPr>
      <w:r w:rsidRPr="00612F17">
        <w:rPr>
          <w:rFonts w:ascii="GHEA Grapalat" w:hAnsi="GHEA Grapalat" w:cs="Calibri"/>
          <w:sz w:val="22"/>
          <w:szCs w:val="22"/>
        </w:rPr>
        <w:t xml:space="preserve">Մինչև 2026 թվականը Հայաստանի կառավարությունը թիրախավորում է ՀՆԱ-ի տարեկան միջին աճի նվազագույն 7 տոկոս (բարենպաստ արտաքին տնտեսական պայմաններում՝ 9 տոկոս) մակարդակ: Եթե ջերմոցային գազերի արտանետումների աճի միտումները չզսպվեն, </w:t>
      </w:r>
      <w:r w:rsidRPr="00612F17">
        <w:rPr>
          <w:rFonts w:ascii="GHEA Grapalat" w:hAnsi="GHEA Grapalat" w:cs="Calibri"/>
          <w:sz w:val="22"/>
          <w:szCs w:val="22"/>
        </w:rPr>
        <w:lastRenderedPageBreak/>
        <w:t>ապա արտանետումները համադրելի կլինեն նպատակադրվող կուտակային տնտեսական աճի մակարդակի հետ, ինչը ԱՍԳ ամրագրված թիրախը պահում է հավակնության միջակայքում։</w:t>
      </w:r>
    </w:p>
    <w:p w14:paraId="70FE84B5" w14:textId="77777777" w:rsidR="0079653D" w:rsidRPr="00612F17" w:rsidRDefault="0079653D" w:rsidP="0079653D">
      <w:pPr>
        <w:tabs>
          <w:tab w:val="left" w:pos="426"/>
        </w:tabs>
        <w:spacing w:before="200" w:after="200"/>
        <w:jc w:val="both"/>
        <w:rPr>
          <w:rFonts w:ascii="GHEA Grapalat" w:hAnsi="GHEA Grapalat" w:cs="Calibri"/>
          <w:sz w:val="22"/>
          <w:szCs w:val="22"/>
        </w:rPr>
      </w:pPr>
      <w:r w:rsidRPr="00612F17">
        <w:rPr>
          <w:rFonts w:ascii="GHEA Grapalat" w:hAnsi="GHEA Grapalat" w:cs="Calibri"/>
          <w:sz w:val="22"/>
          <w:szCs w:val="22"/>
        </w:rPr>
        <w:t>2017 թվականին ՀՆԱ էներգատարության ինդեքսը նվազել է 4.7 անգամ՝ 1990 թվականի համեմատ և 1.7 անգամ՝ 2000 թվականի համեմատ: Դա պայմանավորված է տնտեսության կառուցվածքային փոփոխություններով, մասնավորապես՝ արդյունաբե</w:t>
      </w:r>
      <w:r w:rsidRPr="00612F17">
        <w:rPr>
          <w:rFonts w:ascii="GHEA Grapalat" w:hAnsi="GHEA Grapalat" w:cs="Calibri"/>
          <w:sz w:val="22"/>
          <w:szCs w:val="22"/>
        </w:rPr>
        <w:softHyphen/>
        <w:t xml:space="preserve">րության և էներգատար արտադրության մասնաբաժնի կրճատմամբ, ծառայությունների ոլորտի մասնաբաժնի ավելացմամբ, ինչպես նաև էներգախնայող տեխնոլոգիաների ներդրմամբ, ինչպես նաև վերականգնվող էներգիայի աղբյուրների լայն օգտագործմամբ: </w:t>
      </w:r>
    </w:p>
    <w:p w14:paraId="6F35FD2D" w14:textId="77777777" w:rsidR="0079653D" w:rsidRDefault="0079653D" w:rsidP="0079653D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567" w:hanging="270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sz w:val="22"/>
          <w:szCs w:val="22"/>
          <w:lang w:val="hy-AM"/>
        </w:rPr>
        <w:t>Նպատակը</w:t>
      </w:r>
    </w:p>
    <w:p w14:paraId="053E9712" w14:textId="77777777" w:rsidR="0079653D" w:rsidRPr="00612F17" w:rsidRDefault="0079653D" w:rsidP="0079653D">
      <w:pPr>
        <w:tabs>
          <w:tab w:val="left" w:pos="426"/>
        </w:tabs>
        <w:spacing w:before="200" w:after="200"/>
        <w:jc w:val="both"/>
        <w:rPr>
          <w:rFonts w:ascii="GHEA Grapalat" w:hAnsi="GHEA Grapalat" w:cs="Calibri"/>
          <w:sz w:val="22"/>
          <w:szCs w:val="22"/>
        </w:rPr>
      </w:pPr>
      <w:r w:rsidRPr="00612F17">
        <w:rPr>
          <w:rFonts w:ascii="GHEA Grapalat" w:hAnsi="GHEA Grapalat" w:cs="Calibri"/>
          <w:sz w:val="22"/>
          <w:szCs w:val="22"/>
        </w:rPr>
        <w:t>ԱՍԳ համաձայն՝ Հայաստանը պարտավորվել է ջերմոցային գազերի արտանե</w:t>
      </w:r>
      <w:r w:rsidRPr="00612F17">
        <w:rPr>
          <w:rFonts w:ascii="GHEA Grapalat" w:hAnsi="GHEA Grapalat" w:cs="Calibri"/>
          <w:sz w:val="22"/>
          <w:szCs w:val="22"/>
        </w:rPr>
        <w:softHyphen/>
        <w:t>տում</w:t>
      </w:r>
      <w:r w:rsidRPr="00612F17">
        <w:rPr>
          <w:rFonts w:ascii="GHEA Grapalat" w:hAnsi="GHEA Grapalat" w:cs="Calibri"/>
          <w:sz w:val="22"/>
          <w:szCs w:val="22"/>
        </w:rPr>
        <w:softHyphen/>
        <w:t>ները նվազեցնել 40 տոկոսով 1990 թվականի մակարդակի համեմատ, երբ ընդհանուր արտանետումները կազմում էին 25,855 Գգ CO</w:t>
      </w:r>
      <w:r w:rsidRPr="00612F17">
        <w:rPr>
          <w:rFonts w:ascii="GHEA Grapalat" w:hAnsi="GHEA Grapalat" w:cs="Calibri"/>
          <w:sz w:val="22"/>
          <w:szCs w:val="22"/>
          <w:vertAlign w:val="subscript"/>
        </w:rPr>
        <w:t>2 համ.</w:t>
      </w:r>
      <w:r w:rsidRPr="00612F17">
        <w:rPr>
          <w:rFonts w:ascii="GHEA Grapalat" w:hAnsi="GHEA Grapalat" w:cs="Calibri"/>
          <w:sz w:val="22"/>
          <w:szCs w:val="22"/>
        </w:rPr>
        <w:t>, իսկ զուտ արտանետումները՝ 25,118 Գգ CO</w:t>
      </w:r>
      <w:r w:rsidRPr="00612F17">
        <w:rPr>
          <w:rFonts w:ascii="GHEA Grapalat" w:hAnsi="GHEA Grapalat" w:cs="Calibri"/>
          <w:sz w:val="22"/>
          <w:szCs w:val="22"/>
          <w:vertAlign w:val="subscript"/>
        </w:rPr>
        <w:t>2 համ.</w:t>
      </w:r>
      <w:r w:rsidRPr="00612F17">
        <w:rPr>
          <w:rFonts w:ascii="GHEA Grapalat" w:hAnsi="GHEA Grapalat" w:cs="Calibri"/>
          <w:sz w:val="22"/>
          <w:szCs w:val="22"/>
        </w:rPr>
        <w:t>: 1990 թվականի համե</w:t>
      </w:r>
      <w:r w:rsidRPr="00612F17">
        <w:rPr>
          <w:rFonts w:ascii="GHEA Grapalat" w:hAnsi="GHEA Grapalat" w:cs="Calibri"/>
          <w:sz w:val="22"/>
          <w:szCs w:val="22"/>
        </w:rPr>
        <w:softHyphen/>
        <w:t>մատությամբ 2017 թվականին ՋԳ ընդամենը արտանետումները նվա</w:t>
      </w:r>
      <w:r w:rsidRPr="00612F17">
        <w:rPr>
          <w:rFonts w:ascii="GHEA Grapalat" w:hAnsi="GHEA Grapalat" w:cs="Calibri"/>
          <w:sz w:val="22"/>
          <w:szCs w:val="22"/>
        </w:rPr>
        <w:softHyphen/>
        <w:t>զել են մոտ 59 տոկոսով (15,231 Գգ-ով)՝ հիմ</w:t>
      </w:r>
      <w:r w:rsidRPr="00612F17">
        <w:rPr>
          <w:rFonts w:ascii="GHEA Grapalat" w:hAnsi="GHEA Grapalat" w:cs="Calibri"/>
          <w:sz w:val="22"/>
          <w:szCs w:val="22"/>
        </w:rPr>
        <w:softHyphen/>
        <w:t>նականում պայմանա</w:t>
      </w:r>
      <w:r w:rsidRPr="00612F17">
        <w:rPr>
          <w:rFonts w:ascii="GHEA Grapalat" w:hAnsi="GHEA Grapalat" w:cs="Calibri"/>
          <w:sz w:val="22"/>
          <w:szCs w:val="22"/>
        </w:rPr>
        <w:softHyphen/>
        <w:t>վորված «Էներգե</w:t>
      </w:r>
      <w:r w:rsidRPr="00612F17">
        <w:rPr>
          <w:rFonts w:ascii="GHEA Grapalat" w:hAnsi="GHEA Grapalat" w:cs="Calibri"/>
          <w:sz w:val="22"/>
          <w:szCs w:val="22"/>
        </w:rPr>
        <w:softHyphen/>
        <w:t>տի</w:t>
      </w:r>
      <w:r w:rsidRPr="00612F17">
        <w:rPr>
          <w:rFonts w:ascii="GHEA Grapalat" w:hAnsi="GHEA Grapalat" w:cs="Calibri"/>
          <w:sz w:val="22"/>
          <w:szCs w:val="22"/>
        </w:rPr>
        <w:softHyphen/>
        <w:t>կա» սեկտորից արտանետումների կրճա</w:t>
      </w:r>
      <w:r w:rsidRPr="00612F17">
        <w:rPr>
          <w:rFonts w:ascii="GHEA Grapalat" w:hAnsi="GHEA Grapalat" w:cs="Calibri"/>
          <w:sz w:val="22"/>
          <w:szCs w:val="22"/>
        </w:rPr>
        <w:softHyphen/>
        <w:t>տմամբ, իսկ 2000 թվականի համեմա</w:t>
      </w:r>
      <w:r w:rsidRPr="00612F17">
        <w:rPr>
          <w:rFonts w:ascii="GHEA Grapalat" w:hAnsi="GHEA Grapalat" w:cs="Calibri"/>
          <w:sz w:val="22"/>
          <w:szCs w:val="22"/>
        </w:rPr>
        <w:softHyphen/>
        <w:t xml:space="preserve">տությամբ արտանետումները աճել են մոտ 69% տոկոսով: </w:t>
      </w:r>
    </w:p>
    <w:p w14:paraId="4D363A6C" w14:textId="77777777" w:rsidR="0079653D" w:rsidRDefault="0079653D" w:rsidP="0079653D">
      <w:pPr>
        <w:pStyle w:val="ListParagraph"/>
        <w:tabs>
          <w:tab w:val="left" w:pos="426"/>
        </w:tabs>
        <w:spacing w:before="200" w:after="200"/>
        <w:ind w:left="0"/>
        <w:contextualSpacing w:val="0"/>
        <w:jc w:val="both"/>
        <w:rPr>
          <w:rFonts w:ascii="GHEA Grapalat" w:hAnsi="GHEA Grapalat" w:cs="Calibri"/>
          <w:sz w:val="22"/>
          <w:szCs w:val="22"/>
        </w:rPr>
      </w:pPr>
      <w:r>
        <w:rPr>
          <w:rFonts w:ascii="GHEA Grapalat" w:hAnsi="GHEA Grapalat" w:cs="Calibri"/>
          <w:sz w:val="22"/>
          <w:szCs w:val="22"/>
        </w:rPr>
        <w:t xml:space="preserve">Հաշվի առնելով տնտեսական աճի թիրախավորված միջին տարեկան տեմպը, ինչպես նաև միավոր ՀՆԱ հաշվով ՋԳ արտանետումների ծավալների միտումները՝ </w:t>
      </w:r>
      <w:r w:rsidRPr="00A45929">
        <w:rPr>
          <w:rFonts w:ascii="GHEA Grapalat" w:hAnsi="GHEA Grapalat" w:cs="Calibri"/>
          <w:sz w:val="22"/>
          <w:szCs w:val="22"/>
        </w:rPr>
        <w:t xml:space="preserve">գնահատվում է, որ </w:t>
      </w:r>
      <w:r w:rsidRPr="00D80C59">
        <w:rPr>
          <w:rFonts w:ascii="GHEA Grapalat" w:hAnsi="GHEA Grapalat" w:cs="Calibri"/>
          <w:sz w:val="22"/>
          <w:szCs w:val="22"/>
        </w:rPr>
        <w:t>պահպանողական սցենա</w:t>
      </w:r>
      <w:r w:rsidRPr="00D80C59">
        <w:rPr>
          <w:rFonts w:ascii="GHEA Grapalat" w:hAnsi="GHEA Grapalat" w:cs="Calibri"/>
          <w:sz w:val="22"/>
          <w:szCs w:val="22"/>
        </w:rPr>
        <w:softHyphen/>
        <w:t xml:space="preserve">րով 2030 թվականին 1990 թվականի նկատմամբ ՋԳ արտանետումները կարող են էականորեն աճել: Մինչդեռ, ԱՍԳ թիրախին հասնելու համար Հայաստանը պետք է ապահովի, որպեսզի մինչև </w:t>
      </w:r>
      <w:r w:rsidRPr="004114DA">
        <w:rPr>
          <w:rFonts w:ascii="GHEA Grapalat" w:hAnsi="GHEA Grapalat" w:cs="Calibri"/>
          <w:sz w:val="22"/>
          <w:szCs w:val="22"/>
        </w:rPr>
        <w:t xml:space="preserve">2030 թվականը ջերմոցային գազերի զուտ արտանետումները չանցնեն </w:t>
      </w:r>
      <w:r w:rsidRPr="007E5299">
        <w:rPr>
          <w:rFonts w:ascii="GHEA Grapalat" w:hAnsi="GHEA Grapalat" w:cs="Calibri"/>
          <w:sz w:val="22"/>
          <w:szCs w:val="22"/>
        </w:rPr>
        <w:t xml:space="preserve">15,071 </w:t>
      </w:r>
      <w:r w:rsidRPr="004114DA">
        <w:rPr>
          <w:rFonts w:ascii="GHEA Grapalat" w:hAnsi="GHEA Grapalat" w:cs="Calibri"/>
          <w:sz w:val="22"/>
          <w:szCs w:val="22"/>
        </w:rPr>
        <w:t>CO</w:t>
      </w:r>
      <w:r w:rsidRPr="004114DA">
        <w:rPr>
          <w:rFonts w:ascii="GHEA Grapalat" w:hAnsi="GHEA Grapalat" w:cs="Calibri"/>
          <w:sz w:val="22"/>
          <w:szCs w:val="22"/>
          <w:vertAlign w:val="subscript"/>
        </w:rPr>
        <w:t xml:space="preserve">2 համ. </w:t>
      </w:r>
      <w:r w:rsidRPr="004114DA">
        <w:rPr>
          <w:rFonts w:ascii="GHEA Grapalat" w:hAnsi="GHEA Grapalat" w:cs="Calibri"/>
          <w:sz w:val="22"/>
          <w:szCs w:val="22"/>
        </w:rPr>
        <w:t>սահմանագիծը կամ</w:t>
      </w:r>
      <w:r w:rsidRPr="004114DA">
        <w:rPr>
          <w:rFonts w:ascii="GHEA Grapalat" w:hAnsi="GHEA Grapalat" w:cs="Calibri"/>
          <w:sz w:val="22"/>
          <w:szCs w:val="22"/>
          <w:vertAlign w:val="subscript"/>
        </w:rPr>
        <w:t xml:space="preserve"> </w:t>
      </w:r>
      <w:r w:rsidRPr="004114DA">
        <w:rPr>
          <w:rFonts w:ascii="GHEA Grapalat" w:hAnsi="GHEA Grapalat" w:cs="Calibri"/>
          <w:sz w:val="22"/>
          <w:szCs w:val="22"/>
        </w:rPr>
        <w:t xml:space="preserve">չավելանան ավելի քան </w:t>
      </w:r>
      <w:r w:rsidRPr="007E5299">
        <w:rPr>
          <w:rFonts w:ascii="GHEA Grapalat" w:hAnsi="GHEA Grapalat" w:cs="Calibri"/>
          <w:sz w:val="22"/>
          <w:szCs w:val="22"/>
        </w:rPr>
        <w:t>4,917</w:t>
      </w:r>
      <w:r w:rsidRPr="004114DA">
        <w:rPr>
          <w:rFonts w:ascii="GHEA Grapalat" w:hAnsi="GHEA Grapalat" w:cs="Calibri"/>
          <w:sz w:val="22"/>
          <w:szCs w:val="22"/>
        </w:rPr>
        <w:t xml:space="preserve"> Գգ CO</w:t>
      </w:r>
      <w:r w:rsidRPr="004114DA">
        <w:rPr>
          <w:rFonts w:ascii="GHEA Grapalat" w:hAnsi="GHEA Grapalat" w:cs="Calibri"/>
          <w:sz w:val="22"/>
          <w:szCs w:val="22"/>
          <w:vertAlign w:val="subscript"/>
        </w:rPr>
        <w:t xml:space="preserve">2 համ. </w:t>
      </w:r>
      <w:r w:rsidRPr="004114DA">
        <w:rPr>
          <w:rFonts w:ascii="GHEA Grapalat" w:hAnsi="GHEA Grapalat" w:cs="Calibri"/>
          <w:sz w:val="22"/>
          <w:szCs w:val="22"/>
        </w:rPr>
        <w:t>ծավալից, ինչը ենթադրում է նպատակային քաղաքա</w:t>
      </w:r>
      <w:r w:rsidRPr="004114DA">
        <w:rPr>
          <w:rFonts w:ascii="GHEA Grapalat" w:hAnsi="GHEA Grapalat" w:cs="Calibri"/>
          <w:sz w:val="22"/>
          <w:szCs w:val="22"/>
        </w:rPr>
        <w:softHyphen/>
        <w:t>կա</w:t>
      </w:r>
      <w:r w:rsidRPr="004114DA">
        <w:rPr>
          <w:rFonts w:ascii="GHEA Grapalat" w:hAnsi="GHEA Grapalat" w:cs="Calibri"/>
          <w:sz w:val="22"/>
          <w:szCs w:val="22"/>
        </w:rPr>
        <w:softHyphen/>
        <w:t>նության իրակա</w:t>
      </w:r>
      <w:r w:rsidRPr="004114DA">
        <w:rPr>
          <w:rFonts w:ascii="GHEA Grapalat" w:hAnsi="GHEA Grapalat" w:cs="Calibri"/>
          <w:sz w:val="22"/>
          <w:szCs w:val="22"/>
        </w:rPr>
        <w:softHyphen/>
        <w:t>նա</w:t>
      </w:r>
      <w:r w:rsidRPr="004114DA">
        <w:rPr>
          <w:rFonts w:ascii="GHEA Grapalat" w:hAnsi="GHEA Grapalat" w:cs="Calibri"/>
          <w:sz w:val="22"/>
          <w:szCs w:val="22"/>
        </w:rPr>
        <w:softHyphen/>
        <w:t>ցում ինչպես արտանետումների կրճատման, այնպես էլ՝ արտանե</w:t>
      </w:r>
      <w:r w:rsidRPr="004114DA">
        <w:rPr>
          <w:rFonts w:ascii="GHEA Grapalat" w:hAnsi="GHEA Grapalat" w:cs="Calibri"/>
          <w:sz w:val="22"/>
          <w:szCs w:val="22"/>
        </w:rPr>
        <w:softHyphen/>
        <w:t>տումների կլանման կարողությունների ընդլայնման ուղղությամբ:</w:t>
      </w:r>
    </w:p>
    <w:p w14:paraId="346C1382" w14:textId="77777777" w:rsidR="0079653D" w:rsidRDefault="0079653D" w:rsidP="0079653D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567" w:hanging="270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sz w:val="22"/>
          <w:szCs w:val="22"/>
          <w:lang w:val="hy-AM"/>
        </w:rPr>
        <w:t>Ակնկալվող արդյունքը</w:t>
      </w:r>
    </w:p>
    <w:p w14:paraId="313526A3" w14:textId="77777777" w:rsidR="0079653D" w:rsidRDefault="0079653D" w:rsidP="0079653D">
      <w:pPr>
        <w:pStyle w:val="dec-name"/>
        <w:shd w:val="clear" w:color="auto" w:fill="FFFFFF"/>
        <w:spacing w:before="120" w:beforeAutospacing="0" w:after="120" w:afterAutospacing="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Նախագծի ընդունմամբ ակնկալվող արդյունքներն են ՝</w:t>
      </w:r>
    </w:p>
    <w:p w14:paraId="5F180ED5" w14:textId="77777777" w:rsidR="0079653D" w:rsidRDefault="0079653D" w:rsidP="0079653D">
      <w:pPr>
        <w:pStyle w:val="dec-name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>ԱՍԳ իրականացմանն ուղղված գործողություններ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ի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>, անհրաժեշտ ինստիտուցիոնալ և ռեսուրսային հենք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ի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>, ինչպես նաև՝ մոնիթորինգի, գնահատման և պարբերական վերանայման մոտեցումներ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ի հստակ սահմանում</w:t>
      </w: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>:</w:t>
      </w:r>
    </w:p>
    <w:p w14:paraId="38FDF67E" w14:textId="77777777" w:rsidR="0079653D" w:rsidRPr="00FA75AB" w:rsidRDefault="0079653D" w:rsidP="0079653D">
      <w:pPr>
        <w:pStyle w:val="dec-name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FA75AB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ԱՍԳ իրականացման ֆինանսավորման արդյունավետ գնահատման, հավաքագրման, ընդլայնման և կիրառման </w:t>
      </w:r>
      <w:r>
        <w:rPr>
          <w:rFonts w:ascii="GHEA Grapalat" w:hAnsi="GHEA Grapalat" w:cs="Arial"/>
          <w:color w:val="000000"/>
          <w:sz w:val="22"/>
          <w:szCs w:val="22"/>
          <w:lang w:val="hy-AM"/>
        </w:rPr>
        <w:t>ներդրված համակարգեր՝</w:t>
      </w:r>
      <w:r w:rsidRPr="00FA75AB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կյանքի կոչելու ԱՍԳ իրականացման ծրագրում առանձնացված առաջնահերթ գործողությունները: </w:t>
      </w:r>
    </w:p>
    <w:p w14:paraId="01E615F2" w14:textId="77777777" w:rsidR="0079653D" w:rsidRPr="00562437" w:rsidRDefault="0079653D" w:rsidP="0079653D">
      <w:pPr>
        <w:pStyle w:val="dec-name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="GHEA Grapalat" w:hAnsi="GHEA Grapalat" w:cs="Arial"/>
          <w:color w:val="000000"/>
          <w:sz w:val="22"/>
          <w:szCs w:val="22"/>
          <w:lang w:val="hy-AM"/>
        </w:rPr>
      </w:pPr>
      <w:r w:rsidRPr="00562437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ԱՍԳ-ով հռչակված կլիմայական հավակնությունները երաշխավորելու նպատակով նույնականացված լրացուցիչ ներդրումային ծրագրեր:  </w:t>
      </w:r>
    </w:p>
    <w:p w14:paraId="72E4940B" w14:textId="77777777" w:rsidR="0079653D" w:rsidRDefault="0079653D" w:rsidP="0079653D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567" w:hanging="270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sz w:val="22"/>
          <w:szCs w:val="22"/>
          <w:lang w:val="hy-AM"/>
        </w:rPr>
        <w:t>Ներգրավված ինստիտուտները և անձինք</w:t>
      </w:r>
    </w:p>
    <w:p w14:paraId="46104D81" w14:textId="77777777" w:rsidR="0079653D" w:rsidRDefault="0079653D" w:rsidP="0079653D">
      <w:pPr>
        <w:pStyle w:val="dec-name"/>
        <w:shd w:val="clear" w:color="auto" w:fill="FFFFFF"/>
        <w:spacing w:before="240" w:beforeAutospacing="0" w:after="24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 xml:space="preserve">Նախագծի մշակումն ապահովվել է Շրջակա միջավայրի նախարարությունը՝ ՄԱԶԾ հայաստանյան գրասենյակի աջակցությամբ՝ «ԵՄ-ն կլիմայի համար» ԵՄ-ՄԱԶԾ տարածաշրջանային ծրագրի շրջանակներում: </w:t>
      </w:r>
    </w:p>
    <w:p w14:paraId="7A7A20CE" w14:textId="77777777" w:rsidR="0079653D" w:rsidRPr="0015121C" w:rsidRDefault="0079653D" w:rsidP="0079653D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567" w:hanging="270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15121C">
        <w:rPr>
          <w:rFonts w:ascii="GHEA Grapalat" w:hAnsi="GHEA Grapalat"/>
          <w:b/>
          <w:color w:val="000000"/>
          <w:sz w:val="22"/>
          <w:szCs w:val="22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A4981F6" w14:textId="77777777" w:rsidR="0079653D" w:rsidRPr="0015121C" w:rsidRDefault="0079653D" w:rsidP="0079653D">
      <w:pPr>
        <w:pStyle w:val="dec-name"/>
        <w:shd w:val="clear" w:color="auto" w:fill="FFFFFF"/>
        <w:spacing w:before="240" w:beforeAutospacing="0" w:after="24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Փաթեթը կապված է Հայաստանի վերափոխման </w:t>
      </w:r>
      <w:r w:rsidRPr="0015121C">
        <w:rPr>
          <w:rFonts w:ascii="GHEA Grapalat" w:hAnsi="GHEA Grapalat"/>
          <w:color w:val="000000"/>
          <w:sz w:val="22"/>
          <w:szCs w:val="22"/>
          <w:lang w:val="hy-AM"/>
        </w:rPr>
        <w:t xml:space="preserve">2050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ռազմավարության մեգանպատակների </w:t>
      </w:r>
      <w:r w:rsidRPr="0015121C">
        <w:rPr>
          <w:rFonts w:ascii="GHEA Grapalat" w:hAnsi="GHEA Grapalat"/>
          <w:color w:val="000000"/>
          <w:sz w:val="22"/>
          <w:szCs w:val="22"/>
          <w:lang w:val="hy-AM"/>
        </w:rPr>
        <w:t>(</w:t>
      </w:r>
      <w:r>
        <w:rPr>
          <w:rFonts w:ascii="GHEA Grapalat" w:hAnsi="GHEA Grapalat"/>
          <w:color w:val="000000"/>
          <w:sz w:val="22"/>
          <w:szCs w:val="22"/>
          <w:lang w:val="hy-AM"/>
        </w:rPr>
        <w:t>8-րդ, 10-րդ, 1</w:t>
      </w:r>
      <w:r w:rsidRPr="0015121C">
        <w:rPr>
          <w:rFonts w:ascii="GHEA Grapalat" w:hAnsi="GHEA Grapalat"/>
          <w:color w:val="000000"/>
          <w:sz w:val="22"/>
          <w:szCs w:val="22"/>
          <w:lang w:val="hy-AM"/>
        </w:rPr>
        <w:t>3</w:t>
      </w:r>
      <w:r>
        <w:rPr>
          <w:rFonts w:ascii="GHEA Grapalat" w:hAnsi="GHEA Grapalat"/>
          <w:color w:val="000000"/>
          <w:sz w:val="22"/>
          <w:szCs w:val="22"/>
          <w:lang w:val="hy-AM"/>
        </w:rPr>
        <w:t>-րդ մեգանպատակներ</w:t>
      </w:r>
      <w:r w:rsidRPr="0015121C">
        <w:rPr>
          <w:rFonts w:ascii="GHEA Grapalat" w:hAnsi="GHEA Grapalat"/>
          <w:color w:val="000000"/>
          <w:sz w:val="22"/>
          <w:szCs w:val="22"/>
          <w:lang w:val="hy-AM"/>
        </w:rPr>
        <w:t>)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հետ, անմիջականորեն բխում է ՀՀ կ</w:t>
      </w:r>
      <w:r w:rsidRPr="0015121C">
        <w:rPr>
          <w:rFonts w:ascii="GHEA Grapalat" w:hAnsi="GHEA Grapalat"/>
          <w:color w:val="000000"/>
          <w:sz w:val="22"/>
          <w:szCs w:val="22"/>
          <w:lang w:val="hy-AM"/>
        </w:rPr>
        <w:t>առավարության 2021-2026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5121C">
        <w:rPr>
          <w:rFonts w:ascii="GHEA Grapalat" w:hAnsi="GHEA Grapalat"/>
          <w:color w:val="000000"/>
          <w:sz w:val="22"/>
          <w:szCs w:val="22"/>
          <w:lang w:val="hy-AM"/>
        </w:rPr>
        <w:t xml:space="preserve">թթ.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ծ</w:t>
      </w:r>
      <w:r w:rsidRPr="0015121C">
        <w:rPr>
          <w:rFonts w:ascii="GHEA Grapalat" w:hAnsi="GHEA Grapalat"/>
          <w:color w:val="000000"/>
          <w:sz w:val="22"/>
          <w:szCs w:val="22"/>
          <w:lang w:val="hy-AM"/>
        </w:rPr>
        <w:t>րագր</w:t>
      </w:r>
      <w:r>
        <w:rPr>
          <w:rFonts w:ascii="GHEA Grapalat" w:hAnsi="GHEA Grapalat"/>
          <w:color w:val="000000"/>
          <w:sz w:val="22"/>
          <w:szCs w:val="22"/>
          <w:lang w:val="hy-AM"/>
        </w:rPr>
        <w:t>ից։</w:t>
      </w:r>
    </w:p>
    <w:p w14:paraId="310B8F69" w14:textId="77777777" w:rsidR="0079653D" w:rsidRPr="0015121C" w:rsidRDefault="0079653D" w:rsidP="0079653D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/>
        <w:ind w:left="567" w:hanging="270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15121C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14:paraId="23898F34" w14:textId="77777777" w:rsidR="0079653D" w:rsidRPr="00550D3D" w:rsidRDefault="0079653D" w:rsidP="0079653D">
      <w:pPr>
        <w:pStyle w:val="dec-name"/>
        <w:shd w:val="clear" w:color="auto" w:fill="FFFFFF"/>
        <w:spacing w:before="240" w:beforeAutospacing="0" w:after="24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t>ԱՍԳ թիրախի իրականացումը երաշխավորվում է ԱՍԳ-ով մատնանշված ոլորտային զարգացման ռազմավարություններով և դրանց իրագործումն ապահովող գործողությունների ծրագրերով: Այնուամենայնիվ, որպես բազմաոլորտային և խաչվող ոլորտ, կլիմայի փոփո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խության մեղմման և հարմարվողականության քաղաքականությունների արդյունավետ իրագ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որ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ծումը պահանջում է քաղաքականության և ինստիտուցիոնալ շրջանակի բարելավման, կարողու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թյունների զարգացման և հանրության հետ հաղորդակցության ուղղությամբ գործողություններ: Այնուամենայնիվ, ի</w:t>
      </w:r>
      <w:r w:rsidRPr="00550D3D">
        <w:rPr>
          <w:rFonts w:ascii="GHEA Grapalat" w:hAnsi="GHEA Grapalat" w:cs="Calibri"/>
          <w:sz w:val="22"/>
          <w:szCs w:val="22"/>
          <w:lang w:val="hy-AM"/>
        </w:rPr>
        <w:t xml:space="preserve"> լրումն ոլորտային ռազմավարությունների, նախատեսվում են մի շարք 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t>ինստիտուցիոնալ բարելավմանն ուղղված միջոցա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ռում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ներ (Հավելված 1-ի Աղյուսակ 2), որոնք կիրականացվեն օրենքով չարգելված այլ աղբյուրների հաշվին՝ միջազգային զարգացման գործընկերների տեխնիկական աջակցության շրջանակներում:</w:t>
      </w:r>
    </w:p>
    <w:p w14:paraId="6F47927B" w14:textId="77777777" w:rsidR="0079653D" w:rsidRPr="00550D3D" w:rsidRDefault="0079653D" w:rsidP="0079653D">
      <w:pPr>
        <w:pStyle w:val="dec-name"/>
        <w:shd w:val="clear" w:color="auto" w:fill="FFFFFF"/>
        <w:spacing w:before="240" w:beforeAutospacing="0" w:after="24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t>ԱՍԳ թիրախը սահմանվել է մի շարք մեղմման առաջնային գործողությունների հիման վրա (Հավելված 1, Աղյուսակ 3), որոնց մի մասը իրականացման ընթացքում են կամ ունեն նույնականացված ֆինանսավորում ու իրականաց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նող</w:t>
      </w: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softHyphen/>
        <w:t>ներ՝ հիմնականում մասնավոր ներդումների ու զարգացման գործընկերի հաշվին: Դրանց գնահատված արժեքը կազմում է ավելի քան 600 մլրդ ՀՀ դրամ (շուրջ 1.5 մլրդ ԱՄՆ դոլար):</w:t>
      </w:r>
    </w:p>
    <w:p w14:paraId="27CB7BA9" w14:textId="77777777" w:rsidR="0079653D" w:rsidRPr="00550D3D" w:rsidRDefault="0079653D" w:rsidP="0079653D">
      <w:pPr>
        <w:pStyle w:val="dec-name"/>
        <w:shd w:val="clear" w:color="auto" w:fill="FFFFFF"/>
        <w:spacing w:before="240" w:beforeAutospacing="0" w:after="240" w:afterAutospacing="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550D3D">
        <w:rPr>
          <w:rFonts w:ascii="GHEA Grapalat" w:hAnsi="GHEA Grapalat"/>
          <w:color w:val="000000"/>
          <w:sz w:val="22"/>
          <w:szCs w:val="22"/>
          <w:lang w:val="hy-AM"/>
        </w:rPr>
        <w:t xml:space="preserve">Միաժամանակ, </w:t>
      </w:r>
      <w:r w:rsidRPr="00550D3D">
        <w:rPr>
          <w:rFonts w:ascii="GHEA Grapalat" w:eastAsiaTheme="minorEastAsia" w:hAnsi="GHEA Grapalat" w:cs="Calibri"/>
          <w:sz w:val="22"/>
          <w:lang w:val="hy-AM" w:eastAsia="hy-AM" w:bidi="hy-AM"/>
        </w:rPr>
        <w:t>Հավելված 3-ով ներկայացված է ներդրումային ծրագ</w:t>
      </w:r>
      <w:r w:rsidRPr="00550D3D">
        <w:rPr>
          <w:rFonts w:ascii="GHEA Grapalat" w:eastAsiaTheme="minorEastAsia" w:hAnsi="GHEA Grapalat" w:cs="Calibri"/>
          <w:sz w:val="22"/>
          <w:lang w:val="hy-AM" w:eastAsia="hy-AM" w:bidi="hy-AM"/>
        </w:rPr>
        <w:softHyphen/>
        <w:t>րե</w:t>
      </w:r>
      <w:r w:rsidRPr="00550D3D">
        <w:rPr>
          <w:rFonts w:ascii="GHEA Grapalat" w:eastAsiaTheme="minorEastAsia" w:hAnsi="GHEA Grapalat" w:cs="Calibri"/>
          <w:sz w:val="22"/>
          <w:lang w:val="hy-AM" w:eastAsia="hy-AM" w:bidi="hy-AM"/>
        </w:rPr>
        <w:softHyphen/>
        <w:t>րի ինդիկատիվ (</w:t>
      </w:r>
      <w:r>
        <w:rPr>
          <w:rFonts w:ascii="GHEA Grapalat" w:eastAsiaTheme="minorEastAsia" w:hAnsi="GHEA Grapalat" w:cs="Calibri"/>
          <w:sz w:val="22"/>
          <w:lang w:val="hy-AM" w:eastAsia="hy-AM" w:bidi="hy-AM"/>
        </w:rPr>
        <w:t>կողմնորոշիչ</w:t>
      </w:r>
      <w:r w:rsidRPr="00550D3D">
        <w:rPr>
          <w:rFonts w:ascii="GHEA Grapalat" w:eastAsiaTheme="minorEastAsia" w:hAnsi="GHEA Grapalat" w:cs="Calibri"/>
          <w:sz w:val="22"/>
          <w:lang w:val="hy-AM" w:eastAsia="hy-AM" w:bidi="hy-AM"/>
        </w:rPr>
        <w:t>) շրջանակը, որի իրագործումը ի լրումն հիմնական միջոցա</w:t>
      </w:r>
      <w:r w:rsidRPr="00550D3D">
        <w:rPr>
          <w:rFonts w:ascii="GHEA Grapalat" w:eastAsiaTheme="minorEastAsia" w:hAnsi="GHEA Grapalat" w:cs="Calibri"/>
          <w:sz w:val="22"/>
          <w:lang w:val="hy-AM" w:eastAsia="hy-AM" w:bidi="hy-AM"/>
        </w:rPr>
        <w:softHyphen/>
        <w:t>ռում</w:t>
      </w:r>
      <w:r w:rsidRPr="00550D3D">
        <w:rPr>
          <w:rFonts w:ascii="GHEA Grapalat" w:eastAsiaTheme="minorEastAsia" w:hAnsi="GHEA Grapalat" w:cs="Calibri"/>
          <w:sz w:val="22"/>
          <w:lang w:val="hy-AM" w:eastAsia="hy-AM" w:bidi="hy-AM"/>
        </w:rPr>
        <w:softHyphen/>
        <w:t xml:space="preserve">ներով սցենարի կերաշխավորի ԱՍԳ հանձնառությունը: Մինչև 2030 թվականը, նշված ներդրումային ծրագրերի շրջանակի իրականացման համար կպահանջվի </w:t>
      </w:r>
      <w:r w:rsidRPr="00550D3D">
        <w:rPr>
          <w:rFonts w:ascii="GHEA Grapalat" w:eastAsiaTheme="minorEastAsia" w:hAnsi="GHEA Grapalat" w:cs="Calibri"/>
          <w:bCs/>
          <w:sz w:val="22"/>
          <w:lang w:val="hy-AM" w:eastAsia="hy-AM" w:bidi="hy-AM"/>
        </w:rPr>
        <w:t>շուրջ 540 մլրդ ՀՀ դրամ</w:t>
      </w:r>
      <w:r w:rsidRPr="00550D3D">
        <w:rPr>
          <w:rFonts w:ascii="GHEA Grapalat" w:eastAsiaTheme="minorEastAsia" w:hAnsi="GHEA Grapalat" w:cs="Calibri"/>
          <w:sz w:val="22"/>
          <w:lang w:val="hy-AM" w:eastAsia="hy-AM" w:bidi="hy-AM"/>
        </w:rPr>
        <w:t xml:space="preserve"> (շուրջ 1.3 մլրդ ԱՄՆ դոլար) ֆինանսական ռեսուրս</w:t>
      </w:r>
      <w:r>
        <w:rPr>
          <w:rFonts w:ascii="GHEA Grapalat" w:eastAsiaTheme="minorEastAsia" w:hAnsi="GHEA Grapalat" w:cs="Calibri"/>
          <w:sz w:val="22"/>
          <w:lang w:val="hy-AM" w:eastAsia="hy-AM" w:bidi="hy-AM"/>
        </w:rPr>
        <w:t xml:space="preserve">, որի համար ակնկալվող աղբյուրներն են հիմնականում մասնավոր ներդրումները, նպատակային կլիմայական հիմնադրամները, զարգացման գործընկերները, նորարարական ֆինանսական գործիքները: ՀՀ պետական բյուջեից ակնկալիքները գործող պետական աջակցության ծրագրերի շրջանակում են: </w:t>
      </w:r>
    </w:p>
    <w:p w14:paraId="751C577B" w14:textId="77777777" w:rsidR="0046624E" w:rsidRDefault="0046624E"/>
    <w:sectPr w:rsidR="0046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D27"/>
    <w:multiLevelType w:val="hybridMultilevel"/>
    <w:tmpl w:val="3BD6FEC0"/>
    <w:lvl w:ilvl="0" w:tplc="E96EA7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87D18"/>
    <w:multiLevelType w:val="hybridMultilevel"/>
    <w:tmpl w:val="8A3E08E0"/>
    <w:lvl w:ilvl="0" w:tplc="F19C876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F2"/>
    <w:rsid w:val="0046624E"/>
    <w:rsid w:val="005468F2"/>
    <w:rsid w:val="007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87129-A4C0-48DF-BF98-3B855A81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53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79653D"/>
    <w:pPr>
      <w:spacing w:after="120"/>
      <w:ind w:right="259"/>
      <w:jc w:val="both"/>
    </w:pPr>
    <w:rPr>
      <w:rFonts w:ascii="Calibri" w:eastAsiaTheme="minorEastAsia" w:hAnsi="Calibr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79653D"/>
    <w:rPr>
      <w:rFonts w:ascii="Calibri" w:eastAsiaTheme="minorEastAsia" w:hAnsi="Calibri"/>
      <w:lang w:val="hy-AM"/>
    </w:rPr>
  </w:style>
  <w:style w:type="paragraph" w:customStyle="1" w:styleId="dec-name">
    <w:name w:val="dec-name"/>
    <w:basedOn w:val="Normal"/>
    <w:rsid w:val="0079653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aliases w:val="References,List Paragraph (numbered (a)),List_Paragraph,Multilevel para_II,Akapit z listą BS,Indent Paragraph,Bullet OFM,Bullets,List Paragraph1,Heading,Table/Figure Heading,En tête 1,ADB paragraph numbering,123 List Paragraph,Celula,L,Ha"/>
    <w:basedOn w:val="Normal"/>
    <w:link w:val="ListParagraphChar"/>
    <w:uiPriority w:val="34"/>
    <w:qFormat/>
    <w:rsid w:val="0079653D"/>
    <w:pPr>
      <w:ind w:left="720"/>
      <w:contextualSpacing/>
    </w:p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Bullets Char,List Paragraph1 Char,Heading Char,Table/Figure Heading Char"/>
    <w:link w:val="ListParagraph"/>
    <w:uiPriority w:val="34"/>
    <w:qFormat/>
    <w:rsid w:val="0079653D"/>
    <w:rPr>
      <w:rFonts w:ascii="Arial Armenian" w:eastAsia="Times New Roman" w:hAnsi="Arial Armeni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2023-04-28T08:28:00Z</dcterms:created>
  <dcterms:modified xsi:type="dcterms:W3CDTF">2023-04-28T08:28:00Z</dcterms:modified>
</cp:coreProperties>
</file>