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9BD281" w14:textId="77777777" w:rsidR="00C155CC" w:rsidRPr="00666523" w:rsidRDefault="00437DC1" w:rsidP="00092DBE">
      <w:pPr>
        <w:spacing w:after="0" w:line="360" w:lineRule="auto"/>
        <w:ind w:right="-421" w:firstLine="539"/>
        <w:jc w:val="center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666523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ՀԻՄՆԱՎՈՐՈՒՄ </w:t>
      </w:r>
    </w:p>
    <w:p w14:paraId="2DFB1D85" w14:textId="1D52DB9B" w:rsidR="00583D7F" w:rsidRPr="000F0A12" w:rsidRDefault="000F0A12" w:rsidP="000F0A12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</w:pPr>
      <w:bookmarkStart w:id="0" w:name="_Hlk130222136"/>
      <w:r w:rsidRPr="000F0A12">
        <w:rPr>
          <w:rFonts w:ascii="GHEA Grapalat" w:eastAsia="Calibri" w:hAnsi="GHEA Grapalat" w:cs="Calibri"/>
          <w:b/>
          <w:color w:val="000000"/>
          <w:sz w:val="24"/>
          <w:szCs w:val="24"/>
          <w:lang w:val="hy-AM"/>
        </w:rPr>
        <w:t xml:space="preserve">«ԴԵՂԵՐԻ ՇՐՋԱՆԱՌՈՒԹՅԱՆ ՈԼՈՐՏՈՒՄ ՊԵՏԱԿԱՆ ՎԵՐԱՀՍԿՈՂՈՒԹՅՈՒՆ ԻՐԱԿԱՆԱՑՆՈՂ ՏԵՍՉԱԿԱՆ ՄԱՐՄՆԻ ԿՈՂՄԻՑ ԻՐԱԿԱՆԱՑՎՈՂ ՍՏՈՒԳՈՒՄՆԵՐԻ ՇՐՋԱՆԱԿՈՒՄ ՀՍԿԻՉ ԳՆՈՒՄՆԵՐԻ ԻՐԱԿԱՆԱՑՄԱՆ, ԻՆՉՊԵՍ ՆԱԵՎ ՀՍԿԻՉ ԳՆՈՒՄՆԵՐԻ ԱՐԴՅՈՒՆՔՈՒՄ ՁԵՌՔ ԲԵՐՎԱԾ ԱՊՐԱՆՔՆԵՐԻ ՏՆՕՐԻՆՄԱՆ </w:t>
      </w:r>
      <w:bookmarkEnd w:id="0"/>
      <w:r w:rsidRPr="000F0A12">
        <w:rPr>
          <w:rFonts w:ascii="GHEA Grapalat" w:eastAsia="Calibri" w:hAnsi="GHEA Grapalat" w:cs="Calibri"/>
          <w:b/>
          <w:color w:val="000000"/>
          <w:sz w:val="24"/>
          <w:szCs w:val="24"/>
          <w:lang w:val="hy-AM"/>
        </w:rPr>
        <w:t xml:space="preserve">ԿԱՐԳԸ ՍԱՀՄԱՆԵԼՈՒ ՄԱՍԻՆ» ՀԱՅԱՍՏԱՆԻ ՀԱՆՐԱՊԵՏՈՒԹՅԱՆ ԿԱՌԱՎԱՐՈՒԹՅԱՆ ՈՐՈՇՄԱՆ </w:t>
      </w:r>
      <w:r w:rsidR="001B40B3" w:rsidRPr="000F0A12">
        <w:rPr>
          <w:rFonts w:ascii="GHEA Grapalat" w:eastAsia="Calibri" w:hAnsi="GHEA Grapalat" w:cs="Calibri"/>
          <w:b/>
          <w:color w:val="000000"/>
          <w:sz w:val="24"/>
          <w:szCs w:val="24"/>
          <w:lang w:val="hy-AM"/>
        </w:rPr>
        <w:t>ՆԱԽԱԳԾԻ</w:t>
      </w:r>
    </w:p>
    <w:p w14:paraId="15A83FA0" w14:textId="77777777" w:rsidR="00747C76" w:rsidRPr="00C33DD7" w:rsidRDefault="00747C76" w:rsidP="00092DBE">
      <w:pPr>
        <w:spacing w:after="0" w:line="360" w:lineRule="auto"/>
        <w:ind w:right="-421" w:firstLine="539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729D9B76" w14:textId="77777777" w:rsidR="001B40B3" w:rsidRPr="00C33DD7" w:rsidRDefault="001B40B3" w:rsidP="00092DBE">
      <w:pPr>
        <w:pStyle w:val="ListParagraph"/>
        <w:numPr>
          <w:ilvl w:val="0"/>
          <w:numId w:val="5"/>
        </w:numPr>
        <w:tabs>
          <w:tab w:val="left" w:pos="851"/>
        </w:tabs>
        <w:spacing w:after="0" w:line="360" w:lineRule="auto"/>
        <w:ind w:left="0" w:right="-421" w:firstLine="539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C33DD7">
        <w:rPr>
          <w:rFonts w:ascii="GHEA Grapalat" w:hAnsi="GHEA Grapalat" w:cs="Sylfaen"/>
          <w:b/>
          <w:sz w:val="24"/>
          <w:szCs w:val="24"/>
          <w:lang w:val="hy-AM"/>
        </w:rPr>
        <w:t>Ընթացիկ</w:t>
      </w:r>
      <w:r w:rsidRPr="00C33DD7">
        <w:rPr>
          <w:rFonts w:ascii="GHEA Grapalat" w:hAnsi="GHEA Grapalat"/>
          <w:b/>
          <w:sz w:val="24"/>
          <w:szCs w:val="24"/>
          <w:lang w:val="hy-AM"/>
        </w:rPr>
        <w:t xml:space="preserve"> իրավիճակը և իրավական ակտի ընդունման անհրաժեշտությունը</w:t>
      </w:r>
      <w:r w:rsidR="00CC4E17" w:rsidRPr="00C33DD7">
        <w:rPr>
          <w:rFonts w:ascii="Cambria Math" w:hAnsi="Cambria Math" w:cs="Cambria Math"/>
          <w:b/>
          <w:sz w:val="24"/>
          <w:szCs w:val="24"/>
          <w:lang w:val="hy-AM"/>
        </w:rPr>
        <w:t>․</w:t>
      </w:r>
    </w:p>
    <w:p w14:paraId="5F4420E9" w14:textId="1391F1BE" w:rsidR="006B3339" w:rsidRDefault="00205412" w:rsidP="006B3339">
      <w:pPr>
        <w:spacing w:line="360" w:lineRule="auto"/>
        <w:ind w:right="-421" w:firstLine="567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33DD7">
        <w:rPr>
          <w:rFonts w:ascii="GHEA Grapalat" w:hAnsi="GHEA Grapalat"/>
          <w:bCs/>
          <w:sz w:val="24"/>
          <w:szCs w:val="24"/>
          <w:lang w:val="hy-AM"/>
        </w:rPr>
        <w:t xml:space="preserve">Սույն թվականի </w:t>
      </w:r>
      <w:r w:rsidR="004A27E3" w:rsidRPr="00C33DD7">
        <w:rPr>
          <w:rFonts w:ascii="GHEA Grapalat" w:hAnsi="GHEA Grapalat"/>
          <w:bCs/>
          <w:sz w:val="24"/>
          <w:szCs w:val="24"/>
          <w:lang w:val="hy-AM"/>
        </w:rPr>
        <w:t xml:space="preserve">փետրվարի 10-ին </w:t>
      </w:r>
      <w:r w:rsidRPr="00C33DD7">
        <w:rPr>
          <w:rFonts w:ascii="GHEA Grapalat" w:hAnsi="GHEA Grapalat"/>
          <w:bCs/>
          <w:sz w:val="24"/>
          <w:szCs w:val="24"/>
          <w:lang w:val="hy-AM"/>
        </w:rPr>
        <w:t xml:space="preserve">Հայաստանի Հանրապետության Ազգային ժողովի կողմից </w:t>
      </w:r>
      <w:hyperlink r:id="rId6" w:anchor="r10183" w:tgtFrame="_new" w:history="1">
        <w:r w:rsidRPr="00C33DD7">
          <w:rPr>
            <w:rFonts w:ascii="Calibri" w:hAnsi="Calibri" w:cs="Calibri"/>
            <w:bCs/>
            <w:sz w:val="24"/>
            <w:szCs w:val="24"/>
            <w:lang w:val="hy-AM"/>
          </w:rPr>
          <w:t> </w:t>
        </w:r>
        <w:r w:rsidRPr="00C33DD7">
          <w:rPr>
            <w:rFonts w:ascii="GHEA Grapalat" w:hAnsi="GHEA Grapalat"/>
            <w:bCs/>
            <w:sz w:val="24"/>
            <w:szCs w:val="24"/>
            <w:lang w:val="hy-AM"/>
          </w:rPr>
          <w:t>երկրորդ ընթերցմամբ և ամբողջությամբ</w:t>
        </w:r>
      </w:hyperlink>
      <w:r w:rsidRPr="00C33DD7">
        <w:rPr>
          <w:rFonts w:ascii="GHEA Grapalat" w:hAnsi="GHEA Grapalat"/>
          <w:bCs/>
          <w:sz w:val="24"/>
          <w:szCs w:val="24"/>
          <w:lang w:val="hy-AM"/>
        </w:rPr>
        <w:t xml:space="preserve"> ընդունվել են  </w:t>
      </w:r>
      <w:r w:rsidR="004A27E3" w:rsidRPr="004A27E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«</w:t>
      </w:r>
      <w:r w:rsidR="004A27E3" w:rsidRPr="007E382F">
        <w:rPr>
          <w:rFonts w:ascii="GHEA Grapalat" w:eastAsia="Times New Roman" w:hAnsi="GHEA Grapalat" w:cs="Times New Roman"/>
          <w:b/>
          <w:bCs/>
          <w:i/>
          <w:sz w:val="24"/>
          <w:szCs w:val="24"/>
          <w:lang w:val="hy-AM"/>
        </w:rPr>
        <w:t>Դ</w:t>
      </w:r>
      <w:r w:rsidR="00C04B83" w:rsidRPr="007E382F">
        <w:rPr>
          <w:rFonts w:ascii="GHEA Grapalat" w:eastAsia="Times New Roman" w:hAnsi="GHEA Grapalat" w:cs="Times New Roman"/>
          <w:b/>
          <w:bCs/>
          <w:i/>
          <w:sz w:val="24"/>
          <w:szCs w:val="24"/>
          <w:lang w:val="hy-AM"/>
        </w:rPr>
        <w:t xml:space="preserve">եղերի մասին» օրենքում լրացումներ կատարելու մասին», «Հայաստանի Հանրապետությունում ստուգումների կազմակերպման և անցկացման մասին» օրենքում </w:t>
      </w:r>
      <w:r w:rsidR="009E5EDA" w:rsidRPr="007E382F">
        <w:rPr>
          <w:rFonts w:ascii="GHEA Grapalat" w:eastAsia="Times New Roman" w:hAnsi="GHEA Grapalat" w:cs="Times New Roman"/>
          <w:b/>
          <w:bCs/>
          <w:i/>
          <w:sz w:val="24"/>
          <w:szCs w:val="24"/>
          <w:lang w:val="hy-AM"/>
        </w:rPr>
        <w:t xml:space="preserve"> լրացումներ և </w:t>
      </w:r>
      <w:r w:rsidR="00C04B83" w:rsidRPr="007E382F">
        <w:rPr>
          <w:rFonts w:ascii="GHEA Grapalat" w:eastAsia="Times New Roman" w:hAnsi="GHEA Grapalat" w:cs="Times New Roman"/>
          <w:b/>
          <w:bCs/>
          <w:i/>
          <w:sz w:val="24"/>
          <w:szCs w:val="24"/>
          <w:lang w:val="hy-AM"/>
        </w:rPr>
        <w:t>փոփոխություն</w:t>
      </w:r>
      <w:r w:rsidR="009E5EDA" w:rsidRPr="007E382F">
        <w:rPr>
          <w:rFonts w:ascii="GHEA Grapalat" w:eastAsia="Times New Roman" w:hAnsi="GHEA Grapalat" w:cs="Times New Roman"/>
          <w:b/>
          <w:bCs/>
          <w:i/>
          <w:sz w:val="24"/>
          <w:szCs w:val="24"/>
          <w:lang w:val="hy-AM"/>
        </w:rPr>
        <w:t>ներ</w:t>
      </w:r>
      <w:r w:rsidR="00C04B83" w:rsidRPr="007E382F">
        <w:rPr>
          <w:rFonts w:ascii="GHEA Grapalat" w:eastAsia="Times New Roman" w:hAnsi="GHEA Grapalat" w:cs="Times New Roman"/>
          <w:b/>
          <w:bCs/>
          <w:i/>
          <w:sz w:val="24"/>
          <w:szCs w:val="24"/>
          <w:lang w:val="hy-AM"/>
        </w:rPr>
        <w:t xml:space="preserve"> կատարելու մասին», «Հայաստանի Հանրապետության առևտրի և ծառայությունների մասին» օրենքում լրացում կատարելու մասին»</w:t>
      </w:r>
      <w:bookmarkStart w:id="1" w:name="_GoBack"/>
      <w:bookmarkEnd w:id="1"/>
      <w:r w:rsidR="00C04B83" w:rsidRPr="007E382F">
        <w:rPr>
          <w:rFonts w:ascii="GHEA Grapalat" w:eastAsia="Times New Roman" w:hAnsi="GHEA Grapalat" w:cs="Times New Roman"/>
          <w:b/>
          <w:bCs/>
          <w:i/>
          <w:sz w:val="24"/>
          <w:szCs w:val="24"/>
          <w:lang w:val="hy-AM"/>
        </w:rPr>
        <w:t>, «Վարչական իրավախախտումների վերաբերյալ Հայաստանի Հանրապետության օրենսգրքում փոփոխություններ և լրացում կատարելու մասին» օրենքները:</w:t>
      </w:r>
      <w:r w:rsidR="00C04B83" w:rsidRPr="007E382F">
        <w:rPr>
          <w:rFonts w:ascii="Calibri" w:eastAsia="Times New Roman" w:hAnsi="Calibri" w:cs="Calibri"/>
          <w:b/>
          <w:bCs/>
          <w:i/>
          <w:color w:val="000000"/>
          <w:sz w:val="24"/>
          <w:szCs w:val="24"/>
          <w:lang w:val="hy-AM"/>
        </w:rPr>
        <w:t xml:space="preserve"> </w:t>
      </w:r>
      <w:r w:rsidR="004D3B65" w:rsidRPr="007E382F">
        <w:rPr>
          <w:rFonts w:ascii="GHEA Grapalat" w:hAnsi="GHEA Grapalat"/>
          <w:bCs/>
          <w:i/>
          <w:sz w:val="24"/>
          <w:szCs w:val="24"/>
          <w:lang w:val="hy-AM"/>
        </w:rPr>
        <w:tab/>
      </w:r>
      <w:r w:rsidR="004D3B65" w:rsidRPr="007E382F">
        <w:rPr>
          <w:rFonts w:ascii="GHEA Grapalat" w:hAnsi="GHEA Grapalat"/>
          <w:bCs/>
          <w:i/>
          <w:sz w:val="24"/>
          <w:szCs w:val="24"/>
          <w:lang w:val="hy-AM"/>
        </w:rPr>
        <w:tab/>
      </w:r>
      <w:r w:rsidR="004D3B65">
        <w:rPr>
          <w:rFonts w:ascii="GHEA Grapalat" w:hAnsi="GHEA Grapalat"/>
          <w:bCs/>
          <w:sz w:val="24"/>
          <w:szCs w:val="24"/>
          <w:lang w:val="hy-AM"/>
        </w:rPr>
        <w:tab/>
      </w:r>
      <w:r w:rsidR="004D3B65">
        <w:rPr>
          <w:rFonts w:ascii="GHEA Grapalat" w:hAnsi="GHEA Grapalat"/>
          <w:bCs/>
          <w:sz w:val="24"/>
          <w:szCs w:val="24"/>
          <w:lang w:val="hy-AM"/>
        </w:rPr>
        <w:tab/>
      </w:r>
      <w:r w:rsidR="004D3B65">
        <w:rPr>
          <w:rFonts w:ascii="GHEA Grapalat" w:hAnsi="GHEA Grapalat"/>
          <w:bCs/>
          <w:sz w:val="24"/>
          <w:szCs w:val="24"/>
          <w:lang w:val="hy-AM"/>
        </w:rPr>
        <w:tab/>
      </w:r>
      <w:r w:rsidRPr="00666523">
        <w:rPr>
          <w:rFonts w:ascii="GHEA Grapalat" w:hAnsi="GHEA Grapalat"/>
          <w:sz w:val="24"/>
          <w:szCs w:val="24"/>
          <w:lang w:val="hy-AM"/>
        </w:rPr>
        <w:t xml:space="preserve">Օրենքներով </w:t>
      </w:r>
      <w:r w:rsidR="00C20567">
        <w:rPr>
          <w:rFonts w:ascii="GHEA Grapalat" w:eastAsia="Calibri" w:hAnsi="GHEA Grapalat" w:cs="Times New Roman"/>
          <w:sz w:val="24"/>
          <w:lang w:val="hy-AM"/>
        </w:rPr>
        <w:t xml:space="preserve">կարգավորվել </w:t>
      </w:r>
      <w:r w:rsidR="00BD2E4D">
        <w:rPr>
          <w:rFonts w:ascii="GHEA Grapalat" w:eastAsia="Calibri" w:hAnsi="GHEA Grapalat" w:cs="Times New Roman"/>
          <w:sz w:val="24"/>
          <w:lang w:val="hy-AM"/>
        </w:rPr>
        <w:t>են</w:t>
      </w:r>
      <w:r w:rsidR="00C20567" w:rsidRPr="00C20567">
        <w:rPr>
          <w:rFonts w:ascii="GHEA Grapalat" w:eastAsia="Calibri" w:hAnsi="GHEA Grapalat" w:cs="Times New Roman"/>
          <w:sz w:val="24"/>
          <w:lang w:val="hy-AM"/>
        </w:rPr>
        <w:t xml:space="preserve"> դեղերի շրջանառության ոլորտում պետական վերահսկողության, մասնավորապես՝ հսկիչ գնումների իրականացման հետ կապված հարաբերությունները</w:t>
      </w:r>
      <w:r w:rsidR="00BD2E4D">
        <w:rPr>
          <w:rFonts w:ascii="GHEA Grapalat" w:eastAsia="Calibri" w:hAnsi="GHEA Grapalat" w:cs="Times New Roman"/>
          <w:sz w:val="24"/>
          <w:lang w:val="hy-AM"/>
        </w:rPr>
        <w:t>, մասնավորապես՝ սահմանվել են դրույթներ</w:t>
      </w:r>
      <w:r w:rsidR="00C33DD7">
        <w:rPr>
          <w:rFonts w:ascii="GHEA Grapalat" w:eastAsia="Calibri" w:hAnsi="GHEA Grapalat" w:cs="Times New Roman"/>
          <w:sz w:val="24"/>
          <w:lang w:val="hy-AM"/>
        </w:rPr>
        <w:t xml:space="preserve"> առ այն, որ</w:t>
      </w:r>
      <w:r w:rsidR="00BD2E4D">
        <w:rPr>
          <w:rFonts w:ascii="GHEA Grapalat" w:eastAsia="Calibri" w:hAnsi="GHEA Grapalat" w:cs="Times New Roman"/>
          <w:sz w:val="24"/>
          <w:lang w:val="hy-AM"/>
        </w:rPr>
        <w:t xml:space="preserve"> դեղերի շրջանառության ոլորտում վերահսկողություն իրականացնող տեսչական </w:t>
      </w:r>
      <w:r w:rsidR="00C33DD7">
        <w:rPr>
          <w:rFonts w:ascii="GHEA Grapalat" w:eastAsia="Calibri" w:hAnsi="GHEA Grapalat" w:cs="Times New Roman"/>
          <w:sz w:val="24"/>
          <w:lang w:val="hy-AM"/>
        </w:rPr>
        <w:t>մարմինը</w:t>
      </w:r>
      <w:r w:rsidR="00BD2E4D">
        <w:rPr>
          <w:rFonts w:ascii="GHEA Grapalat" w:eastAsia="Calibri" w:hAnsi="GHEA Grapalat" w:cs="Times New Roman"/>
          <w:sz w:val="24"/>
          <w:lang w:val="hy-AM"/>
        </w:rPr>
        <w:t xml:space="preserve"> </w:t>
      </w:r>
      <w:r w:rsidR="00C33DD7">
        <w:rPr>
          <w:rFonts w:ascii="GHEA Grapalat" w:eastAsia="Calibri" w:hAnsi="GHEA Grapalat" w:cs="Times New Roman"/>
          <w:sz w:val="24"/>
          <w:lang w:val="hy-AM"/>
        </w:rPr>
        <w:t xml:space="preserve">իրականացվող </w:t>
      </w:r>
      <w:r w:rsidR="00BD2E4D">
        <w:rPr>
          <w:rFonts w:ascii="GHEA Grapalat" w:eastAsia="Calibri" w:hAnsi="GHEA Grapalat" w:cs="Times New Roman"/>
          <w:sz w:val="24"/>
          <w:lang w:val="hy-AM"/>
        </w:rPr>
        <w:t xml:space="preserve">ստուգումների շրջանակում </w:t>
      </w:r>
      <w:r w:rsidR="00C33DD7">
        <w:rPr>
          <w:rFonts w:ascii="GHEA Grapalat" w:eastAsia="Calibri" w:hAnsi="GHEA Grapalat" w:cs="Times New Roman"/>
          <w:sz w:val="24"/>
          <w:lang w:val="hy-AM"/>
        </w:rPr>
        <w:t xml:space="preserve">կարող է կատարել նաև հսկիչ գնում: </w:t>
      </w:r>
      <w:r w:rsidR="003C35BD">
        <w:rPr>
          <w:rFonts w:ascii="GHEA Grapalat" w:eastAsia="Calibri" w:hAnsi="GHEA Grapalat" w:cs="Times New Roman"/>
          <w:sz w:val="24"/>
          <w:lang w:val="hy-AM"/>
        </w:rPr>
        <w:t xml:space="preserve">     </w:t>
      </w:r>
      <w:r w:rsidR="00C33DD7">
        <w:rPr>
          <w:rFonts w:ascii="GHEA Grapalat" w:eastAsia="Calibri" w:hAnsi="GHEA Grapalat" w:cs="Times New Roman"/>
          <w:sz w:val="24"/>
          <w:lang w:val="hy-AM"/>
        </w:rPr>
        <w:t>Միաժամանակ, հսկիչ գնման իրականացման և գնված ապրանքների տնօրինման կարգը սահմանելու լիազորությունը վերապահվել է ՀՀ Կառավարությանը:</w:t>
      </w:r>
      <w:r w:rsidR="003C35BD">
        <w:rPr>
          <w:rFonts w:ascii="GHEA Grapalat" w:hAnsi="GHEA Grapalat"/>
          <w:bCs/>
          <w:sz w:val="24"/>
          <w:szCs w:val="24"/>
          <w:lang w:val="hy-AM"/>
        </w:rPr>
        <w:tab/>
      </w:r>
      <w:r w:rsidR="003C35BD">
        <w:rPr>
          <w:rFonts w:ascii="GHEA Grapalat" w:hAnsi="GHEA Grapalat"/>
          <w:bCs/>
          <w:sz w:val="24"/>
          <w:szCs w:val="24"/>
          <w:lang w:val="hy-AM"/>
        </w:rPr>
        <w:tab/>
      </w:r>
      <w:r w:rsidR="003C35BD">
        <w:rPr>
          <w:rFonts w:ascii="GHEA Grapalat" w:hAnsi="GHEA Grapalat"/>
          <w:bCs/>
          <w:sz w:val="24"/>
          <w:szCs w:val="24"/>
          <w:lang w:val="hy-AM"/>
        </w:rPr>
        <w:tab/>
      </w:r>
      <w:r w:rsidR="003C35BD">
        <w:rPr>
          <w:rFonts w:ascii="GHEA Grapalat" w:hAnsi="GHEA Grapalat"/>
          <w:bCs/>
          <w:sz w:val="24"/>
          <w:szCs w:val="24"/>
          <w:lang w:val="hy-AM"/>
        </w:rPr>
        <w:tab/>
      </w:r>
      <w:r w:rsidR="00DD0A87" w:rsidRPr="00666523">
        <w:rPr>
          <w:rFonts w:ascii="GHEA Grapalat" w:eastAsia="Calibri" w:hAnsi="GHEA Grapalat" w:cs="Times New Roman"/>
          <w:sz w:val="24"/>
          <w:szCs w:val="24"/>
          <w:lang w:val="hy-AM"/>
        </w:rPr>
        <w:t xml:space="preserve">Հիմք ընդունելով </w:t>
      </w:r>
      <w:r w:rsidR="009F0CE6" w:rsidRPr="00666523">
        <w:rPr>
          <w:rFonts w:ascii="GHEA Grapalat" w:eastAsia="Calibri" w:hAnsi="GHEA Grapalat" w:cs="Times New Roman"/>
          <w:sz w:val="24"/>
          <w:szCs w:val="24"/>
          <w:lang w:val="hy-AM"/>
        </w:rPr>
        <w:t>վերոգրյալը</w:t>
      </w:r>
      <w:r w:rsidR="00C55D2B" w:rsidRPr="00666523">
        <w:rPr>
          <w:rFonts w:ascii="GHEA Grapalat" w:eastAsia="Calibri" w:hAnsi="GHEA Grapalat" w:cs="Times New Roman"/>
          <w:sz w:val="24"/>
          <w:szCs w:val="24"/>
          <w:lang w:val="hy-AM"/>
        </w:rPr>
        <w:t xml:space="preserve">՝ </w:t>
      </w:r>
      <w:r w:rsidR="00AC3BB0">
        <w:rPr>
          <w:rFonts w:ascii="GHEA Grapalat" w:eastAsia="Calibri" w:hAnsi="GHEA Grapalat" w:cs="Times New Roman"/>
          <w:sz w:val="24"/>
          <w:szCs w:val="24"/>
          <w:lang w:val="hy-AM"/>
        </w:rPr>
        <w:t xml:space="preserve">սույն թվականի մարտի 24-ին հաստատվել է ՀՀ Վարչապետի թիվ 338-Ա որոշումը, որով </w:t>
      </w:r>
      <w:r w:rsidR="006B3339">
        <w:rPr>
          <w:rFonts w:ascii="GHEA Grapalat" w:eastAsia="Calibri" w:hAnsi="GHEA Grapalat" w:cs="Times New Roman"/>
          <w:sz w:val="24"/>
          <w:szCs w:val="24"/>
          <w:lang w:val="hy-AM"/>
        </w:rPr>
        <w:t>հաստատվել է վերոգրյալ օրենքների կիրարկումն ապահովող միջոցառումների ցանկը, մասնավորապես՝</w:t>
      </w:r>
      <w:r w:rsidR="006B3339" w:rsidRPr="006B3339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 </w:t>
      </w:r>
      <w:r w:rsidR="006B3339" w:rsidRPr="006B3339">
        <w:rPr>
          <w:rFonts w:ascii="GHEA Grapalat" w:eastAsia="Calibri" w:hAnsi="GHEA Grapalat" w:cs="Times New Roman"/>
          <w:sz w:val="24"/>
          <w:szCs w:val="24"/>
          <w:lang w:val="hy-AM"/>
        </w:rPr>
        <w:t xml:space="preserve">«Դեղերի շրջանառության ոլորտում պետական վերահսկողություն իրականացնող տեսչական մարմնի կողմից իրականացվող ստուգումների շրջանակում հսկիչ գնումների իրականացման, ինչպես նաև հսկիչ գնումների արդյունքում ձեռք բերված ապրանքների  </w:t>
      </w:r>
      <w:r w:rsidR="006B3339" w:rsidRPr="006B3339">
        <w:rPr>
          <w:rFonts w:ascii="GHEA Grapalat" w:eastAsia="Calibri" w:hAnsi="GHEA Grapalat" w:cs="Times New Roman"/>
          <w:sz w:val="24"/>
          <w:szCs w:val="24"/>
          <w:lang w:val="hy-AM"/>
        </w:rPr>
        <w:lastRenderedPageBreak/>
        <w:t xml:space="preserve">տնօրինման կարգը սահմանելու մասին» Հայաստանի Հանրապետության կառավարության </w:t>
      </w:r>
      <w:r w:rsidR="006B3339">
        <w:rPr>
          <w:rFonts w:ascii="GHEA Grapalat" w:eastAsia="Calibri" w:hAnsi="GHEA Grapalat" w:cs="Times New Roman"/>
          <w:sz w:val="24"/>
          <w:szCs w:val="24"/>
          <w:lang w:val="hy-AM"/>
        </w:rPr>
        <w:t xml:space="preserve">որոշման նախագծի՝ </w:t>
      </w:r>
      <w:r w:rsidR="006B3339" w:rsidRPr="006B3339">
        <w:rPr>
          <w:rFonts w:ascii="GHEA Grapalat" w:eastAsia="Calibri" w:hAnsi="GHEA Grapalat" w:cs="Times New Roman"/>
          <w:sz w:val="24"/>
          <w:szCs w:val="24"/>
          <w:lang w:val="hy-AM"/>
        </w:rPr>
        <w:t xml:space="preserve">Վարչապետի աշխատակազմ </w:t>
      </w:r>
      <w:r w:rsidR="006B3339">
        <w:rPr>
          <w:rFonts w:ascii="GHEA Grapalat" w:eastAsia="Calibri" w:hAnsi="GHEA Grapalat" w:cs="Times New Roman"/>
          <w:sz w:val="24"/>
          <w:szCs w:val="24"/>
          <w:lang w:val="hy-AM"/>
        </w:rPr>
        <w:t>ներկայացման ժամկետ է սահմանվել սույն թվականի մայիսի 2-րդ տասնօրյակը:</w:t>
      </w:r>
    </w:p>
    <w:p w14:paraId="7163ABE1" w14:textId="7404635A" w:rsidR="00583D7F" w:rsidRPr="00666523" w:rsidRDefault="00583D7F" w:rsidP="00634AE8">
      <w:pPr>
        <w:pStyle w:val="ListParagraph"/>
        <w:numPr>
          <w:ilvl w:val="0"/>
          <w:numId w:val="5"/>
        </w:numPr>
        <w:spacing w:after="0" w:line="276" w:lineRule="auto"/>
        <w:ind w:left="851" w:right="-421"/>
        <w:jc w:val="both"/>
        <w:rPr>
          <w:rFonts w:ascii="GHEA Grapalat" w:hAnsi="GHEA Grapalat" w:cs="Courier New"/>
          <w:b/>
          <w:sz w:val="24"/>
          <w:szCs w:val="24"/>
          <w:lang w:val="hy-AM"/>
        </w:rPr>
      </w:pPr>
      <w:r w:rsidRPr="00666523">
        <w:rPr>
          <w:rFonts w:ascii="GHEA Grapalat" w:hAnsi="GHEA Grapalat" w:cs="Courier New"/>
          <w:b/>
          <w:sz w:val="24"/>
          <w:szCs w:val="24"/>
          <w:lang w:val="hy-AM"/>
        </w:rPr>
        <w:t>Առաջարկվող կագավորումների բնույթը</w:t>
      </w:r>
      <w:r w:rsidR="00D1529A" w:rsidRPr="00666523">
        <w:rPr>
          <w:rFonts w:ascii="Cambria Math" w:hAnsi="Cambria Math" w:cs="Cambria Math"/>
          <w:b/>
          <w:sz w:val="24"/>
          <w:szCs w:val="24"/>
          <w:lang w:val="hy-AM"/>
        </w:rPr>
        <w:t>․</w:t>
      </w:r>
    </w:p>
    <w:p w14:paraId="17C5B8D3" w14:textId="123FFDFE" w:rsidR="00583D7F" w:rsidRPr="00B16F2A" w:rsidRDefault="00583D7F" w:rsidP="00B16F2A">
      <w:pPr>
        <w:tabs>
          <w:tab w:val="left" w:pos="851"/>
        </w:tabs>
        <w:spacing w:after="0" w:line="360" w:lineRule="auto"/>
        <w:ind w:right="-421" w:firstLine="539"/>
        <w:jc w:val="both"/>
        <w:rPr>
          <w:rFonts w:ascii="GHEA Grapalat" w:hAnsi="GHEA Grapalat"/>
          <w:sz w:val="24"/>
          <w:szCs w:val="24"/>
          <w:lang w:val="hy-AM"/>
        </w:rPr>
      </w:pPr>
      <w:r w:rsidRPr="00666523">
        <w:rPr>
          <w:rFonts w:ascii="GHEA Grapalat" w:hAnsi="GHEA Grapalat"/>
          <w:sz w:val="24"/>
          <w:szCs w:val="24"/>
          <w:lang w:val="hy-AM"/>
        </w:rPr>
        <w:t xml:space="preserve">Նախագծով առաջարկվում է սահմանել </w:t>
      </w:r>
      <w:r w:rsidR="007E382F">
        <w:rPr>
          <w:rFonts w:ascii="GHEA Grapalat" w:hAnsi="GHEA Grapalat"/>
          <w:sz w:val="24"/>
          <w:szCs w:val="24"/>
          <w:lang w:val="hy-AM"/>
        </w:rPr>
        <w:t>դ</w:t>
      </w:r>
      <w:r w:rsidR="006B3339" w:rsidRPr="006B3339">
        <w:rPr>
          <w:rFonts w:ascii="GHEA Grapalat" w:hAnsi="GHEA Grapalat"/>
          <w:sz w:val="24"/>
          <w:szCs w:val="24"/>
          <w:lang w:val="hy-AM"/>
        </w:rPr>
        <w:t>եղերի շրջանառության ոլորտում պետական վերահսկողություն իրականացնող տեսչական մարմնի կողմից իրականացվող ստուգումների շրջանակում հսկիչ գնումների իրականացման, ինչպես նաև հսկիչ գնումների արդյունքում ձեռք բերված ապրանքների  տնօրինման կարգը</w:t>
      </w:r>
      <w:r w:rsidR="00B16F2A">
        <w:rPr>
          <w:rFonts w:ascii="GHEA Grapalat" w:hAnsi="GHEA Grapalat"/>
          <w:sz w:val="24"/>
          <w:szCs w:val="24"/>
          <w:lang w:val="hy-AM"/>
        </w:rPr>
        <w:t xml:space="preserve">: </w:t>
      </w:r>
      <w:r w:rsidR="006B3339" w:rsidRPr="006B3339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17503838" w14:textId="77777777" w:rsidR="00583D7F" w:rsidRPr="00666523" w:rsidRDefault="00583D7F" w:rsidP="00092DBE">
      <w:pPr>
        <w:pStyle w:val="ListParagraph"/>
        <w:numPr>
          <w:ilvl w:val="0"/>
          <w:numId w:val="5"/>
        </w:numPr>
        <w:tabs>
          <w:tab w:val="left" w:pos="851"/>
        </w:tabs>
        <w:spacing w:after="0" w:line="360" w:lineRule="auto"/>
        <w:ind w:left="0" w:right="-421" w:firstLine="539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666523">
        <w:rPr>
          <w:rFonts w:ascii="GHEA Grapalat" w:hAnsi="GHEA Grapalat" w:cs="Courier New"/>
          <w:b/>
          <w:sz w:val="24"/>
          <w:szCs w:val="24"/>
          <w:lang w:val="hy-AM"/>
        </w:rPr>
        <w:t>Նախագծի մշակման գործընթացում ներգրավված ինստիտուտները և անձինք</w:t>
      </w:r>
      <w:r w:rsidR="00D1529A" w:rsidRPr="00666523">
        <w:rPr>
          <w:rFonts w:ascii="Cambria Math" w:hAnsi="Cambria Math" w:cs="Cambria Math"/>
          <w:b/>
          <w:sz w:val="24"/>
          <w:szCs w:val="24"/>
          <w:lang w:val="hy-AM"/>
        </w:rPr>
        <w:t>․</w:t>
      </w:r>
    </w:p>
    <w:p w14:paraId="7B896D58" w14:textId="5D84A80C" w:rsidR="00583D7F" w:rsidRPr="00666523" w:rsidRDefault="00583D7F" w:rsidP="00092DBE">
      <w:pPr>
        <w:tabs>
          <w:tab w:val="left" w:pos="851"/>
        </w:tabs>
        <w:spacing w:after="0" w:line="360" w:lineRule="auto"/>
        <w:ind w:right="-421" w:firstLine="539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666523">
        <w:rPr>
          <w:rFonts w:ascii="GHEA Grapalat" w:hAnsi="GHEA Grapalat"/>
          <w:sz w:val="24"/>
          <w:szCs w:val="24"/>
          <w:lang w:val="hy-AM"/>
        </w:rPr>
        <w:t xml:space="preserve">Նախագիծը մշակվել է </w:t>
      </w:r>
      <w:r w:rsidR="00B16F2A">
        <w:rPr>
          <w:rFonts w:ascii="GHEA Grapalat" w:hAnsi="GHEA Grapalat"/>
          <w:sz w:val="24"/>
          <w:szCs w:val="24"/>
          <w:lang w:val="hy-AM"/>
        </w:rPr>
        <w:t xml:space="preserve">Առողջապահական և աշխատանքի տեսչական մարմնի </w:t>
      </w:r>
      <w:r w:rsidR="007E382F">
        <w:rPr>
          <w:rFonts w:ascii="GHEA Grapalat" w:hAnsi="GHEA Grapalat"/>
          <w:sz w:val="24"/>
          <w:szCs w:val="24"/>
          <w:lang w:val="hy-AM"/>
        </w:rPr>
        <w:t>ու</w:t>
      </w:r>
      <w:r w:rsidR="00B16F2A">
        <w:rPr>
          <w:rFonts w:ascii="GHEA Grapalat" w:hAnsi="GHEA Grapalat"/>
          <w:sz w:val="24"/>
          <w:szCs w:val="24"/>
          <w:lang w:val="hy-AM"/>
        </w:rPr>
        <w:t xml:space="preserve"> </w:t>
      </w:r>
      <w:r w:rsidR="00794C09" w:rsidRPr="00666523">
        <w:rPr>
          <w:rFonts w:ascii="GHEA Grapalat" w:hAnsi="GHEA Grapalat"/>
          <w:sz w:val="24"/>
          <w:szCs w:val="24"/>
          <w:lang w:val="hy-AM"/>
        </w:rPr>
        <w:t>տեսչական մարմինների աշխատանքների համակարգման գրասենյակի</w:t>
      </w:r>
      <w:r w:rsidR="00743D2B" w:rsidRPr="00666523">
        <w:rPr>
          <w:rFonts w:ascii="GHEA Grapalat" w:hAnsi="GHEA Grapalat"/>
          <w:sz w:val="24"/>
          <w:szCs w:val="24"/>
          <w:lang w:val="hy-AM"/>
        </w:rPr>
        <w:t xml:space="preserve"> կողմից</w:t>
      </w:r>
      <w:r w:rsidR="00B16F2A">
        <w:rPr>
          <w:rFonts w:ascii="GHEA Grapalat" w:hAnsi="GHEA Grapalat"/>
          <w:sz w:val="24"/>
          <w:szCs w:val="24"/>
          <w:lang w:val="hy-AM"/>
        </w:rPr>
        <w:t>՝ համատեղ</w:t>
      </w:r>
      <w:r w:rsidR="009D1704" w:rsidRPr="00666523">
        <w:rPr>
          <w:rFonts w:ascii="GHEA Grapalat" w:hAnsi="GHEA Grapalat"/>
          <w:sz w:val="24"/>
          <w:szCs w:val="24"/>
          <w:lang w:val="hy-AM"/>
        </w:rPr>
        <w:t>։</w:t>
      </w:r>
    </w:p>
    <w:p w14:paraId="6234C13A" w14:textId="77777777" w:rsidR="00583D7F" w:rsidRPr="00666523" w:rsidRDefault="00583D7F" w:rsidP="00092DBE">
      <w:pPr>
        <w:pStyle w:val="ListParagraph"/>
        <w:numPr>
          <w:ilvl w:val="0"/>
          <w:numId w:val="5"/>
        </w:numPr>
        <w:tabs>
          <w:tab w:val="left" w:pos="851"/>
        </w:tabs>
        <w:spacing w:after="0" w:line="360" w:lineRule="auto"/>
        <w:ind w:left="0" w:right="-421" w:firstLine="539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666523">
        <w:rPr>
          <w:rFonts w:ascii="GHEA Grapalat" w:hAnsi="GHEA Grapalat"/>
          <w:b/>
          <w:sz w:val="24"/>
          <w:szCs w:val="24"/>
          <w:lang w:val="hy-AM"/>
        </w:rPr>
        <w:t>Ակնկալվող արդյունքը</w:t>
      </w:r>
      <w:r w:rsidR="00D1529A" w:rsidRPr="00666523">
        <w:rPr>
          <w:rFonts w:ascii="Cambria Math" w:hAnsi="Cambria Math" w:cs="Cambria Math"/>
          <w:b/>
          <w:sz w:val="24"/>
          <w:szCs w:val="24"/>
          <w:lang w:val="hy-AM"/>
        </w:rPr>
        <w:t>․</w:t>
      </w:r>
    </w:p>
    <w:p w14:paraId="47DD0BD8" w14:textId="7583323D" w:rsidR="00CB0EF3" w:rsidRDefault="00583D7F" w:rsidP="00CB0EF3">
      <w:pPr>
        <w:tabs>
          <w:tab w:val="left" w:pos="851"/>
        </w:tabs>
        <w:spacing w:after="0" w:line="360" w:lineRule="auto"/>
        <w:ind w:right="-421" w:firstLine="53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66523">
        <w:rPr>
          <w:rFonts w:ascii="GHEA Grapalat" w:hAnsi="GHEA Grapalat" w:cs="Sylfaen"/>
          <w:sz w:val="24"/>
          <w:szCs w:val="24"/>
          <w:lang w:val="hy-AM"/>
        </w:rPr>
        <w:t xml:space="preserve">Նախագծի ընդունմամբ </w:t>
      </w:r>
      <w:r w:rsidR="007E382F">
        <w:rPr>
          <w:rFonts w:ascii="GHEA Grapalat" w:hAnsi="GHEA Grapalat" w:cs="Sylfaen"/>
          <w:sz w:val="24"/>
          <w:szCs w:val="24"/>
          <w:lang w:val="hy-AM"/>
        </w:rPr>
        <w:t xml:space="preserve">կսահմանվի </w:t>
      </w:r>
      <w:r w:rsidR="007E382F" w:rsidRPr="007E382F">
        <w:rPr>
          <w:rFonts w:ascii="GHEA Grapalat" w:hAnsi="GHEA Grapalat" w:cs="Sylfaen"/>
          <w:sz w:val="24"/>
          <w:szCs w:val="24"/>
          <w:lang w:val="hy-AM"/>
        </w:rPr>
        <w:t xml:space="preserve">դեղերի շրջանառության ոլորտում պետական վերահսկողություն իրականացնող տեսչական մարմնի կողմից իրականացվող ստուգումների շրջանակում հսկիչ գնումների իրականացման, ինչպես նաև հսկիչ գնումների արդյունքում ձեռք բերված ապրանքների  տնօրինման </w:t>
      </w:r>
      <w:r w:rsidR="00CB0EF3">
        <w:rPr>
          <w:rFonts w:ascii="GHEA Grapalat" w:hAnsi="GHEA Grapalat" w:cs="Sylfaen"/>
          <w:sz w:val="24"/>
          <w:szCs w:val="24"/>
          <w:lang w:val="hy-AM"/>
        </w:rPr>
        <w:t>կարգը</w:t>
      </w:r>
      <w:r w:rsidR="005708CE" w:rsidRPr="005708CE">
        <w:rPr>
          <w:rFonts w:ascii="GHEA Grapalat" w:hAnsi="GHEA Grapalat" w:cs="Sylfaen"/>
          <w:sz w:val="24"/>
          <w:szCs w:val="24"/>
          <w:lang w:val="hy-AM"/>
        </w:rPr>
        <w:t xml:space="preserve">:      </w:t>
      </w:r>
    </w:p>
    <w:p w14:paraId="2225A244" w14:textId="717591E9" w:rsidR="00A23857" w:rsidRPr="00CB0EF3" w:rsidRDefault="00A23857" w:rsidP="00CB0EF3">
      <w:pPr>
        <w:pStyle w:val="ListParagraph"/>
        <w:numPr>
          <w:ilvl w:val="0"/>
          <w:numId w:val="5"/>
        </w:numPr>
        <w:tabs>
          <w:tab w:val="left" w:pos="851"/>
        </w:tabs>
        <w:spacing w:after="0" w:line="360" w:lineRule="auto"/>
        <w:ind w:left="0" w:right="-421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B0EF3">
        <w:rPr>
          <w:rFonts w:ascii="GHEA Grapalat" w:eastAsia="Calibri" w:hAnsi="GHEA Grapalat" w:cs="Times New Roman"/>
          <w:b/>
          <w:sz w:val="24"/>
          <w:szCs w:val="24"/>
          <w:lang w:val="hy-AM"/>
        </w:rPr>
        <w:t>Կապը ռազմավարական փաստաթղթերի հետ. 2050 Հայաստանի վերափոխման ռազմավարություն, Կառավարության 2021-2026թթ. ծրագիր, ոլորտային և/կամ այլ ռազմավարություններ</w:t>
      </w:r>
      <w:r w:rsidRPr="00CB0EF3">
        <w:rPr>
          <w:rFonts w:ascii="Cambria Math" w:eastAsia="Calibri" w:hAnsi="Cambria Math" w:cs="Cambria Math"/>
          <w:b/>
          <w:sz w:val="24"/>
          <w:szCs w:val="24"/>
          <w:lang w:val="hy-AM"/>
        </w:rPr>
        <w:t>․</w:t>
      </w:r>
    </w:p>
    <w:p w14:paraId="18CEC4ED" w14:textId="77777777" w:rsidR="00A23857" w:rsidRPr="00666523" w:rsidRDefault="00A23857" w:rsidP="00E524F5">
      <w:pPr>
        <w:spacing w:after="0" w:line="360" w:lineRule="auto"/>
        <w:ind w:right="-563" w:firstLine="567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666523">
        <w:rPr>
          <w:rFonts w:ascii="GHEA Grapalat" w:eastAsia="Calibri" w:hAnsi="GHEA Grapalat" w:cs="Times New Roman"/>
          <w:sz w:val="24"/>
          <w:szCs w:val="24"/>
          <w:lang w:val="hy-AM"/>
        </w:rPr>
        <w:t>Նախագիծը չի բխում 2050 Հայաստանի վերափոխման ռազմավարության, և Կառավարության 2021-2026թթ. ծրագրերից:</w:t>
      </w:r>
    </w:p>
    <w:p w14:paraId="678914BF" w14:textId="2A1CA583" w:rsidR="00A23857" w:rsidRPr="00666523" w:rsidRDefault="005511DB" w:rsidP="00E524F5">
      <w:pPr>
        <w:spacing w:after="240" w:line="360" w:lineRule="auto"/>
        <w:ind w:right="-563" w:firstLine="720"/>
        <w:jc w:val="both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b/>
          <w:sz w:val="24"/>
          <w:szCs w:val="24"/>
          <w:lang w:val="hy-AM"/>
        </w:rPr>
        <w:t>6</w:t>
      </w:r>
      <w:r w:rsidR="00A23857" w:rsidRPr="00666523">
        <w:rPr>
          <w:rFonts w:ascii="GHEA Grapalat" w:eastAsia="Calibri" w:hAnsi="GHEA Grapalat" w:cs="Times New Roman"/>
          <w:b/>
          <w:sz w:val="24"/>
          <w:szCs w:val="24"/>
          <w:lang w:val="hy-AM"/>
        </w:rPr>
        <w:t>. Պետական</w:t>
      </w:r>
      <w:r w:rsidR="00A23857" w:rsidRPr="00666523">
        <w:rPr>
          <w:rFonts w:ascii="GHEA Grapalat" w:eastAsia="Calibri" w:hAnsi="GHEA Grapalat" w:cs="Times New Roman"/>
          <w:b/>
          <w:sz w:val="24"/>
          <w:szCs w:val="24"/>
          <w:lang w:val="af-ZA"/>
        </w:rPr>
        <w:t xml:space="preserve"> </w:t>
      </w:r>
      <w:r w:rsidR="00A23857" w:rsidRPr="00666523">
        <w:rPr>
          <w:rFonts w:ascii="GHEA Grapalat" w:eastAsia="Calibri" w:hAnsi="GHEA Grapalat" w:cs="Times New Roman"/>
          <w:b/>
          <w:sz w:val="24"/>
          <w:szCs w:val="24"/>
          <w:lang w:val="hy-AM"/>
        </w:rPr>
        <w:t>կամ</w:t>
      </w:r>
      <w:r w:rsidR="00A23857" w:rsidRPr="00666523">
        <w:rPr>
          <w:rFonts w:ascii="GHEA Grapalat" w:eastAsia="Calibri" w:hAnsi="GHEA Grapalat" w:cs="Times New Roman"/>
          <w:b/>
          <w:sz w:val="24"/>
          <w:szCs w:val="24"/>
          <w:lang w:val="af-ZA"/>
        </w:rPr>
        <w:t xml:space="preserve"> </w:t>
      </w:r>
      <w:r w:rsidR="00A23857" w:rsidRPr="00666523">
        <w:rPr>
          <w:rFonts w:ascii="GHEA Grapalat" w:eastAsia="Calibri" w:hAnsi="GHEA Grapalat" w:cs="Times New Roman"/>
          <w:b/>
          <w:sz w:val="24"/>
          <w:szCs w:val="24"/>
          <w:lang w:val="hy-AM"/>
        </w:rPr>
        <w:t>տեղական</w:t>
      </w:r>
      <w:r w:rsidR="00A23857" w:rsidRPr="00666523">
        <w:rPr>
          <w:rFonts w:ascii="GHEA Grapalat" w:eastAsia="Calibri" w:hAnsi="GHEA Grapalat" w:cs="Times New Roman"/>
          <w:b/>
          <w:sz w:val="24"/>
          <w:szCs w:val="24"/>
          <w:lang w:val="af-ZA"/>
        </w:rPr>
        <w:t xml:space="preserve"> </w:t>
      </w:r>
      <w:r w:rsidR="00A23857" w:rsidRPr="00666523">
        <w:rPr>
          <w:rFonts w:ascii="GHEA Grapalat" w:eastAsia="Calibri" w:hAnsi="GHEA Grapalat" w:cs="Times New Roman"/>
          <w:b/>
          <w:sz w:val="24"/>
          <w:szCs w:val="24"/>
          <w:lang w:val="hy-AM"/>
        </w:rPr>
        <w:t>ինքնակառավարման</w:t>
      </w:r>
      <w:r w:rsidR="00A23857" w:rsidRPr="00666523">
        <w:rPr>
          <w:rFonts w:ascii="GHEA Grapalat" w:eastAsia="Calibri" w:hAnsi="GHEA Grapalat" w:cs="Times New Roman"/>
          <w:b/>
          <w:sz w:val="24"/>
          <w:szCs w:val="24"/>
          <w:lang w:val="af-ZA"/>
        </w:rPr>
        <w:t xml:space="preserve"> </w:t>
      </w:r>
      <w:r w:rsidR="00A23857" w:rsidRPr="00666523">
        <w:rPr>
          <w:rFonts w:ascii="GHEA Grapalat" w:eastAsia="Calibri" w:hAnsi="GHEA Grapalat" w:cs="Times New Roman"/>
          <w:b/>
          <w:sz w:val="24"/>
          <w:szCs w:val="24"/>
          <w:lang w:val="hy-AM"/>
        </w:rPr>
        <w:t>մարմնի</w:t>
      </w:r>
      <w:r w:rsidR="00A23857" w:rsidRPr="00666523">
        <w:rPr>
          <w:rFonts w:ascii="GHEA Grapalat" w:eastAsia="Calibri" w:hAnsi="GHEA Grapalat" w:cs="Times New Roman"/>
          <w:b/>
          <w:sz w:val="24"/>
          <w:szCs w:val="24"/>
          <w:lang w:val="af-ZA"/>
        </w:rPr>
        <w:t xml:space="preserve"> </w:t>
      </w:r>
      <w:r w:rsidR="00A23857" w:rsidRPr="00666523">
        <w:rPr>
          <w:rFonts w:ascii="GHEA Grapalat" w:eastAsia="Calibri" w:hAnsi="GHEA Grapalat" w:cs="Times New Roman"/>
          <w:b/>
          <w:sz w:val="24"/>
          <w:szCs w:val="24"/>
          <w:lang w:val="hy-AM"/>
        </w:rPr>
        <w:t>բյուջեում</w:t>
      </w:r>
      <w:r w:rsidR="00A23857" w:rsidRPr="00666523">
        <w:rPr>
          <w:rFonts w:ascii="GHEA Grapalat" w:eastAsia="Calibri" w:hAnsi="GHEA Grapalat" w:cs="Times New Roman"/>
          <w:b/>
          <w:sz w:val="24"/>
          <w:szCs w:val="24"/>
          <w:lang w:val="af-ZA"/>
        </w:rPr>
        <w:t xml:space="preserve"> </w:t>
      </w:r>
      <w:r w:rsidR="00A23857" w:rsidRPr="00666523">
        <w:rPr>
          <w:rFonts w:ascii="GHEA Grapalat" w:eastAsia="Calibri" w:hAnsi="GHEA Grapalat" w:cs="Times New Roman"/>
          <w:b/>
          <w:sz w:val="24"/>
          <w:szCs w:val="24"/>
          <w:lang w:val="hy-AM"/>
        </w:rPr>
        <w:t>եկամուտների</w:t>
      </w:r>
      <w:r w:rsidR="00A23857" w:rsidRPr="00666523">
        <w:rPr>
          <w:rFonts w:ascii="GHEA Grapalat" w:eastAsia="Calibri" w:hAnsi="GHEA Grapalat" w:cs="Times New Roman"/>
          <w:b/>
          <w:sz w:val="24"/>
          <w:szCs w:val="24"/>
          <w:lang w:val="af-ZA"/>
        </w:rPr>
        <w:t xml:space="preserve"> </w:t>
      </w:r>
      <w:r w:rsidR="00A23857" w:rsidRPr="00666523">
        <w:rPr>
          <w:rFonts w:ascii="GHEA Grapalat" w:eastAsia="Calibri" w:hAnsi="GHEA Grapalat" w:cs="Times New Roman"/>
          <w:b/>
          <w:sz w:val="24"/>
          <w:szCs w:val="24"/>
          <w:lang w:val="hy-AM"/>
        </w:rPr>
        <w:t>և</w:t>
      </w:r>
      <w:r w:rsidR="00A23857" w:rsidRPr="00666523">
        <w:rPr>
          <w:rFonts w:ascii="GHEA Grapalat" w:eastAsia="Calibri" w:hAnsi="GHEA Grapalat" w:cs="Times New Roman"/>
          <w:b/>
          <w:sz w:val="24"/>
          <w:szCs w:val="24"/>
          <w:lang w:val="af-ZA"/>
        </w:rPr>
        <w:t xml:space="preserve"> </w:t>
      </w:r>
      <w:r w:rsidR="00A23857" w:rsidRPr="00666523">
        <w:rPr>
          <w:rFonts w:ascii="GHEA Grapalat" w:eastAsia="Calibri" w:hAnsi="GHEA Grapalat" w:cs="Times New Roman"/>
          <w:b/>
          <w:sz w:val="24"/>
          <w:szCs w:val="24"/>
          <w:lang w:val="hy-AM"/>
        </w:rPr>
        <w:t>ծախսերի</w:t>
      </w:r>
      <w:r w:rsidR="00A23857" w:rsidRPr="00666523">
        <w:rPr>
          <w:rFonts w:ascii="GHEA Grapalat" w:eastAsia="Calibri" w:hAnsi="GHEA Grapalat" w:cs="Times New Roman"/>
          <w:b/>
          <w:sz w:val="24"/>
          <w:szCs w:val="24"/>
          <w:lang w:val="af-ZA"/>
        </w:rPr>
        <w:t xml:space="preserve"> </w:t>
      </w:r>
      <w:r w:rsidR="00A23857" w:rsidRPr="00666523">
        <w:rPr>
          <w:rFonts w:ascii="GHEA Grapalat" w:eastAsia="Calibri" w:hAnsi="GHEA Grapalat" w:cs="Times New Roman"/>
          <w:b/>
          <w:sz w:val="24"/>
          <w:szCs w:val="24"/>
          <w:lang w:val="hy-AM"/>
        </w:rPr>
        <w:t>էական</w:t>
      </w:r>
      <w:r w:rsidR="00A23857" w:rsidRPr="00666523">
        <w:rPr>
          <w:rFonts w:ascii="GHEA Grapalat" w:eastAsia="Calibri" w:hAnsi="GHEA Grapalat" w:cs="Times New Roman"/>
          <w:b/>
          <w:sz w:val="24"/>
          <w:szCs w:val="24"/>
          <w:lang w:val="af-ZA"/>
        </w:rPr>
        <w:t xml:space="preserve"> </w:t>
      </w:r>
      <w:r w:rsidR="00A23857" w:rsidRPr="00666523">
        <w:rPr>
          <w:rFonts w:ascii="GHEA Grapalat" w:eastAsia="Calibri" w:hAnsi="GHEA Grapalat" w:cs="Times New Roman"/>
          <w:b/>
          <w:sz w:val="24"/>
          <w:szCs w:val="24"/>
          <w:lang w:val="hy-AM"/>
        </w:rPr>
        <w:t>ավելացման</w:t>
      </w:r>
      <w:r w:rsidR="00A23857" w:rsidRPr="00666523">
        <w:rPr>
          <w:rFonts w:ascii="GHEA Grapalat" w:eastAsia="Calibri" w:hAnsi="GHEA Grapalat" w:cs="Times New Roman"/>
          <w:b/>
          <w:sz w:val="24"/>
          <w:szCs w:val="24"/>
          <w:lang w:val="af-ZA"/>
        </w:rPr>
        <w:t xml:space="preserve"> </w:t>
      </w:r>
      <w:r w:rsidR="00A23857" w:rsidRPr="00666523">
        <w:rPr>
          <w:rFonts w:ascii="GHEA Grapalat" w:eastAsia="Calibri" w:hAnsi="GHEA Grapalat" w:cs="Times New Roman"/>
          <w:b/>
          <w:sz w:val="24"/>
          <w:szCs w:val="24"/>
          <w:lang w:val="hy-AM"/>
        </w:rPr>
        <w:t>կամ</w:t>
      </w:r>
      <w:r w:rsidR="00A23857" w:rsidRPr="00666523">
        <w:rPr>
          <w:rFonts w:ascii="GHEA Grapalat" w:eastAsia="Calibri" w:hAnsi="GHEA Grapalat" w:cs="Times New Roman"/>
          <w:b/>
          <w:sz w:val="24"/>
          <w:szCs w:val="24"/>
          <w:lang w:val="af-ZA"/>
        </w:rPr>
        <w:t xml:space="preserve"> </w:t>
      </w:r>
      <w:r w:rsidR="00A23857" w:rsidRPr="00666523">
        <w:rPr>
          <w:rFonts w:ascii="GHEA Grapalat" w:eastAsia="Calibri" w:hAnsi="GHEA Grapalat" w:cs="Times New Roman"/>
          <w:b/>
          <w:sz w:val="24"/>
          <w:szCs w:val="24"/>
          <w:lang w:val="hy-AM"/>
        </w:rPr>
        <w:t>նվազեցման վերաբերյալ</w:t>
      </w:r>
    </w:p>
    <w:p w14:paraId="3A779E3C" w14:textId="4C2D9FF6" w:rsidR="003C0C6F" w:rsidRPr="00680DF2" w:rsidRDefault="00A23857" w:rsidP="00E524F5">
      <w:pPr>
        <w:spacing w:after="240" w:line="360" w:lineRule="auto"/>
        <w:ind w:right="-563" w:firstLine="720"/>
        <w:jc w:val="both"/>
        <w:rPr>
          <w:rFonts w:ascii="GHEA Grapalat" w:eastAsia="Calibri" w:hAnsi="GHEA Grapalat" w:cs="Times New Roman"/>
          <w:sz w:val="24"/>
          <w:szCs w:val="24"/>
          <w:lang w:val="af-ZA"/>
        </w:rPr>
      </w:pPr>
      <w:r w:rsidRPr="00666523">
        <w:rPr>
          <w:rFonts w:ascii="GHEA Grapalat" w:eastAsia="Calibri" w:hAnsi="GHEA Grapalat" w:cs="Times New Roman"/>
          <w:sz w:val="24"/>
          <w:szCs w:val="24"/>
          <w:lang w:val="hy-AM"/>
        </w:rPr>
        <w:lastRenderedPageBreak/>
        <w:t>Ն</w:t>
      </w:r>
      <w:r w:rsidRPr="00666523">
        <w:rPr>
          <w:rFonts w:ascii="GHEA Grapalat" w:eastAsia="Calibri" w:hAnsi="GHEA Grapalat" w:cs="Times New Roman"/>
          <w:sz w:val="24"/>
          <w:szCs w:val="24"/>
          <w:lang w:val="af-ZA"/>
        </w:rPr>
        <w:t xml:space="preserve">ախագծի </w:t>
      </w:r>
      <w:r w:rsidRPr="00666523">
        <w:rPr>
          <w:rFonts w:ascii="GHEA Grapalat" w:eastAsia="Calibri" w:hAnsi="GHEA Grapalat" w:cs="Times New Roman"/>
          <w:sz w:val="24"/>
          <w:szCs w:val="24"/>
          <w:lang w:val="hy-AM"/>
        </w:rPr>
        <w:t>ընդունման</w:t>
      </w:r>
      <w:r w:rsidRPr="00666523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666523">
        <w:rPr>
          <w:rFonts w:ascii="GHEA Grapalat" w:eastAsia="Calibri" w:hAnsi="GHEA Grapalat" w:cs="Times New Roman"/>
          <w:sz w:val="24"/>
          <w:szCs w:val="24"/>
          <w:lang w:val="hy-AM"/>
        </w:rPr>
        <w:t>կապակցությամբ</w:t>
      </w:r>
      <w:r w:rsidRPr="00666523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666523">
        <w:rPr>
          <w:rFonts w:ascii="GHEA Grapalat" w:eastAsia="Calibri" w:hAnsi="GHEA Grapalat" w:cs="Times New Roman"/>
          <w:sz w:val="24"/>
          <w:szCs w:val="24"/>
          <w:lang w:val="hy-AM"/>
        </w:rPr>
        <w:t>պետական</w:t>
      </w:r>
      <w:r w:rsidRPr="00666523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666523">
        <w:rPr>
          <w:rFonts w:ascii="GHEA Grapalat" w:eastAsia="Calibri" w:hAnsi="GHEA Grapalat" w:cs="Times New Roman"/>
          <w:sz w:val="24"/>
          <w:szCs w:val="24"/>
          <w:lang w:val="hy-AM"/>
        </w:rPr>
        <w:t>կամ</w:t>
      </w:r>
      <w:r w:rsidRPr="00666523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666523">
        <w:rPr>
          <w:rFonts w:ascii="GHEA Grapalat" w:eastAsia="Calibri" w:hAnsi="GHEA Grapalat" w:cs="Times New Roman"/>
          <w:sz w:val="24"/>
          <w:szCs w:val="24"/>
          <w:lang w:val="hy-AM"/>
        </w:rPr>
        <w:t>տեղական</w:t>
      </w:r>
      <w:r w:rsidRPr="00666523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666523">
        <w:rPr>
          <w:rFonts w:ascii="GHEA Grapalat" w:eastAsia="Calibri" w:hAnsi="GHEA Grapalat" w:cs="Times New Roman"/>
          <w:sz w:val="24"/>
          <w:szCs w:val="24"/>
          <w:lang w:val="hy-AM"/>
        </w:rPr>
        <w:t>ինքնակառավարման</w:t>
      </w:r>
      <w:r w:rsidRPr="00666523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666523">
        <w:rPr>
          <w:rFonts w:ascii="GHEA Grapalat" w:eastAsia="Calibri" w:hAnsi="GHEA Grapalat" w:cs="Times New Roman"/>
          <w:sz w:val="24"/>
          <w:szCs w:val="24"/>
          <w:lang w:val="hy-AM"/>
        </w:rPr>
        <w:t>մարմնի</w:t>
      </w:r>
      <w:r w:rsidRPr="00666523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666523">
        <w:rPr>
          <w:rFonts w:ascii="GHEA Grapalat" w:eastAsia="Calibri" w:hAnsi="GHEA Grapalat" w:cs="Times New Roman"/>
          <w:sz w:val="24"/>
          <w:szCs w:val="24"/>
          <w:lang w:val="hy-AM"/>
        </w:rPr>
        <w:t>բյուջեում</w:t>
      </w:r>
      <w:r w:rsidRPr="00666523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666523">
        <w:rPr>
          <w:rFonts w:ascii="GHEA Grapalat" w:eastAsia="Calibri" w:hAnsi="GHEA Grapalat" w:cs="Times New Roman"/>
          <w:sz w:val="24"/>
          <w:szCs w:val="24"/>
          <w:lang w:val="hy-AM"/>
        </w:rPr>
        <w:t>եկամուտների</w:t>
      </w:r>
      <w:r w:rsidRPr="00666523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666523">
        <w:rPr>
          <w:rFonts w:ascii="GHEA Grapalat" w:eastAsia="Calibri" w:hAnsi="GHEA Grapalat" w:cs="Times New Roman"/>
          <w:sz w:val="24"/>
          <w:szCs w:val="24"/>
          <w:lang w:val="hy-AM"/>
        </w:rPr>
        <w:t>և</w:t>
      </w:r>
      <w:r w:rsidRPr="00666523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666523">
        <w:rPr>
          <w:rFonts w:ascii="GHEA Grapalat" w:eastAsia="Calibri" w:hAnsi="GHEA Grapalat" w:cs="Times New Roman"/>
          <w:sz w:val="24"/>
          <w:szCs w:val="24"/>
          <w:lang w:val="hy-AM"/>
        </w:rPr>
        <w:t>ծախսերի</w:t>
      </w:r>
      <w:r w:rsidRPr="00666523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666523">
        <w:rPr>
          <w:rFonts w:ascii="GHEA Grapalat" w:eastAsia="Calibri" w:hAnsi="GHEA Grapalat" w:cs="Times New Roman"/>
          <w:sz w:val="24"/>
          <w:szCs w:val="24"/>
          <w:lang w:val="hy-AM"/>
        </w:rPr>
        <w:t>էական</w:t>
      </w:r>
      <w:r w:rsidRPr="00666523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666523">
        <w:rPr>
          <w:rFonts w:ascii="GHEA Grapalat" w:eastAsia="Calibri" w:hAnsi="GHEA Grapalat" w:cs="Times New Roman"/>
          <w:sz w:val="24"/>
          <w:szCs w:val="24"/>
          <w:lang w:val="hy-AM"/>
        </w:rPr>
        <w:t>ավելացում</w:t>
      </w:r>
      <w:r w:rsidRPr="00666523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666523">
        <w:rPr>
          <w:rFonts w:ascii="GHEA Grapalat" w:eastAsia="Calibri" w:hAnsi="GHEA Grapalat" w:cs="Times New Roman"/>
          <w:sz w:val="24"/>
          <w:szCs w:val="24"/>
          <w:lang w:val="hy-AM"/>
        </w:rPr>
        <w:t>կամ</w:t>
      </w:r>
      <w:r w:rsidRPr="00666523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666523">
        <w:rPr>
          <w:rFonts w:ascii="GHEA Grapalat" w:eastAsia="Calibri" w:hAnsi="GHEA Grapalat" w:cs="Times New Roman"/>
          <w:sz w:val="24"/>
          <w:szCs w:val="24"/>
          <w:lang w:val="hy-AM"/>
        </w:rPr>
        <w:t>նվազեցում</w:t>
      </w:r>
      <w:r w:rsidRPr="00666523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666523">
        <w:rPr>
          <w:rFonts w:ascii="GHEA Grapalat" w:eastAsia="Calibri" w:hAnsi="GHEA Grapalat" w:cs="Times New Roman"/>
          <w:sz w:val="24"/>
          <w:szCs w:val="24"/>
          <w:lang w:val="hy-AM"/>
        </w:rPr>
        <w:t>չի</w:t>
      </w:r>
      <w:r w:rsidRPr="00666523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666523">
        <w:rPr>
          <w:rFonts w:ascii="GHEA Grapalat" w:eastAsia="Calibri" w:hAnsi="GHEA Grapalat" w:cs="Times New Roman"/>
          <w:sz w:val="24"/>
          <w:szCs w:val="24"/>
          <w:lang w:val="hy-AM"/>
        </w:rPr>
        <w:t>նախատեսվում։</w:t>
      </w:r>
      <w:r w:rsidRPr="00680DF2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680DF2">
        <w:rPr>
          <w:rFonts w:ascii="GHEA Grapalat" w:eastAsia="Calibri" w:hAnsi="GHEA Grapalat" w:cs="Times New Roman"/>
          <w:sz w:val="24"/>
          <w:szCs w:val="24"/>
          <w:lang w:val="af-ZA"/>
        </w:rPr>
        <w:tab/>
      </w:r>
    </w:p>
    <w:sectPr w:rsidR="003C0C6F" w:rsidRPr="00680DF2" w:rsidSect="004E229E">
      <w:pgSz w:w="12240" w:h="15840"/>
      <w:pgMar w:top="1135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90931"/>
    <w:multiLevelType w:val="hybridMultilevel"/>
    <w:tmpl w:val="D786B99A"/>
    <w:lvl w:ilvl="0" w:tplc="D45C8904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7A56E2"/>
    <w:multiLevelType w:val="hybridMultilevel"/>
    <w:tmpl w:val="32BE25F2"/>
    <w:lvl w:ilvl="0" w:tplc="F80462F2">
      <w:start w:val="1"/>
      <w:numFmt w:val="decimal"/>
      <w:lvlText w:val="%1."/>
      <w:lvlJc w:val="left"/>
      <w:pPr>
        <w:ind w:left="644" w:hanging="360"/>
      </w:pPr>
      <w:rPr>
        <w:rFonts w:ascii="GHEA Grapalat" w:hAnsi="GHEA Grapalat" w:cs="Sylfae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28E7F29"/>
    <w:multiLevelType w:val="hybridMultilevel"/>
    <w:tmpl w:val="E4A66CC0"/>
    <w:lvl w:ilvl="0" w:tplc="78AAA006">
      <w:start w:val="1"/>
      <w:numFmt w:val="decimal"/>
      <w:lvlText w:val="%1."/>
      <w:lvlJc w:val="left"/>
      <w:pPr>
        <w:ind w:left="540" w:hanging="360"/>
      </w:pPr>
      <w:rPr>
        <w:rFonts w:cs="Sylfae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4835500E"/>
    <w:multiLevelType w:val="hybridMultilevel"/>
    <w:tmpl w:val="61F2037A"/>
    <w:lvl w:ilvl="0" w:tplc="B42435F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1A2A7C"/>
    <w:multiLevelType w:val="hybridMultilevel"/>
    <w:tmpl w:val="DA42C33C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E83556"/>
    <w:multiLevelType w:val="hybridMultilevel"/>
    <w:tmpl w:val="C21E9C2A"/>
    <w:lvl w:ilvl="0" w:tplc="0809000B">
      <w:start w:val="1"/>
      <w:numFmt w:val="bullet"/>
      <w:lvlText w:val=""/>
      <w:lvlJc w:val="left"/>
      <w:pPr>
        <w:ind w:left="87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51E"/>
    <w:rsid w:val="0000185D"/>
    <w:rsid w:val="00004264"/>
    <w:rsid w:val="00021994"/>
    <w:rsid w:val="00030C4C"/>
    <w:rsid w:val="0003331F"/>
    <w:rsid w:val="000421B7"/>
    <w:rsid w:val="000448CB"/>
    <w:rsid w:val="00044D95"/>
    <w:rsid w:val="00051F19"/>
    <w:rsid w:val="00061417"/>
    <w:rsid w:val="0006281F"/>
    <w:rsid w:val="00064E98"/>
    <w:rsid w:val="0007490A"/>
    <w:rsid w:val="00081C72"/>
    <w:rsid w:val="00083994"/>
    <w:rsid w:val="00091E9C"/>
    <w:rsid w:val="00092D63"/>
    <w:rsid w:val="00092DBE"/>
    <w:rsid w:val="000B0B19"/>
    <w:rsid w:val="000C0333"/>
    <w:rsid w:val="000C6501"/>
    <w:rsid w:val="000D34F9"/>
    <w:rsid w:val="000D454E"/>
    <w:rsid w:val="000E2590"/>
    <w:rsid w:val="000E78CD"/>
    <w:rsid w:val="000F0A12"/>
    <w:rsid w:val="000F1377"/>
    <w:rsid w:val="000F4760"/>
    <w:rsid w:val="00125CD2"/>
    <w:rsid w:val="001310BF"/>
    <w:rsid w:val="00132B93"/>
    <w:rsid w:val="00133F26"/>
    <w:rsid w:val="001528AC"/>
    <w:rsid w:val="001758E0"/>
    <w:rsid w:val="001B40B3"/>
    <w:rsid w:val="001C08CC"/>
    <w:rsid w:val="001D17E7"/>
    <w:rsid w:val="001D26D8"/>
    <w:rsid w:val="001D2822"/>
    <w:rsid w:val="001E1240"/>
    <w:rsid w:val="001E2DB8"/>
    <w:rsid w:val="0020052A"/>
    <w:rsid w:val="002040FB"/>
    <w:rsid w:val="00205412"/>
    <w:rsid w:val="00210461"/>
    <w:rsid w:val="00221D49"/>
    <w:rsid w:val="00222546"/>
    <w:rsid w:val="00227893"/>
    <w:rsid w:val="0024579C"/>
    <w:rsid w:val="00245C08"/>
    <w:rsid w:val="002526DE"/>
    <w:rsid w:val="00263EAF"/>
    <w:rsid w:val="00265C69"/>
    <w:rsid w:val="00271F17"/>
    <w:rsid w:val="00283BB7"/>
    <w:rsid w:val="0029215F"/>
    <w:rsid w:val="002A46B2"/>
    <w:rsid w:val="002A6171"/>
    <w:rsid w:val="002B2C8F"/>
    <w:rsid w:val="002B49C4"/>
    <w:rsid w:val="002C3D25"/>
    <w:rsid w:val="002D690A"/>
    <w:rsid w:val="002E19F2"/>
    <w:rsid w:val="002E4996"/>
    <w:rsid w:val="002E4D5E"/>
    <w:rsid w:val="00312E90"/>
    <w:rsid w:val="00316962"/>
    <w:rsid w:val="0033138D"/>
    <w:rsid w:val="003315AE"/>
    <w:rsid w:val="00335CFD"/>
    <w:rsid w:val="00341715"/>
    <w:rsid w:val="003422CE"/>
    <w:rsid w:val="00373556"/>
    <w:rsid w:val="00376A3E"/>
    <w:rsid w:val="0039568D"/>
    <w:rsid w:val="003A3A7F"/>
    <w:rsid w:val="003A63D6"/>
    <w:rsid w:val="003B5516"/>
    <w:rsid w:val="003C0C6F"/>
    <w:rsid w:val="003C35BD"/>
    <w:rsid w:val="003D3950"/>
    <w:rsid w:val="003E1F25"/>
    <w:rsid w:val="00404C8C"/>
    <w:rsid w:val="00414ED3"/>
    <w:rsid w:val="00415E86"/>
    <w:rsid w:val="004223EA"/>
    <w:rsid w:val="004251A1"/>
    <w:rsid w:val="00431EEC"/>
    <w:rsid w:val="00437DC1"/>
    <w:rsid w:val="00440625"/>
    <w:rsid w:val="00443DA6"/>
    <w:rsid w:val="0044541E"/>
    <w:rsid w:val="00445832"/>
    <w:rsid w:val="0045489A"/>
    <w:rsid w:val="00455A9A"/>
    <w:rsid w:val="00455D1A"/>
    <w:rsid w:val="00461789"/>
    <w:rsid w:val="0047326A"/>
    <w:rsid w:val="00473B2B"/>
    <w:rsid w:val="00480C3C"/>
    <w:rsid w:val="00481299"/>
    <w:rsid w:val="004A04E6"/>
    <w:rsid w:val="004A27E3"/>
    <w:rsid w:val="004A66CA"/>
    <w:rsid w:val="004D2820"/>
    <w:rsid w:val="004D3B65"/>
    <w:rsid w:val="004D5D6D"/>
    <w:rsid w:val="004E0AC7"/>
    <w:rsid w:val="004E229E"/>
    <w:rsid w:val="004E519A"/>
    <w:rsid w:val="00504E1E"/>
    <w:rsid w:val="005148DD"/>
    <w:rsid w:val="00524E0F"/>
    <w:rsid w:val="00532BF2"/>
    <w:rsid w:val="00534E88"/>
    <w:rsid w:val="00534FFC"/>
    <w:rsid w:val="005421B1"/>
    <w:rsid w:val="00545E51"/>
    <w:rsid w:val="005466C8"/>
    <w:rsid w:val="005511DB"/>
    <w:rsid w:val="00556178"/>
    <w:rsid w:val="005607EA"/>
    <w:rsid w:val="00562E9C"/>
    <w:rsid w:val="00566C26"/>
    <w:rsid w:val="005708CE"/>
    <w:rsid w:val="00573BD7"/>
    <w:rsid w:val="00583D7F"/>
    <w:rsid w:val="00590576"/>
    <w:rsid w:val="005A4269"/>
    <w:rsid w:val="005B43D8"/>
    <w:rsid w:val="005C0416"/>
    <w:rsid w:val="005C0453"/>
    <w:rsid w:val="005C2D2F"/>
    <w:rsid w:val="005C3B0A"/>
    <w:rsid w:val="005C7177"/>
    <w:rsid w:val="005D0E50"/>
    <w:rsid w:val="005F394A"/>
    <w:rsid w:val="005F5AB5"/>
    <w:rsid w:val="005F5BBC"/>
    <w:rsid w:val="0060101F"/>
    <w:rsid w:val="0060173F"/>
    <w:rsid w:val="00605B49"/>
    <w:rsid w:val="00616345"/>
    <w:rsid w:val="0062413C"/>
    <w:rsid w:val="00626941"/>
    <w:rsid w:val="00632D4D"/>
    <w:rsid w:val="0063450E"/>
    <w:rsid w:val="00634AE8"/>
    <w:rsid w:val="0065462E"/>
    <w:rsid w:val="00657D8B"/>
    <w:rsid w:val="00665F50"/>
    <w:rsid w:val="00666523"/>
    <w:rsid w:val="00673B85"/>
    <w:rsid w:val="00680DF2"/>
    <w:rsid w:val="00681A34"/>
    <w:rsid w:val="00685164"/>
    <w:rsid w:val="00694D94"/>
    <w:rsid w:val="00697D22"/>
    <w:rsid w:val="006B3339"/>
    <w:rsid w:val="006C5E47"/>
    <w:rsid w:val="006D1642"/>
    <w:rsid w:val="006E37DA"/>
    <w:rsid w:val="006F2545"/>
    <w:rsid w:val="00706F52"/>
    <w:rsid w:val="00732A89"/>
    <w:rsid w:val="0073647C"/>
    <w:rsid w:val="00743D2B"/>
    <w:rsid w:val="0074615F"/>
    <w:rsid w:val="00747C76"/>
    <w:rsid w:val="00767B07"/>
    <w:rsid w:val="007836E3"/>
    <w:rsid w:val="00794C09"/>
    <w:rsid w:val="007A0471"/>
    <w:rsid w:val="007A1396"/>
    <w:rsid w:val="007C725D"/>
    <w:rsid w:val="007C7DB2"/>
    <w:rsid w:val="007E382F"/>
    <w:rsid w:val="007F29C4"/>
    <w:rsid w:val="00803A03"/>
    <w:rsid w:val="00817180"/>
    <w:rsid w:val="0083639E"/>
    <w:rsid w:val="00840BC7"/>
    <w:rsid w:val="00840FEC"/>
    <w:rsid w:val="008455A8"/>
    <w:rsid w:val="00846DBB"/>
    <w:rsid w:val="00850B69"/>
    <w:rsid w:val="00853492"/>
    <w:rsid w:val="008544FA"/>
    <w:rsid w:val="00874ED8"/>
    <w:rsid w:val="008775FE"/>
    <w:rsid w:val="00880DAD"/>
    <w:rsid w:val="00891699"/>
    <w:rsid w:val="008A4D19"/>
    <w:rsid w:val="008A634F"/>
    <w:rsid w:val="008B57DC"/>
    <w:rsid w:val="008C172D"/>
    <w:rsid w:val="008D0980"/>
    <w:rsid w:val="008D1AC0"/>
    <w:rsid w:val="008D2358"/>
    <w:rsid w:val="008D5CBC"/>
    <w:rsid w:val="008D7649"/>
    <w:rsid w:val="008D7688"/>
    <w:rsid w:val="008E6717"/>
    <w:rsid w:val="008F60C5"/>
    <w:rsid w:val="00911B14"/>
    <w:rsid w:val="009200CE"/>
    <w:rsid w:val="009266A1"/>
    <w:rsid w:val="009335AC"/>
    <w:rsid w:val="00946C27"/>
    <w:rsid w:val="009512A6"/>
    <w:rsid w:val="00953A8D"/>
    <w:rsid w:val="009554B4"/>
    <w:rsid w:val="009573AB"/>
    <w:rsid w:val="0096156A"/>
    <w:rsid w:val="009666CF"/>
    <w:rsid w:val="009708FA"/>
    <w:rsid w:val="00972C22"/>
    <w:rsid w:val="009737DC"/>
    <w:rsid w:val="0098012B"/>
    <w:rsid w:val="009825FE"/>
    <w:rsid w:val="009A1275"/>
    <w:rsid w:val="009A4724"/>
    <w:rsid w:val="009B45D4"/>
    <w:rsid w:val="009B5610"/>
    <w:rsid w:val="009C36EB"/>
    <w:rsid w:val="009C3A7F"/>
    <w:rsid w:val="009D1704"/>
    <w:rsid w:val="009E5699"/>
    <w:rsid w:val="009E5EDA"/>
    <w:rsid w:val="009E6687"/>
    <w:rsid w:val="009F0CE6"/>
    <w:rsid w:val="009F21AA"/>
    <w:rsid w:val="00A01CD0"/>
    <w:rsid w:val="00A02652"/>
    <w:rsid w:val="00A0502E"/>
    <w:rsid w:val="00A0665C"/>
    <w:rsid w:val="00A215F2"/>
    <w:rsid w:val="00A23857"/>
    <w:rsid w:val="00A245B7"/>
    <w:rsid w:val="00A462BA"/>
    <w:rsid w:val="00A52F5E"/>
    <w:rsid w:val="00A6683B"/>
    <w:rsid w:val="00A67836"/>
    <w:rsid w:val="00A7587D"/>
    <w:rsid w:val="00A779BC"/>
    <w:rsid w:val="00A8640F"/>
    <w:rsid w:val="00A90966"/>
    <w:rsid w:val="00AA1DEB"/>
    <w:rsid w:val="00AA2067"/>
    <w:rsid w:val="00AA41F7"/>
    <w:rsid w:val="00AA58C7"/>
    <w:rsid w:val="00AA5CBD"/>
    <w:rsid w:val="00AB0F16"/>
    <w:rsid w:val="00AC3BB0"/>
    <w:rsid w:val="00AD398C"/>
    <w:rsid w:val="00AE2B4F"/>
    <w:rsid w:val="00AE5E72"/>
    <w:rsid w:val="00AF6851"/>
    <w:rsid w:val="00B01586"/>
    <w:rsid w:val="00B137F6"/>
    <w:rsid w:val="00B15B90"/>
    <w:rsid w:val="00B16F2A"/>
    <w:rsid w:val="00B175C0"/>
    <w:rsid w:val="00B17E75"/>
    <w:rsid w:val="00B278DF"/>
    <w:rsid w:val="00B55004"/>
    <w:rsid w:val="00B571A4"/>
    <w:rsid w:val="00B627E6"/>
    <w:rsid w:val="00B63248"/>
    <w:rsid w:val="00B6451E"/>
    <w:rsid w:val="00B65576"/>
    <w:rsid w:val="00B67805"/>
    <w:rsid w:val="00B7124F"/>
    <w:rsid w:val="00B95F48"/>
    <w:rsid w:val="00BB16A8"/>
    <w:rsid w:val="00BC66A1"/>
    <w:rsid w:val="00BC6AFD"/>
    <w:rsid w:val="00BD2E4D"/>
    <w:rsid w:val="00BD2F9B"/>
    <w:rsid w:val="00BD5A7A"/>
    <w:rsid w:val="00BE7259"/>
    <w:rsid w:val="00BF3108"/>
    <w:rsid w:val="00BF70F1"/>
    <w:rsid w:val="00BF753D"/>
    <w:rsid w:val="00C04B83"/>
    <w:rsid w:val="00C155CC"/>
    <w:rsid w:val="00C20567"/>
    <w:rsid w:val="00C238B5"/>
    <w:rsid w:val="00C33DD7"/>
    <w:rsid w:val="00C4594F"/>
    <w:rsid w:val="00C548B9"/>
    <w:rsid w:val="00C55D2B"/>
    <w:rsid w:val="00C561EA"/>
    <w:rsid w:val="00C56E33"/>
    <w:rsid w:val="00C83D7A"/>
    <w:rsid w:val="00C93ACF"/>
    <w:rsid w:val="00C94972"/>
    <w:rsid w:val="00C951BB"/>
    <w:rsid w:val="00CA0311"/>
    <w:rsid w:val="00CB0EF3"/>
    <w:rsid w:val="00CC4E17"/>
    <w:rsid w:val="00CE0B9B"/>
    <w:rsid w:val="00CE4EE9"/>
    <w:rsid w:val="00CF28F2"/>
    <w:rsid w:val="00D01541"/>
    <w:rsid w:val="00D031FD"/>
    <w:rsid w:val="00D1529A"/>
    <w:rsid w:val="00D17B4F"/>
    <w:rsid w:val="00D25087"/>
    <w:rsid w:val="00D5226D"/>
    <w:rsid w:val="00D603E2"/>
    <w:rsid w:val="00D72880"/>
    <w:rsid w:val="00D735BC"/>
    <w:rsid w:val="00D811A4"/>
    <w:rsid w:val="00D857D0"/>
    <w:rsid w:val="00D93F9C"/>
    <w:rsid w:val="00DA02C8"/>
    <w:rsid w:val="00DA3336"/>
    <w:rsid w:val="00DC4B87"/>
    <w:rsid w:val="00DD0A87"/>
    <w:rsid w:val="00DD2CE0"/>
    <w:rsid w:val="00DD2DB2"/>
    <w:rsid w:val="00DE02D2"/>
    <w:rsid w:val="00DE05B1"/>
    <w:rsid w:val="00E10F7D"/>
    <w:rsid w:val="00E141A5"/>
    <w:rsid w:val="00E15181"/>
    <w:rsid w:val="00E158E7"/>
    <w:rsid w:val="00E2211E"/>
    <w:rsid w:val="00E25A53"/>
    <w:rsid w:val="00E25F3D"/>
    <w:rsid w:val="00E4706D"/>
    <w:rsid w:val="00E524F5"/>
    <w:rsid w:val="00E54270"/>
    <w:rsid w:val="00E564E6"/>
    <w:rsid w:val="00E72922"/>
    <w:rsid w:val="00E76604"/>
    <w:rsid w:val="00E92A39"/>
    <w:rsid w:val="00EA01DE"/>
    <w:rsid w:val="00EA5615"/>
    <w:rsid w:val="00EC01AC"/>
    <w:rsid w:val="00ED55B6"/>
    <w:rsid w:val="00EE35A5"/>
    <w:rsid w:val="00EF7D98"/>
    <w:rsid w:val="00F0756C"/>
    <w:rsid w:val="00F146C2"/>
    <w:rsid w:val="00F16522"/>
    <w:rsid w:val="00F25C54"/>
    <w:rsid w:val="00F44C0A"/>
    <w:rsid w:val="00F54F51"/>
    <w:rsid w:val="00F55482"/>
    <w:rsid w:val="00F55F26"/>
    <w:rsid w:val="00F6007F"/>
    <w:rsid w:val="00F81CED"/>
    <w:rsid w:val="00F91FD5"/>
    <w:rsid w:val="00F9339D"/>
    <w:rsid w:val="00F95CD9"/>
    <w:rsid w:val="00FA1EEA"/>
    <w:rsid w:val="00FA4BE5"/>
    <w:rsid w:val="00FB0DEA"/>
    <w:rsid w:val="00FB7021"/>
    <w:rsid w:val="00FC37B6"/>
    <w:rsid w:val="00FC61A3"/>
    <w:rsid w:val="00FD31AE"/>
    <w:rsid w:val="00FD385E"/>
    <w:rsid w:val="00FE2ABD"/>
    <w:rsid w:val="00FF2AE6"/>
    <w:rsid w:val="00FF5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B033D"/>
  <w15:docId w15:val="{528A7855-0F2D-43B4-8900-A56C74739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B1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00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0052A"/>
    <w:rPr>
      <w:b/>
      <w:bCs/>
    </w:rPr>
  </w:style>
  <w:style w:type="paragraph" w:styleId="ListParagraph">
    <w:name w:val="List Paragraph"/>
    <w:aliases w:val="Akapit z listą BS,List Paragraph 1,List_Paragraph,Multilevel para_II,List Paragraph1"/>
    <w:basedOn w:val="Normal"/>
    <w:link w:val="ListParagraphChar"/>
    <w:uiPriority w:val="34"/>
    <w:qFormat/>
    <w:rsid w:val="0020052A"/>
    <w:pPr>
      <w:ind w:left="720"/>
      <w:contextualSpacing/>
    </w:pPr>
  </w:style>
  <w:style w:type="table" w:styleId="TableGrid">
    <w:name w:val="Table Grid"/>
    <w:basedOn w:val="TableNormal"/>
    <w:uiPriority w:val="39"/>
    <w:rsid w:val="00CF28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9554B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9554B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0F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F7D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"/>
    <w:link w:val="ListParagraph"/>
    <w:uiPriority w:val="34"/>
    <w:locked/>
    <w:rsid w:val="00AA5CBD"/>
  </w:style>
  <w:style w:type="character" w:styleId="Hyperlink">
    <w:name w:val="Hyperlink"/>
    <w:basedOn w:val="DefaultParagraphFont"/>
    <w:uiPriority w:val="99"/>
    <w:semiHidden/>
    <w:unhideWhenUsed/>
    <w:rsid w:val="00205412"/>
    <w:rPr>
      <w:color w:val="0563C1" w:themeColor="hyperlink"/>
      <w:u w:val="single"/>
    </w:rPr>
  </w:style>
  <w:style w:type="character" w:styleId="CommentReference">
    <w:name w:val="annotation reference"/>
    <w:uiPriority w:val="99"/>
    <w:semiHidden/>
    <w:unhideWhenUsed/>
    <w:rsid w:val="000F0A1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8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arliament.am/register.php?ID=65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87EDDA-A75D-414A-8E71-B66275492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508</Words>
  <Characters>2897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 Khondkaryan</dc:creator>
  <cp:keywords>https:/mul2-utfsib.gov.am/tasks/116868/oneclick/kirarkum.docx?token=99aa9e4f9bc2ac66ccf875843f4e3e19</cp:keywords>
  <dc:description/>
  <cp:lastModifiedBy>Գրասենյակ</cp:lastModifiedBy>
  <cp:revision>3</cp:revision>
  <cp:lastPrinted>2022-01-05T11:42:00Z</cp:lastPrinted>
  <dcterms:created xsi:type="dcterms:W3CDTF">2023-04-05T13:22:00Z</dcterms:created>
  <dcterms:modified xsi:type="dcterms:W3CDTF">2023-04-05T13:29:00Z</dcterms:modified>
</cp:coreProperties>
</file>