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980A" w14:textId="77777777" w:rsidR="00DB112D" w:rsidRPr="000B48D5" w:rsidRDefault="00DB112D" w:rsidP="00DB112D">
      <w:pPr>
        <w:rPr>
          <w:rFonts w:ascii="GHEA Grapalat" w:hAnsi="GHEA Grapalat" w:cstheme="majorHAnsi"/>
          <w:sz w:val="24"/>
          <w:szCs w:val="24"/>
        </w:rPr>
      </w:pPr>
    </w:p>
    <w:p w14:paraId="60F991FF" w14:textId="77777777" w:rsidR="00DB112D" w:rsidRPr="000B48D5" w:rsidRDefault="00DB112D" w:rsidP="00DB112D">
      <w:pPr>
        <w:spacing w:line="276" w:lineRule="auto"/>
        <w:jc w:val="center"/>
        <w:rPr>
          <w:rFonts w:ascii="GHEA Grapalat" w:hAnsi="GHEA Grapalat" w:cstheme="majorHAnsi"/>
          <w:b/>
          <w:sz w:val="24"/>
          <w:szCs w:val="24"/>
        </w:rPr>
      </w:pPr>
      <w:r w:rsidRPr="000B48D5">
        <w:rPr>
          <w:rFonts w:ascii="GHEA Grapalat" w:hAnsi="GHEA Grapalat" w:cstheme="majorHAnsi"/>
          <w:b/>
          <w:sz w:val="24"/>
          <w:szCs w:val="24"/>
        </w:rPr>
        <w:t>ՀԻՄՆԱՎՈՐՈՒՄ</w:t>
      </w:r>
    </w:p>
    <w:p w14:paraId="6162BFB9" w14:textId="77777777" w:rsidR="00DB112D" w:rsidRPr="000B48D5" w:rsidRDefault="00DB112D" w:rsidP="00DB112D">
      <w:pPr>
        <w:shd w:val="clear" w:color="auto" w:fill="FFFFFF"/>
        <w:spacing w:after="0" w:line="240" w:lineRule="auto"/>
        <w:ind w:right="150" w:firstLine="450"/>
        <w:jc w:val="center"/>
        <w:rPr>
          <w:rFonts w:ascii="GHEA Grapalat" w:hAnsi="GHEA Grapalat" w:cstheme="majorHAnsi"/>
          <w:b/>
          <w:sz w:val="24"/>
          <w:szCs w:val="24"/>
        </w:rPr>
      </w:pPr>
      <w:r w:rsidRPr="000B48D5">
        <w:rPr>
          <w:rFonts w:ascii="GHEA Grapalat" w:hAnsi="GHEA Grapalat" w:cstheme="majorHAnsi"/>
          <w:b/>
          <w:sz w:val="24"/>
          <w:szCs w:val="24"/>
        </w:rPr>
        <w:t>«ՀԱՅԱՍՏԱՆԻ ՀԱՆՐԱՊԵՏՈՒԹՅԱՆ ՔԱՂԱՔԱՑԻԱԿԱՆ ՕՐԵՆՍԳՐՔՈՒՄ ԼՐԱՑՈՒՄ ԿԱՏԱՐԵԼՈՒ ՄԱՍԻՆ», ««ԳՈՒՅՔԻ ՆԿԱՏՄԱՄԲ ԻՐԱՎՈՒՆՔՆԵՐԻ ՊԵՏԱԿԱՆ ԳՐԱՆՑՄԱՆ ՄԱՍԻՆ» ՕՐԵՆՔՈՒՄ ԼՐԱՑՈՒՄՆԵՐ ԿԱՏԱՐԵԼՈՒ ՄԱՍԻՆ», ««ԲԱԺՆԵՏԻՐԱԿԱՆ ԸՆԿԵՐՈՒԹՅՈՒՆՆԵՐԻ ՄԱՍԻՆ» ՕՐԵՆՔՈՒՄ ԼՐԱՑՈՒՄՆԵՐ ԿԱՏԱՐԵԼՈՒ ՄԱՍԻՆ», «</w:t>
      </w:r>
      <w:r w:rsidRPr="000B48D5">
        <w:rPr>
          <w:rFonts w:ascii="GHEA Grapalat" w:eastAsia="Times New Roman" w:hAnsi="GHEA Grapalat" w:cstheme="majorHAnsi"/>
          <w:b/>
          <w:bCs/>
          <w:color w:val="000000"/>
          <w:sz w:val="24"/>
          <w:szCs w:val="24"/>
        </w:rPr>
        <w:t>«ՇԱՐԺԱԿԱՆ ԳՈՒՅՔԻ ՆԿԱՏՄԱՄԲ ԱՊԱՀՈՎՎԱԾ ԻՐԱՎՈՒՆՔՆԵՐԻ ԳՐԱՆՑՄԱՆ ՄԱՍԻՆ» ՕՐԵՆՔՈՒՄ ԼՐԱՑՈՒՄՆԵՐ ԿԱՏԱՐԵԼՈՒ ՄԱՍԻՆ</w:t>
      </w:r>
      <w:r w:rsidRPr="000B48D5">
        <w:rPr>
          <w:rFonts w:ascii="GHEA Grapalat" w:hAnsi="GHEA Grapalat" w:cstheme="majorHAnsi"/>
          <w:b/>
          <w:sz w:val="24"/>
          <w:szCs w:val="24"/>
        </w:rPr>
        <w:t>» ԵՎ «</w:t>
      </w:r>
      <w:r w:rsidRPr="000B48D5">
        <w:rPr>
          <w:rFonts w:ascii="GHEA Grapalat" w:eastAsia="Times New Roman" w:hAnsi="GHEA Grapalat" w:cstheme="majorHAnsi"/>
          <w:b/>
          <w:bCs/>
          <w:color w:val="000000"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ԼՐԱՑՈՒՄՆԵՐ ԿԱՏԱՐԵԼՈՒ ՄԱՍԻՆ</w:t>
      </w:r>
      <w:r w:rsidRPr="000B48D5">
        <w:rPr>
          <w:rFonts w:ascii="GHEA Grapalat" w:hAnsi="GHEA Grapalat" w:cstheme="majorHAnsi"/>
          <w:b/>
          <w:sz w:val="24"/>
          <w:szCs w:val="24"/>
        </w:rPr>
        <w:t>» ՕՐԵՆՔՆԵՐԻ ՆԱԽԱԳԾԵՐԻ ՎԵՐԱԲԵՐՅԱԼ</w:t>
      </w:r>
    </w:p>
    <w:p w14:paraId="2461FF1D" w14:textId="77777777" w:rsidR="00DB112D" w:rsidRPr="000B48D5" w:rsidRDefault="00DB112D" w:rsidP="00DB112D">
      <w:pPr>
        <w:spacing w:line="276" w:lineRule="auto"/>
        <w:jc w:val="both"/>
        <w:rPr>
          <w:rFonts w:ascii="GHEA Grapalat" w:hAnsi="GHEA Grapalat" w:cstheme="majorHAnsi"/>
          <w:sz w:val="24"/>
          <w:szCs w:val="24"/>
        </w:rPr>
      </w:pPr>
    </w:p>
    <w:p w14:paraId="5E84CC62" w14:textId="77777777" w:rsidR="00DB112D" w:rsidRPr="000B48D5" w:rsidRDefault="00DB112D" w:rsidP="00DB112D">
      <w:pPr>
        <w:spacing w:after="0" w:line="276" w:lineRule="auto"/>
        <w:jc w:val="both"/>
        <w:rPr>
          <w:rFonts w:ascii="GHEA Grapalat" w:hAnsi="GHEA Grapalat" w:cstheme="majorHAnsi"/>
          <w:b/>
          <w:sz w:val="24"/>
          <w:szCs w:val="24"/>
        </w:rPr>
      </w:pPr>
      <w:r w:rsidRPr="000B48D5">
        <w:rPr>
          <w:rFonts w:ascii="GHEA Grapalat" w:hAnsi="GHEA Grapalat" w:cstheme="majorHAnsi"/>
          <w:b/>
          <w:sz w:val="24"/>
          <w:szCs w:val="24"/>
        </w:rPr>
        <w:t xml:space="preserve">1. ԱՌԿԱ ԻՐԱՎԻՃԱԿԸ ԵՎ ԿԱՐԳԱՎՈՐՄԱՆ ԵՆԹԱԿԱ ԽՆԴԻՐՆԵՐԸ </w:t>
      </w:r>
    </w:p>
    <w:p w14:paraId="27A1A511" w14:textId="77777777" w:rsidR="00DB112D" w:rsidRPr="000B48D5" w:rsidRDefault="00DB112D" w:rsidP="00DB112D">
      <w:pPr>
        <w:spacing w:after="0" w:line="276" w:lineRule="auto"/>
        <w:jc w:val="both"/>
        <w:rPr>
          <w:rFonts w:ascii="GHEA Grapalat" w:hAnsi="GHEA Grapalat" w:cstheme="majorHAnsi"/>
          <w:sz w:val="24"/>
          <w:szCs w:val="24"/>
        </w:rPr>
      </w:pPr>
    </w:p>
    <w:p w14:paraId="7F46525E" w14:textId="77777777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 xml:space="preserve">Օպցիոնի պայմանագիրն համաշխարհային պրակտիկայում տարածված պայմանագիր է և լայնորեն կիրառվում է բազմաթիվ երկրներում (ԱՄՆ, Մեծ Բրիտանիա, Ռուսաստան, Ղազախստան և այլն) և միջազգային ֆինանսական, արտարժույթի, ապրանքային և այլ շուկաներում: </w:t>
      </w:r>
    </w:p>
    <w:p w14:paraId="47D2CE25" w14:textId="3F62A6E1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>Օպցիոնի պայմանագրի էությունը կայանում է նրանում, որ մի կողմը` օպցիոնը տնօրինողը` ստանում է իրավունք (բայց ոչ պարտավորություն) մյուս կողմից պայմանագրի կնքման պահին որոշված գնով ապագայում որևէ պահի ձեռք բերել գույք: Ընդ որում, օպցիոնի պայմանագիրն ի տարբերություն նախնական պայմանագրի չի պահանջում առանձին հիմնական պայմանագրի կնքում, այլ ինքնին հիմնական պայմանագիր</w:t>
      </w:r>
      <w:r w:rsidR="00535C6F">
        <w:rPr>
          <w:rFonts w:ascii="GHEA Grapalat" w:hAnsi="GHEA Grapalat" w:cstheme="majorHAnsi"/>
          <w:sz w:val="24"/>
          <w:szCs w:val="24"/>
        </w:rPr>
        <w:t xml:space="preserve"> է</w:t>
      </w:r>
      <w:r w:rsidRPr="000B48D5">
        <w:rPr>
          <w:rFonts w:ascii="GHEA Grapalat" w:hAnsi="GHEA Grapalat" w:cstheme="majorHAnsi"/>
          <w:sz w:val="24"/>
          <w:szCs w:val="24"/>
        </w:rPr>
        <w:t xml:space="preserve">: Օպցիոնի պայմանագրի առարկա կարող է լինել արտարժույթը, արժեթղթերը կամ այլ գույք: </w:t>
      </w:r>
    </w:p>
    <w:p w14:paraId="7D3B2DCA" w14:textId="77777777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 xml:space="preserve"> «Արժեթղթերի շուկայի մասին» օրենքի 3-րդ հոդվածի 1-ին մասի 3-րդ կետի համաձայն օպցիոնները դասվում են ածանցյալ ֆինանսական գործիքների շարքին:</w:t>
      </w:r>
    </w:p>
    <w:p w14:paraId="6258A21B" w14:textId="190ADFE8" w:rsidR="00DB112D" w:rsidRPr="000B48D5" w:rsidRDefault="00DB112D" w:rsidP="00535C6F">
      <w:pPr>
        <w:spacing w:after="0" w:line="276" w:lineRule="auto"/>
        <w:ind w:firstLine="540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t>Օպցիոնի պայմանագիրը միջազգային պրակտիկայում կիրառվում է տարբեր համատե</w:t>
      </w:r>
      <w:r w:rsidR="00535C6F">
        <w:rPr>
          <w:rFonts w:ascii="GHEA Grapalat" w:hAnsi="GHEA Grapalat" w:cstheme="majorHAnsi"/>
          <w:color w:val="000000"/>
          <w:sz w:val="24"/>
          <w:szCs w:val="24"/>
        </w:rPr>
        <w:t>ք</w:t>
      </w:r>
      <w:r w:rsidRPr="000B48D5">
        <w:rPr>
          <w:rFonts w:ascii="GHEA Grapalat" w:hAnsi="GHEA Grapalat" w:cstheme="majorHAnsi"/>
          <w:color w:val="000000"/>
          <w:sz w:val="24"/>
          <w:szCs w:val="24"/>
        </w:rPr>
        <w:t>ստերում` այդ թվում.</w:t>
      </w:r>
    </w:p>
    <w:p w14:paraId="7D4FCC3B" w14:textId="77777777" w:rsidR="00DB112D" w:rsidRPr="000B48D5" w:rsidRDefault="00DB112D" w:rsidP="00DB112D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t>Ստարտափ ընկերությունների կողմից` որակյալ աշխատուժ ներգրավելու և աշխատողների աշխատանքի արտադրողականությունը խրախուսելու նպատակով: Այս տեսանկյունից` աշխատողների բաժնետիրացման ծրագրերի շրջանակներում,</w:t>
      </w:r>
    </w:p>
    <w:p w14:paraId="795AFF3F" w14:textId="77777777" w:rsidR="00DB112D" w:rsidRPr="000B48D5" w:rsidRDefault="00DB112D" w:rsidP="00DB112D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lastRenderedPageBreak/>
        <w:t>Ընկերությունների կողմից ներդրումների ներգրավման նպատակով` այդ թվում որոշակի ֆինանսական ցուցանիշների հասնելու դեպքում արժեթղթեր ձեռք բերելու կամ օտարելու իրավունքի ապահովման միջոցով,</w:t>
      </w:r>
    </w:p>
    <w:p w14:paraId="32FF11FE" w14:textId="77777777" w:rsidR="00DB112D" w:rsidRPr="000B48D5" w:rsidRDefault="00DB112D" w:rsidP="00DB112D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t>Անշարժ գույքի ձեռքբերման իրավունքը` բայց ոչ պարտավորությունը ամրագրելու և գինը նախապես որոշելու նպատակով,</w:t>
      </w:r>
    </w:p>
    <w:p w14:paraId="7E620BB8" w14:textId="77777777" w:rsidR="00DB112D" w:rsidRPr="000B48D5" w:rsidRDefault="00DB112D" w:rsidP="00DB112D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t xml:space="preserve">Ապրանքներ և ծառայությունն արտահանող կամ ներմուծող տնտեսավարողների կողմից` արտարժույթի փոխարժեքի տատանման ռիսկերը կառավարելու նպատակով, </w:t>
      </w:r>
    </w:p>
    <w:p w14:paraId="126898DE" w14:textId="77777777" w:rsidR="00DB112D" w:rsidRPr="000B48D5" w:rsidRDefault="00DB112D" w:rsidP="00DB112D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t>Կարգավորվող շուկաներում` արտարժույթի, արժեթղթերի, ապրանքների օպցիոնների միջոցով:</w:t>
      </w:r>
    </w:p>
    <w:p w14:paraId="51BD3C69" w14:textId="583481F4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>Այնուամենայնիվ</w:t>
      </w:r>
      <w:r w:rsidR="00535C6F">
        <w:rPr>
          <w:rFonts w:ascii="GHEA Grapalat" w:hAnsi="GHEA Grapalat" w:cstheme="majorHAnsi"/>
          <w:sz w:val="24"/>
          <w:szCs w:val="24"/>
        </w:rPr>
        <w:t>,</w:t>
      </w:r>
      <w:r w:rsidRPr="000B48D5">
        <w:rPr>
          <w:rFonts w:ascii="GHEA Grapalat" w:hAnsi="GHEA Grapalat" w:cstheme="majorHAnsi"/>
          <w:sz w:val="24"/>
          <w:szCs w:val="24"/>
        </w:rPr>
        <w:t xml:space="preserve"> ՀՀ օրենսդրական մակարդակում բացակայում են օպցիոնի պայմանագրի հասկացությունը, դրա բովանդակությանը և կատարմանը վերաբերվող կարգավորումները, ինչը բարդություններ է առաջացնում տնտեսավարողների համար նման տեսակի պայմանագրերի կնքման հարցում:</w:t>
      </w:r>
    </w:p>
    <w:p w14:paraId="63C37816" w14:textId="1C9A76C5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>Մասնավորապես</w:t>
      </w:r>
      <w:r w:rsidR="00535C6F">
        <w:rPr>
          <w:rFonts w:ascii="GHEA Grapalat" w:hAnsi="GHEA Grapalat" w:cstheme="majorHAnsi"/>
          <w:sz w:val="24"/>
          <w:szCs w:val="24"/>
        </w:rPr>
        <w:t>,</w:t>
      </w:r>
      <w:r w:rsidRPr="000B48D5">
        <w:rPr>
          <w:rFonts w:ascii="GHEA Grapalat" w:hAnsi="GHEA Grapalat" w:cstheme="majorHAnsi"/>
          <w:sz w:val="24"/>
          <w:szCs w:val="24"/>
        </w:rPr>
        <w:t xml:space="preserve"> կարգավորված չէ և գործնականում պետական գրանցման տեսանկյունից խնդրահարույց է անշարժ գույքի նկատմամաբ սեփականության կամ այլ իրավունքի փոխանցման օպցիոնի պայմանագրի կնքումը և դրանից ծագող իրավունքների պետական գրանցումը, քանի որ «Գույքի նկատմամաբ իրավունքների պետական գրանցման մասին» օրենքով դրանք սահմանված չեն: Սահմանված չեն նաև օպցիոնի պայմանագրից բխող սահմանափակումների բնույթը և դրանց գրանցման կարգը:</w:t>
      </w:r>
    </w:p>
    <w:p w14:paraId="5CE2CC11" w14:textId="77777777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>Միաժամանակ «Բաժնետիրական ընկերությունների մասին» օրենքը նախատեսում է որոշ դեպքերում ընկերության կողմից իր բաժնետոմսերի օտարման օպցիոնի պայմանագրերի կնքման հնարավորությունը, սակայն բացակայում է դրա գործուն մեխանիզմը: Մինչդեռ նման պայմանագրերը կարող են արդյունավետորեն օգտագործվել թե աշխատողների բաժնետիրացման և թե նոր ներդրումների ներգրավման համար:</w:t>
      </w:r>
    </w:p>
    <w:p w14:paraId="03BB8D7C" w14:textId="77777777" w:rsidR="00DB112D" w:rsidRPr="000B48D5" w:rsidRDefault="00DB112D" w:rsidP="00DB112D">
      <w:pPr>
        <w:spacing w:after="0" w:line="276" w:lineRule="auto"/>
        <w:jc w:val="both"/>
        <w:rPr>
          <w:rFonts w:ascii="GHEA Grapalat" w:hAnsi="GHEA Grapalat" w:cstheme="majorHAnsi"/>
          <w:sz w:val="24"/>
          <w:szCs w:val="24"/>
        </w:rPr>
      </w:pPr>
    </w:p>
    <w:p w14:paraId="4D2F7156" w14:textId="77777777" w:rsidR="00DB112D" w:rsidRPr="000B48D5" w:rsidRDefault="00DB112D" w:rsidP="00DB112D">
      <w:pPr>
        <w:spacing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b/>
          <w:sz w:val="24"/>
          <w:szCs w:val="24"/>
        </w:rPr>
        <w:t>2. ԿԱՐԳԱՎՈՐՄԱՆ ՆՊԱՏԱԿՆԵՐԸ</w:t>
      </w:r>
    </w:p>
    <w:p w14:paraId="301BDF4A" w14:textId="77777777" w:rsidR="00DB112D" w:rsidRPr="000B48D5" w:rsidRDefault="00DB112D" w:rsidP="00DB112D">
      <w:pPr>
        <w:spacing w:line="276" w:lineRule="auto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>Ելնելով վերոգրյալից` նախագծերի փաթեթի նպատակն է ստեղծել իրավական պայմաններ օպցիոնի պայմանագրերի կնքման և կատարման համար:</w:t>
      </w:r>
    </w:p>
    <w:p w14:paraId="3851D4B4" w14:textId="77777777" w:rsidR="00DB112D" w:rsidRPr="000B48D5" w:rsidRDefault="00DB112D" w:rsidP="00DB112D">
      <w:pPr>
        <w:spacing w:line="276" w:lineRule="auto"/>
        <w:ind w:firstLine="720"/>
        <w:jc w:val="both"/>
        <w:rPr>
          <w:rFonts w:ascii="GHEA Grapalat" w:hAnsi="GHEA Grapalat" w:cstheme="majorHAnsi"/>
          <w:b/>
          <w:sz w:val="24"/>
          <w:szCs w:val="24"/>
        </w:rPr>
      </w:pPr>
      <w:r w:rsidRPr="000B48D5">
        <w:rPr>
          <w:rFonts w:ascii="GHEA Grapalat" w:hAnsi="GHEA Grapalat" w:cstheme="majorHAnsi"/>
          <w:b/>
          <w:sz w:val="24"/>
          <w:szCs w:val="24"/>
        </w:rPr>
        <w:t>3</w:t>
      </w:r>
      <w:r w:rsidRPr="000B48D5">
        <w:rPr>
          <w:rFonts w:ascii="Cambria Math" w:hAnsi="Cambria Math" w:cs="Cambria Math"/>
          <w:b/>
          <w:sz w:val="24"/>
          <w:szCs w:val="24"/>
        </w:rPr>
        <w:t>․</w:t>
      </w:r>
      <w:r w:rsidRPr="000B48D5">
        <w:rPr>
          <w:rFonts w:ascii="GHEA Grapalat" w:hAnsi="GHEA Grapalat" w:cstheme="majorHAnsi"/>
          <w:b/>
          <w:sz w:val="24"/>
          <w:szCs w:val="24"/>
        </w:rPr>
        <w:t>ԱՌԱՋԱՐԿՎՈՂ ԿԱՐԳԱՎՈՐՈՒՄՆԵՐԸ</w:t>
      </w:r>
    </w:p>
    <w:p w14:paraId="3659C76C" w14:textId="77777777" w:rsidR="00DB112D" w:rsidRPr="000B48D5" w:rsidRDefault="00DB112D" w:rsidP="00DB112D">
      <w:pPr>
        <w:spacing w:after="0" w:line="276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lastRenderedPageBreak/>
        <w:t>Նախագծով առաջարկվում է լրացումներ կատարել ՀՀ քաղաքացիական օրենսգրքում, «Բաժնետիրական ընկերությունների մասին» օրենքում, «Գույքի նկատմամաբ իրավունքների պետական գրանցման մասին» օրենքում` դրանցում սահմանելով օպցիոնի պայմանագրի հասկացությունը և դրա կիրառման հիմնական պայմանները` հիմք ընդունելով աշխարհում և Հայաստանի Հանրապետությունում արդեն իսկ ձևավորված գործարար պրակտիկան:</w:t>
      </w:r>
    </w:p>
    <w:p w14:paraId="2D443F65" w14:textId="77777777" w:rsidR="00DB112D" w:rsidRPr="000B48D5" w:rsidRDefault="00DB112D" w:rsidP="00DB112D">
      <w:pPr>
        <w:spacing w:line="276" w:lineRule="auto"/>
        <w:rPr>
          <w:rFonts w:ascii="GHEA Grapalat" w:hAnsi="GHEA Grapalat" w:cstheme="majorHAnsi"/>
          <w:sz w:val="24"/>
          <w:szCs w:val="24"/>
        </w:rPr>
      </w:pPr>
    </w:p>
    <w:p w14:paraId="2E40D245" w14:textId="77777777" w:rsidR="00DB112D" w:rsidRPr="000B48D5" w:rsidRDefault="00DB112D" w:rsidP="00DB112D">
      <w:pPr>
        <w:spacing w:line="276" w:lineRule="auto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b/>
          <w:sz w:val="24"/>
          <w:szCs w:val="24"/>
        </w:rPr>
        <w:t>4. ԱԿՆԿԱԼՎՈՂ ԱՐԴՅՈՒՆՔՆԵՐԸ</w:t>
      </w:r>
    </w:p>
    <w:p w14:paraId="07CF6CF9" w14:textId="77777777" w:rsidR="00DB112D" w:rsidRPr="000B48D5" w:rsidRDefault="00DB112D" w:rsidP="00DB112D">
      <w:pPr>
        <w:spacing w:line="276" w:lineRule="auto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ab/>
        <w:t>Ակնկալվում է, որ նախագծի ընդունմամբ կստեղծվեն անշարժ գույքի և արժեթղթերի շուկայում ներդրումներ կատարելու, արտարժույթի փոխարժեքի, ապրևանքների գների տատանումները կառավարելու համար լրացուցիչ գործիքներ: Այդ գործիքի իրավական կարգավորումը կնպաստի ներդրումների և ներդրողների ներգրավմանը, օպցիոնի պայմանագրի կողմերի միջև ծագող հարաբերությունների հստակ կարգավորմանը, իրավահարաբերությունների կայունությանն ու կանխատեսելիությանը:</w:t>
      </w:r>
    </w:p>
    <w:p w14:paraId="3B944002" w14:textId="77777777" w:rsidR="00DB112D" w:rsidRPr="000B48D5" w:rsidRDefault="00DB112D" w:rsidP="00DB112D">
      <w:pPr>
        <w:spacing w:after="0" w:line="312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 xml:space="preserve">Նախագծի ընդունմամբ լրացուցիչ ֆինանսական միջոցների անհրաժեշտություն և պետական բյուջեի եկամուտներում և ծախսերում փոփոխություններ չեն սպասվում: </w:t>
      </w:r>
    </w:p>
    <w:p w14:paraId="4168655E" w14:textId="77777777" w:rsidR="00DB112D" w:rsidRPr="000B48D5" w:rsidRDefault="00DB112D" w:rsidP="00DB112D">
      <w:pPr>
        <w:spacing w:line="276" w:lineRule="auto"/>
        <w:jc w:val="both"/>
        <w:rPr>
          <w:rFonts w:ascii="GHEA Grapalat" w:hAnsi="GHEA Grapalat" w:cstheme="majorHAnsi"/>
          <w:sz w:val="24"/>
          <w:szCs w:val="24"/>
        </w:rPr>
      </w:pPr>
    </w:p>
    <w:p w14:paraId="5D059C6A" w14:textId="77777777" w:rsidR="00DB112D" w:rsidRPr="000B48D5" w:rsidRDefault="00DB112D" w:rsidP="00DB112D">
      <w:pPr>
        <w:numPr>
          <w:ilvl w:val="0"/>
          <w:numId w:val="2"/>
        </w:numPr>
        <w:spacing w:after="0" w:line="312" w:lineRule="auto"/>
        <w:jc w:val="both"/>
        <w:rPr>
          <w:rFonts w:ascii="GHEA Grapalat" w:hAnsi="GHEA Grapalat" w:cstheme="majorHAnsi"/>
          <w:b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b/>
          <w:color w:val="000000"/>
          <w:sz w:val="24"/>
          <w:szCs w:val="24"/>
        </w:rPr>
        <w:t>ԿԱՊԸ ՌԱԶՄԱՎԱՐԱԿԱՆ ՓԱՍՏԱԹՂԹԵՐԻ ՀԵՏ</w:t>
      </w:r>
    </w:p>
    <w:p w14:paraId="3B4E8379" w14:textId="77777777" w:rsidR="00DB112D" w:rsidRPr="000B48D5" w:rsidRDefault="00DB112D" w:rsidP="00DB112D">
      <w:pPr>
        <w:spacing w:after="0" w:line="312" w:lineRule="auto"/>
        <w:ind w:firstLine="720"/>
        <w:jc w:val="both"/>
        <w:rPr>
          <w:rFonts w:ascii="GHEA Grapalat" w:hAnsi="GHEA Grapalat" w:cstheme="majorHAnsi"/>
          <w:sz w:val="24"/>
          <w:szCs w:val="24"/>
        </w:rPr>
      </w:pPr>
    </w:p>
    <w:p w14:paraId="4E168130" w14:textId="77777777" w:rsidR="00DB112D" w:rsidRPr="000B48D5" w:rsidRDefault="00DB112D" w:rsidP="00DB112D">
      <w:pPr>
        <w:spacing w:after="0" w:line="312" w:lineRule="auto"/>
        <w:ind w:firstLine="360"/>
        <w:jc w:val="both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 xml:space="preserve">Նախագծի ընդունումը ապահովում է «Փոքր և միջին ձեռնարկատիրության զարգացման 2020-2024 թվականների ռազմավարությունը և դրանից բխող 2020-2022 թվականների գործողությունների ծրագիրը հաստատելու մասին» Հայաստանի Հանրապետության կառավարության 2020 թվականի օգոստոսի 27–ի №1443-Լ որոշման Հավելված №2–ի 1.4.2 կետի (Անհրաժեշտության դեպքում մշակել ներդրումնային ֆոնդերի և բիզնես-հրեշտակների կայացմանը նպաստող օրենսդրական բարեփոխումների փաթեթ) դրույթների կատարումը։ </w:t>
      </w:r>
    </w:p>
    <w:p w14:paraId="5066EC2C" w14:textId="77777777" w:rsidR="00DB112D" w:rsidRPr="000B48D5" w:rsidRDefault="00DB112D" w:rsidP="00DB112D">
      <w:pPr>
        <w:tabs>
          <w:tab w:val="left" w:pos="1650"/>
        </w:tabs>
        <w:spacing w:line="276" w:lineRule="auto"/>
        <w:rPr>
          <w:rFonts w:ascii="GHEA Grapalat" w:hAnsi="GHEA Grapalat" w:cstheme="majorHAnsi"/>
          <w:sz w:val="24"/>
          <w:szCs w:val="24"/>
        </w:rPr>
      </w:pPr>
      <w:r w:rsidRPr="000B48D5">
        <w:rPr>
          <w:rFonts w:ascii="GHEA Grapalat" w:hAnsi="GHEA Grapalat" w:cstheme="majorHAnsi"/>
          <w:sz w:val="24"/>
          <w:szCs w:val="24"/>
        </w:rPr>
        <w:tab/>
      </w:r>
    </w:p>
    <w:p w14:paraId="177F36BE" w14:textId="77777777" w:rsidR="00DB112D" w:rsidRPr="000B48D5" w:rsidRDefault="00DB112D" w:rsidP="00DB112D">
      <w:pPr>
        <w:numPr>
          <w:ilvl w:val="0"/>
          <w:numId w:val="2"/>
        </w:numPr>
        <w:spacing w:after="0" w:line="312" w:lineRule="auto"/>
        <w:jc w:val="both"/>
        <w:rPr>
          <w:rFonts w:ascii="GHEA Grapalat" w:hAnsi="GHEA Grapalat" w:cstheme="majorHAnsi"/>
          <w:b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b/>
          <w:color w:val="000000"/>
          <w:sz w:val="24"/>
          <w:szCs w:val="24"/>
        </w:rPr>
        <w:t>ՆԱԽԱԳԻԾԸ ՄՇԱԿՈՂ ՄԱՐՄԻՆՆԵՐԸ</w:t>
      </w:r>
    </w:p>
    <w:p w14:paraId="0663D9F0" w14:textId="77777777" w:rsidR="00DB112D" w:rsidRPr="000B48D5" w:rsidRDefault="00DB112D" w:rsidP="00DB112D">
      <w:pPr>
        <w:spacing w:after="0" w:line="312" w:lineRule="auto"/>
        <w:ind w:firstLine="360"/>
        <w:jc w:val="both"/>
        <w:rPr>
          <w:rFonts w:ascii="GHEA Grapalat" w:hAnsi="GHEA Grapalat" w:cstheme="majorHAnsi"/>
          <w:color w:val="000000"/>
          <w:sz w:val="24"/>
          <w:szCs w:val="24"/>
        </w:rPr>
      </w:pPr>
      <w:r w:rsidRPr="000B48D5">
        <w:rPr>
          <w:rFonts w:ascii="GHEA Grapalat" w:hAnsi="GHEA Grapalat" w:cstheme="majorHAnsi"/>
          <w:color w:val="000000"/>
          <w:sz w:val="24"/>
          <w:szCs w:val="24"/>
        </w:rPr>
        <w:lastRenderedPageBreak/>
        <w:t>Նախագիծը մշակվել է Վերակառուցման և Զարգացման Եվրոպական Բանկի Հայաստանի Ներդրումային Խորհրդի և ՀՀ էկոնոմիկայի նախարարության կողմից:</w:t>
      </w:r>
    </w:p>
    <w:p w14:paraId="3FAC8788" w14:textId="77777777" w:rsidR="00DB112D" w:rsidRPr="000B48D5" w:rsidRDefault="00DB112D" w:rsidP="00DB112D">
      <w:pPr>
        <w:tabs>
          <w:tab w:val="left" w:pos="1650"/>
        </w:tabs>
        <w:spacing w:line="276" w:lineRule="auto"/>
        <w:rPr>
          <w:rFonts w:ascii="GHEA Grapalat" w:hAnsi="GHEA Grapalat" w:cstheme="majorHAnsi"/>
          <w:sz w:val="24"/>
          <w:szCs w:val="24"/>
        </w:rPr>
      </w:pPr>
    </w:p>
    <w:p w14:paraId="58D840D9" w14:textId="77777777" w:rsidR="00DB112D" w:rsidRPr="000B48D5" w:rsidRDefault="00DB112D" w:rsidP="00DB112D">
      <w:pPr>
        <w:rPr>
          <w:rFonts w:ascii="GHEA Grapalat" w:hAnsi="GHEA Grapalat" w:cstheme="majorHAnsi"/>
          <w:sz w:val="24"/>
          <w:szCs w:val="24"/>
        </w:rPr>
      </w:pPr>
    </w:p>
    <w:p w14:paraId="013FC6CC" w14:textId="77777777" w:rsidR="00AB6550" w:rsidRPr="000B48D5" w:rsidRDefault="00AB6550">
      <w:pPr>
        <w:rPr>
          <w:rFonts w:ascii="GHEA Grapalat" w:hAnsi="GHEA Grapalat"/>
        </w:rPr>
      </w:pPr>
    </w:p>
    <w:sectPr w:rsidR="00AB6550" w:rsidRPr="000B4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70CCD"/>
    <w:multiLevelType w:val="multilevel"/>
    <w:tmpl w:val="6FEAC6D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C55EA"/>
    <w:multiLevelType w:val="multilevel"/>
    <w:tmpl w:val="832477B4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num w:numId="1" w16cid:durableId="403531735">
    <w:abstractNumId w:val="1"/>
  </w:num>
  <w:num w:numId="2" w16cid:durableId="214507404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5C"/>
    <w:rsid w:val="000B48D5"/>
    <w:rsid w:val="00535C6F"/>
    <w:rsid w:val="00AB6550"/>
    <w:rsid w:val="00BA2D5C"/>
    <w:rsid w:val="00DB112D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8D7C"/>
  <w15:chartTrackingRefBased/>
  <w15:docId w15:val="{720A8BA9-342D-41F6-95B6-69F49A11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2D"/>
    <w:pPr>
      <w:spacing w:line="256" w:lineRule="auto"/>
    </w:pPr>
    <w:rPr>
      <w:rFonts w:ascii="Calibri" w:eastAsia="Calibri" w:hAnsi="Calibri" w:cs="Calibri"/>
      <w:kern w:val="0"/>
      <w:lang w:val="hy-AM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A. Hayrapetyan</dc:creator>
  <cp:keywords/>
  <dc:description/>
  <cp:lastModifiedBy>Albert A. Hayrapetyan</cp:lastModifiedBy>
  <cp:revision>9</cp:revision>
  <dcterms:created xsi:type="dcterms:W3CDTF">2023-03-22T11:37:00Z</dcterms:created>
  <dcterms:modified xsi:type="dcterms:W3CDTF">2023-03-22T12:07:00Z</dcterms:modified>
</cp:coreProperties>
</file>