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EB6094">
      <w:pPr>
        <w:pStyle w:val="NoSpacing"/>
        <w:spacing w:line="360" w:lineRule="auto"/>
        <w:ind w:right="-330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582678" w:rsidRDefault="008C2FE3" w:rsidP="00EB6094">
      <w:pPr>
        <w:shd w:val="clear" w:color="auto" w:fill="FFFFFF"/>
        <w:spacing w:after="0" w:line="360" w:lineRule="auto"/>
        <w:ind w:right="-330"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ԿԱՐԳԸ </w:t>
      </w:r>
      <w:r w:rsidR="00FD1DFE">
        <w:rPr>
          <w:rFonts w:ascii="GHEA Grapalat" w:hAnsi="GHEA Grapalat"/>
          <w:b/>
          <w:sz w:val="24"/>
          <w:szCs w:val="24"/>
          <w:lang w:val="hy-AM"/>
        </w:rPr>
        <w:t xml:space="preserve">ՍԱՀՄԱՆԵԼՈՒ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ՄԱՍԻՆ» </w:t>
      </w:r>
      <w:r w:rsidR="00974556" w:rsidRPr="0058267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BF4987" w:rsidRPr="00582678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EB6094" w:rsidRPr="00582678" w:rsidRDefault="00EB6094" w:rsidP="00EB6094">
      <w:pPr>
        <w:shd w:val="clear" w:color="auto" w:fill="FFFFFF"/>
        <w:spacing w:after="0" w:line="360" w:lineRule="auto"/>
        <w:ind w:right="-330"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B7C4A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567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582678" w:rsidRPr="00582678" w:rsidRDefault="00582678" w:rsidP="0058267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Վառելիքի շուկայում լցակայանների նկատմամբ տուգանքի արդարացի բաշխման համակարգի կիրառումն է՝ լցակայանի տվյալ հասցեում խախտման դեպքով պայմանավորված եւ լցակայանների կողմից իրականացվող թերլցումներից սպառողների իրավունքների պաշտպանությունը, որի </w:t>
      </w:r>
      <w:r w:rsidR="008066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</w:t>
      </w: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անցում է կատարվել տուգանքի սահմանման առավել արդարացի բաշխման համակարգի, համաձայն որի՝ տուգանքը սահմանվել է կազմակերպության այն հասցեի/հասցեների վրա, որոնք կատարել են տվյալ խախտումը, իսկ խախտման չափը սահմանել նվազագույն աշխատավարձի երկուհարյուրապատիկի եւ տվյալ գործունեության իրականացման հասցեում արձանագրված խախտման օրվան նախորդող եռամսյակի իրացման շրջանառության մեկ </w:t>
      </w:r>
      <w:r w:rsidR="008066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 տոկոսի չափով՝ հաշվի առնելով տնտեսվարողների շրջանառության ծավալների տարբերություններն ու սպառողներին դրանցից բխող պատճառված վնասի չափը:</w:t>
      </w:r>
    </w:p>
    <w:p w:rsidR="00292AE0" w:rsidRPr="00582678" w:rsidRDefault="008C2FE3" w:rsidP="0058267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Վարչական իրավախախտումների վերաբերյալ Հայաստ</w:t>
      </w:r>
      <w:r w:rsidR="00EA4C3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անի Հանրապետության օրենսգրքում փոփոխություններ և լրացումներ կատարելու մասին 2022 թվականի դեկտեմբերի 07-ին ընդունված ՀՕ-535-Ն օրենքի</w:t>
      </w:r>
      <w:r w:rsidR="00292AE0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(այսուհետ՝</w:t>
      </w:r>
      <w:r w:rsidR="00A13CCC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>Օրենք)</w:t>
      </w:r>
      <w:r w:rsidR="00EA4C3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1-ին հոդվածի իրավակարգավորումների համաձայն՝ </w:t>
      </w:r>
      <w:r w:rsidR="00292AE0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տուգանքի չափը սահմանվել է հետևյալ կերպ՝ </w:t>
      </w:r>
      <w:r w:rsidR="00292AE0" w:rsidRPr="00582678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սահմանված նվազագույն աշխատավարձի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>երկուհարյուրապատիկի</w:t>
      </w:r>
      <w:r w:rsidR="00292AE0" w:rsidRPr="00582678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և ստուգմանը նախորդող եռամսյակի տվյալ </w:t>
      </w:r>
      <w:r w:rsidR="00EB6094" w:rsidRPr="00582678">
        <w:rPr>
          <w:rFonts w:ascii="GHEA Grapalat" w:hAnsi="GHEA Grapalat"/>
          <w:bCs/>
          <w:i/>
          <w:sz w:val="24"/>
          <w:szCs w:val="24"/>
          <w:lang w:val="hy-AM"/>
        </w:rPr>
        <w:lastRenderedPageBreak/>
        <w:t xml:space="preserve">գործունեության իրականացման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հասցեում հսկիչ դրամարկղային մեքենաներով </w:t>
      </w:r>
      <w:r w:rsidR="00EB6094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իրացման 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շրջանառության մեկ </w:t>
      </w:r>
      <w:r w:rsidR="00292AE0" w:rsidRPr="00582678">
        <w:rPr>
          <w:rFonts w:ascii="GHEA Grapalat" w:hAnsi="GHEA Grapalat" w:cs="GHEA Grapalat"/>
          <w:bCs/>
          <w:i/>
          <w:sz w:val="24"/>
          <w:szCs w:val="24"/>
          <w:lang w:val="hy-AM"/>
        </w:rPr>
        <w:t>տոկոսի</w:t>
      </w:r>
      <w:r w:rsidR="00292AE0" w:rsidRPr="00582678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GHEA Grapalat"/>
          <w:bCs/>
          <w:i/>
          <w:sz w:val="24"/>
          <w:szCs w:val="24"/>
          <w:lang w:val="hy-AM"/>
        </w:rPr>
        <w:t>չափով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292AE0" w:rsidRPr="00582678">
        <w:rPr>
          <w:rFonts w:ascii="GHEA Grapalat" w:hAnsi="GHEA Grapalat" w:cs="GHEA Grapalat"/>
          <w:bCs/>
          <w:sz w:val="24"/>
          <w:szCs w:val="24"/>
          <w:lang w:val="hy-AM"/>
        </w:rPr>
        <w:t>որի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92AE0" w:rsidRPr="00582678">
        <w:rPr>
          <w:rFonts w:ascii="GHEA Grapalat" w:hAnsi="GHEA Grapalat" w:cs="GHEA Grapalat"/>
          <w:bCs/>
          <w:sz w:val="24"/>
          <w:szCs w:val="24"/>
          <w:lang w:val="hy-AM"/>
        </w:rPr>
        <w:t>վե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>րաբերյալ տեղեկություն</w:t>
      </w:r>
      <w:r w:rsidR="00EB6094" w:rsidRPr="00582678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A13CCC" w:rsidRPr="00582678">
        <w:rPr>
          <w:rFonts w:ascii="GHEA Grapalat" w:hAnsi="GHEA Grapalat"/>
          <w:bCs/>
          <w:sz w:val="24"/>
          <w:szCs w:val="24"/>
          <w:lang w:val="hy-AM"/>
        </w:rPr>
        <w:t>Պ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 xml:space="preserve">ետական եկամուտների կոմիտեն տրամադրում է </w:t>
      </w:r>
      <w:r w:rsidR="00A13CCC" w:rsidRPr="00582678">
        <w:rPr>
          <w:rFonts w:ascii="GHEA Grapalat" w:hAnsi="GHEA Grapalat"/>
          <w:bCs/>
          <w:sz w:val="24"/>
          <w:szCs w:val="24"/>
          <w:lang w:val="hy-AM"/>
        </w:rPr>
        <w:t>չափումների միասնականության ապահովման ոլորտում վերահսկողություն իրականացնող տեսչական մարմնին</w:t>
      </w:r>
      <w:r w:rsidR="005826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82678" w:rsidRPr="00582678">
        <w:rPr>
          <w:rFonts w:ascii="GHEA Grapalat" w:hAnsi="GHEA Grapalat"/>
          <w:bCs/>
          <w:sz w:val="24"/>
          <w:szCs w:val="24"/>
          <w:lang w:val="hy-AM"/>
        </w:rPr>
        <w:t>(</w:t>
      </w:r>
      <w:r w:rsidR="00582678">
        <w:rPr>
          <w:rFonts w:ascii="GHEA Grapalat" w:hAnsi="GHEA Grapalat"/>
          <w:bCs/>
          <w:sz w:val="24"/>
          <w:szCs w:val="24"/>
          <w:lang w:val="hy-AM"/>
        </w:rPr>
        <w:t>այսուհետ՝ Տեսչական մարմին</w:t>
      </w:r>
      <w:r w:rsidR="00582678" w:rsidRPr="00582678">
        <w:rPr>
          <w:rFonts w:ascii="GHEA Grapalat" w:hAnsi="GHEA Grapalat"/>
          <w:bCs/>
          <w:sz w:val="24"/>
          <w:szCs w:val="24"/>
          <w:lang w:val="hy-AM"/>
        </w:rPr>
        <w:t>)</w:t>
      </w:r>
      <w:r w:rsidR="00292AE0" w:rsidRPr="00582678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622F60" w:rsidRPr="00582678" w:rsidRDefault="00A13CCC" w:rsidP="00582678">
      <w:pPr>
        <w:pStyle w:val="BodyText"/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582678">
        <w:rPr>
          <w:rFonts w:ascii="GHEA Grapalat" w:hAnsi="GHEA Grapalat"/>
          <w:bCs/>
          <w:lang w:val="hy-AM"/>
        </w:rPr>
        <w:t xml:space="preserve">          </w:t>
      </w:r>
      <w:r w:rsidR="001D3AAC" w:rsidRPr="00582678">
        <w:rPr>
          <w:rFonts w:ascii="GHEA Grapalat" w:hAnsi="GHEA Grapalat"/>
          <w:bCs/>
          <w:lang w:val="hy-AM"/>
        </w:rPr>
        <w:t xml:space="preserve"> </w:t>
      </w:r>
      <w:r w:rsidR="00582678">
        <w:rPr>
          <w:rFonts w:ascii="GHEA Grapalat" w:hAnsi="GHEA Grapalat"/>
          <w:bCs/>
          <w:lang w:val="hy-AM"/>
        </w:rPr>
        <w:t xml:space="preserve"> </w:t>
      </w:r>
      <w:r w:rsidRPr="00582678">
        <w:rPr>
          <w:rFonts w:ascii="GHEA Grapalat" w:hAnsi="GHEA Grapalat"/>
          <w:bCs/>
          <w:lang w:val="hy-AM"/>
        </w:rPr>
        <w:t xml:space="preserve">Օրենքի 2-րդ հոդվածի </w:t>
      </w:r>
      <w:r w:rsidR="00622F60" w:rsidRPr="00582678">
        <w:rPr>
          <w:rFonts w:ascii="GHEA Grapalat" w:hAnsi="GHEA Grapalat"/>
          <w:bCs/>
          <w:lang w:val="hy-AM"/>
        </w:rPr>
        <w:t xml:space="preserve">համաձայն՝ </w:t>
      </w:r>
      <w:r w:rsidR="00622F60" w:rsidRPr="00582678">
        <w:rPr>
          <w:rFonts w:ascii="GHEA Grapalat" w:hAnsi="GHEA Grapalat"/>
          <w:color w:val="000000"/>
          <w:shd w:val="clear" w:color="auto" w:fill="FFFFFF"/>
          <w:lang w:val="hy-AM"/>
        </w:rPr>
        <w:t xml:space="preserve">տուգանքի չափը սահմանվել է հետևյալ կերպ՝ սահմանված նվազագույն աշխատավարձի </w:t>
      </w:r>
      <w:r w:rsidR="00622F60" w:rsidRPr="00582678">
        <w:rPr>
          <w:rFonts w:ascii="GHEA Grapalat" w:hAnsi="GHEA Grapalat"/>
          <w:bCs/>
          <w:lang w:val="hy-AM"/>
        </w:rPr>
        <w:t>երկուհարյուրապատիկի</w:t>
      </w:r>
      <w:r w:rsidR="00622F60" w:rsidRPr="005826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22F60" w:rsidRPr="00582678">
        <w:rPr>
          <w:rFonts w:ascii="GHEA Grapalat" w:hAnsi="GHEA Grapalat"/>
          <w:bCs/>
          <w:lang w:val="hy-AM"/>
        </w:rPr>
        <w:t xml:space="preserve">և ստուգմանը նախորդող եռամսյակի տվյալ </w:t>
      </w:r>
      <w:r w:rsidR="00EB6094" w:rsidRPr="00582678">
        <w:rPr>
          <w:rFonts w:ascii="GHEA Grapalat" w:hAnsi="GHEA Grapalat"/>
          <w:bCs/>
          <w:lang w:val="hy-AM"/>
        </w:rPr>
        <w:t xml:space="preserve">գործունեության իրականացման </w:t>
      </w:r>
      <w:r w:rsidR="00622F60" w:rsidRPr="00582678">
        <w:rPr>
          <w:rFonts w:ascii="GHEA Grapalat" w:hAnsi="GHEA Grapalat"/>
          <w:bCs/>
          <w:lang w:val="hy-AM"/>
        </w:rPr>
        <w:t xml:space="preserve">հասցեում հսկիչ դրամարկղային մեքենաներով </w:t>
      </w:r>
      <w:r w:rsidR="00EB6094" w:rsidRPr="00582678">
        <w:rPr>
          <w:rFonts w:ascii="GHEA Grapalat" w:hAnsi="GHEA Grapalat"/>
          <w:bCs/>
          <w:lang w:val="hy-AM"/>
        </w:rPr>
        <w:t xml:space="preserve">իրացման </w:t>
      </w:r>
      <w:r w:rsidR="00622F60" w:rsidRPr="00582678">
        <w:rPr>
          <w:rFonts w:ascii="GHEA Grapalat" w:hAnsi="GHEA Grapalat"/>
          <w:bCs/>
          <w:lang w:val="hy-AM"/>
        </w:rPr>
        <w:t xml:space="preserve">շրջանառության երկու </w:t>
      </w:r>
      <w:r w:rsidR="00622F60" w:rsidRPr="00582678">
        <w:rPr>
          <w:rFonts w:ascii="GHEA Grapalat" w:hAnsi="GHEA Grapalat" w:cs="GHEA Grapalat"/>
          <w:bCs/>
          <w:lang w:val="hy-AM"/>
        </w:rPr>
        <w:t>տոկոսի</w:t>
      </w:r>
      <w:r w:rsidR="00622F60" w:rsidRPr="00582678">
        <w:rPr>
          <w:rFonts w:ascii="GHEA Grapalat" w:hAnsi="GHEA Grapalat"/>
          <w:bCs/>
          <w:lang w:val="hy-AM"/>
        </w:rPr>
        <w:t xml:space="preserve"> </w:t>
      </w:r>
      <w:r w:rsidR="00622F60" w:rsidRPr="00582678">
        <w:rPr>
          <w:rFonts w:ascii="GHEA Grapalat" w:hAnsi="GHEA Grapalat" w:cs="GHEA Grapalat"/>
          <w:bCs/>
          <w:lang w:val="hy-AM"/>
        </w:rPr>
        <w:t>չափով</w:t>
      </w:r>
      <w:r w:rsidR="00622F60" w:rsidRPr="00582678">
        <w:rPr>
          <w:rFonts w:ascii="GHEA Grapalat" w:hAnsi="GHEA Grapalat"/>
          <w:bCs/>
          <w:lang w:val="hy-AM"/>
        </w:rPr>
        <w:t xml:space="preserve">, </w:t>
      </w:r>
      <w:r w:rsidR="00622F60" w:rsidRPr="00582678">
        <w:rPr>
          <w:rFonts w:ascii="GHEA Grapalat" w:hAnsi="GHEA Grapalat" w:cs="GHEA Grapalat"/>
          <w:bCs/>
          <w:lang w:val="hy-AM"/>
        </w:rPr>
        <w:t>որի</w:t>
      </w:r>
      <w:r w:rsidR="00622F60" w:rsidRPr="00582678">
        <w:rPr>
          <w:rFonts w:ascii="GHEA Grapalat" w:hAnsi="GHEA Grapalat"/>
          <w:bCs/>
          <w:lang w:val="hy-AM"/>
        </w:rPr>
        <w:t xml:space="preserve"> </w:t>
      </w:r>
      <w:r w:rsidR="00622F60" w:rsidRPr="00582678">
        <w:rPr>
          <w:rFonts w:ascii="GHEA Grapalat" w:hAnsi="GHEA Grapalat" w:cs="GHEA Grapalat"/>
          <w:bCs/>
          <w:lang w:val="hy-AM"/>
        </w:rPr>
        <w:t>վե</w:t>
      </w:r>
      <w:r w:rsidR="00622F60" w:rsidRPr="00582678">
        <w:rPr>
          <w:rFonts w:ascii="GHEA Grapalat" w:hAnsi="GHEA Grapalat"/>
          <w:bCs/>
          <w:lang w:val="hy-AM"/>
        </w:rPr>
        <w:t>րաբերյալ տեղեկ</w:t>
      </w:r>
      <w:r w:rsidR="00582678">
        <w:rPr>
          <w:rFonts w:ascii="GHEA Grapalat" w:hAnsi="GHEA Grapalat"/>
          <w:bCs/>
          <w:lang w:val="hy-AM"/>
        </w:rPr>
        <w:t>ութ</w:t>
      </w:r>
      <w:r w:rsidR="00622F60" w:rsidRPr="00582678">
        <w:rPr>
          <w:rFonts w:ascii="GHEA Grapalat" w:hAnsi="GHEA Grapalat"/>
          <w:bCs/>
          <w:lang w:val="hy-AM"/>
        </w:rPr>
        <w:t>ություն</w:t>
      </w:r>
      <w:r w:rsidR="00582678">
        <w:rPr>
          <w:rFonts w:ascii="GHEA Grapalat" w:hAnsi="GHEA Grapalat"/>
          <w:bCs/>
          <w:lang w:val="hy-AM"/>
        </w:rPr>
        <w:t>եր</w:t>
      </w:r>
      <w:r w:rsidR="00622F60" w:rsidRPr="00582678">
        <w:rPr>
          <w:rFonts w:ascii="GHEA Grapalat" w:hAnsi="GHEA Grapalat"/>
          <w:bCs/>
          <w:lang w:val="hy-AM"/>
        </w:rPr>
        <w:t xml:space="preserve">ը Պետական եկամուտների կոմիտեն տրամադրում է </w:t>
      </w:r>
      <w:r w:rsidR="00582678">
        <w:rPr>
          <w:rFonts w:ascii="GHEA Grapalat" w:hAnsi="GHEA Grapalat"/>
          <w:bCs/>
          <w:lang w:val="hy-AM"/>
        </w:rPr>
        <w:t>Տ</w:t>
      </w:r>
      <w:r w:rsidR="00622F60" w:rsidRPr="00582678">
        <w:rPr>
          <w:rFonts w:ascii="GHEA Grapalat" w:hAnsi="GHEA Grapalat"/>
          <w:bCs/>
          <w:lang w:val="hy-AM"/>
        </w:rPr>
        <w:t>եսչական մարմնին։</w:t>
      </w:r>
    </w:p>
    <w:p w:rsidR="00622F60" w:rsidRPr="00582678" w:rsidRDefault="00D37F77" w:rsidP="00582678">
      <w:pPr>
        <w:pStyle w:val="BodyText"/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582678">
        <w:rPr>
          <w:rFonts w:ascii="GHEA Grapalat" w:hAnsi="GHEA Grapalat"/>
          <w:bCs/>
          <w:lang w:val="hy-AM"/>
        </w:rPr>
        <w:t xml:space="preserve">             Օրենքի</w:t>
      </w:r>
      <w:r w:rsidR="00EB6094" w:rsidRPr="00582678">
        <w:rPr>
          <w:rFonts w:ascii="GHEA Grapalat" w:hAnsi="GHEA Grapalat"/>
          <w:bCs/>
          <w:lang w:val="hy-AM"/>
        </w:rPr>
        <w:t xml:space="preserve"> իրավակագավորումների համատեքստում </w:t>
      </w:r>
      <w:r w:rsidR="00582678">
        <w:rPr>
          <w:rFonts w:ascii="GHEA Grapalat" w:hAnsi="GHEA Grapalat"/>
          <w:bCs/>
          <w:lang w:val="hy-AM"/>
        </w:rPr>
        <w:t xml:space="preserve">և Օրենքի 5-րդ հոդվածի 2-րդ մասի համաձայն՝ </w:t>
      </w:r>
      <w:r w:rsidR="00EB6094" w:rsidRPr="00582678">
        <w:rPr>
          <w:rFonts w:ascii="GHEA Grapalat" w:hAnsi="GHEA Grapalat"/>
          <w:bCs/>
          <w:lang w:val="hy-AM"/>
        </w:rPr>
        <w:t xml:space="preserve">անհրաժեշտություն է առաջացել մշակել </w:t>
      </w:r>
      <w:r w:rsidR="00EB6094" w:rsidRPr="00582678">
        <w:rPr>
          <w:rFonts w:ascii="GHEA Grapalat" w:hAnsi="GHEA Grapalat"/>
          <w:noProof/>
          <w:color w:val="000000"/>
          <w:lang w:val="hy-AM" w:eastAsia="en-GB"/>
        </w:rPr>
        <w:t>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կարգ</w:t>
      </w:r>
      <w:r w:rsidR="00582678">
        <w:rPr>
          <w:rFonts w:ascii="GHEA Grapalat" w:hAnsi="GHEA Grapalat"/>
          <w:noProof/>
          <w:color w:val="000000"/>
          <w:lang w:val="hy-AM" w:eastAsia="en-GB"/>
        </w:rPr>
        <w:t xml:space="preserve">: </w:t>
      </w:r>
    </w:p>
    <w:p w:rsidR="00D37F77" w:rsidRPr="00582678" w:rsidRDefault="00D37F77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 w:cs="Sylfaen"/>
          <w:spacing w:val="-2"/>
          <w:lang w:val="hy-AM"/>
        </w:rPr>
      </w:pPr>
    </w:p>
    <w:p w:rsidR="00D37F77" w:rsidRPr="00582678" w:rsidRDefault="008F4F36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1171F6" w:rsidRPr="00582678" w:rsidRDefault="008F4F36" w:rsidP="00EB6094">
      <w:pPr>
        <w:tabs>
          <w:tab w:val="left" w:pos="993"/>
        </w:tabs>
        <w:spacing w:after="0" w:line="360" w:lineRule="auto"/>
        <w:ind w:right="-33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հաստատել Պետական եկամուտների կոմիտեի կողմից չափումների միասնականության ապահովման ոլորտում վերահսկողություն իրականացնող տեսչական մարմնին ստուգմանը նախորդող եռամսյակի տվյալ գործունեության իրականացման հասցեում հսկիչ դրամարկղային մեքենաներով իրացման շրջանառության վերաբերյալ տեղեկատվության տրամադրման կարգը, </w:t>
      </w:r>
      <w:r w:rsidR="00DB0484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տեղեկատվության բովանդակությունը, 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պարբերականությունը, տեղեկատվության տրամադրման ձևը</w:t>
      </w:r>
      <w:r w:rsidR="00FA6EB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, ժամկետը</w:t>
      </w:r>
      <w:r w:rsidR="00DB0484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և եղանակը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: </w:t>
      </w:r>
    </w:p>
    <w:p w:rsidR="00D37F77" w:rsidRPr="00582678" w:rsidRDefault="00D37F77" w:rsidP="00EB6094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1221A5" w:rsidRPr="00582678" w:rsidRDefault="001221A5" w:rsidP="00EB6094">
      <w:pPr>
        <w:pStyle w:val="NormalWeb"/>
        <w:spacing w:before="0" w:beforeAutospacing="0" w:after="0" w:afterAutospacing="0" w:line="360" w:lineRule="auto"/>
        <w:ind w:right="-330" w:firstLine="284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EB6094">
      <w:pPr>
        <w:pStyle w:val="NormalWeb"/>
        <w:spacing w:before="0" w:beforeAutospacing="0" w:after="0" w:afterAutospacing="0" w:line="360" w:lineRule="auto"/>
        <w:ind w:right="-330" w:firstLine="284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D04A1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Միաժամանակ Նախագծի ընդունման արդյունքում, Տ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>եսչական մարմ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ինը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հնարավորություն կընձեռի Պետական եկամուտների կոմիտեի կողմից տրամադրած տեղեկությունների հիման վրա և  </w:t>
      </w:r>
      <w:r w:rsidR="00D04A17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տնտեսվարողների </w:t>
      </w:r>
      <w:r w:rsidR="00D04A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իրացման </w:t>
      </w:r>
      <w:r w:rsidR="00D04A17" w:rsidRPr="00582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շրջանառության ծավալներ</w:t>
      </w:r>
      <w:r w:rsidR="00D04A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04A17" w:rsidRPr="00D04A1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հաշվարկել համաչափ տուգանք: </w:t>
      </w:r>
    </w:p>
    <w:p w:rsidR="001171F6" w:rsidRPr="00582678" w:rsidRDefault="001171F6" w:rsidP="00EB6094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71F6" w:rsidRPr="00582678" w:rsidRDefault="008645ED" w:rsidP="00EB6094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1171F6" w:rsidRPr="00582678" w:rsidRDefault="001171F6" w:rsidP="00EB6094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 w:eastAsia="en-GB"/>
        </w:rPr>
        <w:t xml:space="preserve">Նախագիծը բխում է </w:t>
      </w:r>
      <w:r w:rsidRPr="0058267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 w:eastAsia="en-GB"/>
        </w:rPr>
        <w:t>Հայաստանի Հանրապետության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որոշման հավելվածի 11.5 ենթակետի պահանջներից, մասնավորապես՝ «Շուկայի վերահսկողության տեսչական մարմնի ոլորտը կարգավորող համապատասխան իրավական ակտի ընդունում (ոլորտի գործող օրենսդրության կատարելագործում, օրենսդրական բացերի լրացում)»:</w:t>
      </w:r>
    </w:p>
    <w:p w:rsidR="00C768CA" w:rsidRPr="00582678" w:rsidRDefault="00C768CA" w:rsidP="00EB6094">
      <w:pPr>
        <w:spacing w:after="0" w:line="360" w:lineRule="auto"/>
        <w:ind w:right="-330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8645ED" w:rsidRPr="00582678" w:rsidRDefault="008645ED" w:rsidP="00EB6094">
      <w:pPr>
        <w:pStyle w:val="ListParagraph"/>
        <w:numPr>
          <w:ilvl w:val="0"/>
          <w:numId w:val="22"/>
        </w:numPr>
        <w:spacing w:after="0" w:line="360" w:lineRule="auto"/>
        <w:ind w:left="0" w:right="-330" w:firstLine="567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Այլ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նորմատիվ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ակտերի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</w:t>
      </w:r>
      <w:r w:rsidRPr="00582678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</w:t>
      </w:r>
      <w:r w:rsidRPr="0058267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անհրաժեշտության վերաբերյալ</w:t>
      </w:r>
    </w:p>
    <w:p w:rsidR="00EB6094" w:rsidRPr="00582678" w:rsidRDefault="0080664F" w:rsidP="00EB6094">
      <w:pPr>
        <w:pStyle w:val="NoSpacing"/>
        <w:spacing w:line="360" w:lineRule="auto"/>
        <w:ind w:right="-33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EB6094" w:rsidRPr="005826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ախագծի  </w:t>
      </w:r>
      <w:r w:rsidR="00EB6094" w:rsidRPr="00582678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EB6094" w:rsidRPr="00582678" w:rsidRDefault="00EB6094" w:rsidP="00EB6094">
      <w:pPr>
        <w:spacing w:after="0" w:line="360" w:lineRule="auto"/>
        <w:ind w:right="-33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645ED" w:rsidRPr="00582678" w:rsidRDefault="008645ED" w:rsidP="00EB6094">
      <w:pPr>
        <w:spacing w:after="0" w:line="360" w:lineRule="auto"/>
        <w:ind w:right="-33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7. Պետական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և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5826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AA6910" w:rsidRPr="00AA6910" w:rsidRDefault="00AA6910" w:rsidP="00AA6910">
      <w:pPr>
        <w:spacing w:after="0" w:line="360" w:lineRule="auto"/>
        <w:jc w:val="both"/>
        <w:rPr>
          <w:rFonts w:ascii="GHEA Grapalat" w:hAnsi="GHEA Grapalat"/>
          <w:b/>
          <w:iCs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lastRenderedPageBreak/>
        <w:t>Ն</w:t>
      </w:r>
      <w:r w:rsidRPr="00AA6910">
        <w:rPr>
          <w:rFonts w:ascii="GHEA Grapalat" w:hAnsi="GHEA Grapalat"/>
          <w:sz w:val="24"/>
          <w:szCs w:val="24"/>
          <w:lang w:val="hy-AM"/>
        </w:rPr>
        <w:t>ախագծի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ընդունումը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կհանգեցնի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պետական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Pr="00AA6910">
        <w:rPr>
          <w:rFonts w:cs="Calibri"/>
          <w:iCs/>
          <w:color w:val="222222"/>
          <w:sz w:val="24"/>
          <w:szCs w:val="24"/>
          <w:shd w:val="clear" w:color="auto" w:fill="FFFFFF"/>
          <w:lang w:val="hy-AM"/>
        </w:rPr>
        <w:t> </w:t>
      </w:r>
      <w:r w:rsidRPr="00AA6910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 էական նվազեցմանը կամ ավելացմանը:</w:t>
      </w:r>
    </w:p>
    <w:p w:rsidR="009D3A7A" w:rsidRPr="00582678" w:rsidRDefault="009D3A7A" w:rsidP="00EB6094">
      <w:pPr>
        <w:spacing w:after="0" w:line="360" w:lineRule="auto"/>
        <w:ind w:right="-330" w:firstLine="284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582678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F2DCC"/>
    <w:rsid w:val="000F658D"/>
    <w:rsid w:val="000F7713"/>
    <w:rsid w:val="00112EC6"/>
    <w:rsid w:val="001171F6"/>
    <w:rsid w:val="00120752"/>
    <w:rsid w:val="001221A5"/>
    <w:rsid w:val="00134914"/>
    <w:rsid w:val="001505C7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B2F87"/>
    <w:rsid w:val="002D7AF3"/>
    <w:rsid w:val="002F3BC8"/>
    <w:rsid w:val="00304C1E"/>
    <w:rsid w:val="003241A9"/>
    <w:rsid w:val="00326ED7"/>
    <w:rsid w:val="00347268"/>
    <w:rsid w:val="003638BE"/>
    <w:rsid w:val="00371463"/>
    <w:rsid w:val="00376867"/>
    <w:rsid w:val="00383681"/>
    <w:rsid w:val="00394E7F"/>
    <w:rsid w:val="003E17DA"/>
    <w:rsid w:val="003E317B"/>
    <w:rsid w:val="003F4DA3"/>
    <w:rsid w:val="00446181"/>
    <w:rsid w:val="00464C3A"/>
    <w:rsid w:val="004740C7"/>
    <w:rsid w:val="004B38A2"/>
    <w:rsid w:val="004E461A"/>
    <w:rsid w:val="005140A1"/>
    <w:rsid w:val="00541752"/>
    <w:rsid w:val="00582678"/>
    <w:rsid w:val="005A5AF8"/>
    <w:rsid w:val="005B0936"/>
    <w:rsid w:val="005B0C57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9F3387"/>
    <w:rsid w:val="00A13CCC"/>
    <w:rsid w:val="00A4695B"/>
    <w:rsid w:val="00A5098B"/>
    <w:rsid w:val="00A72112"/>
    <w:rsid w:val="00A742F7"/>
    <w:rsid w:val="00A760E2"/>
    <w:rsid w:val="00A94484"/>
    <w:rsid w:val="00AA6910"/>
    <w:rsid w:val="00AB145C"/>
    <w:rsid w:val="00AD5A86"/>
    <w:rsid w:val="00AE3D62"/>
    <w:rsid w:val="00B04234"/>
    <w:rsid w:val="00B21BB7"/>
    <w:rsid w:val="00B36403"/>
    <w:rsid w:val="00B573E1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E40216"/>
    <w:rsid w:val="00E45A8D"/>
    <w:rsid w:val="00E474BF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20934"/>
    <w:rsid w:val="00F31B63"/>
    <w:rsid w:val="00F4743D"/>
    <w:rsid w:val="00F561FB"/>
    <w:rsid w:val="00F776CD"/>
    <w:rsid w:val="00F8074D"/>
    <w:rsid w:val="00F84960"/>
    <w:rsid w:val="00F85AD4"/>
    <w:rsid w:val="00F966FA"/>
    <w:rsid w:val="00FA6EB0"/>
    <w:rsid w:val="00FB7C4A"/>
    <w:rsid w:val="00FC72F8"/>
    <w:rsid w:val="00FD1DFE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Syuzanna Gevorgyan</cp:lastModifiedBy>
  <cp:revision>2</cp:revision>
  <cp:lastPrinted>2020-08-12T09:08:00Z</cp:lastPrinted>
  <dcterms:created xsi:type="dcterms:W3CDTF">2023-02-28T12:04:00Z</dcterms:created>
  <dcterms:modified xsi:type="dcterms:W3CDTF">2023-02-28T12:04:00Z</dcterms:modified>
</cp:coreProperties>
</file>