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C8" w:rsidRPr="00394345" w:rsidRDefault="00D67FC8" w:rsidP="00D67FC8">
      <w:pPr>
        <w:spacing w:before="0" w:after="0"/>
        <w:ind w:left="-576" w:firstLine="0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394345">
        <w:rPr>
          <w:rFonts w:ascii="GHEA Grapalat" w:hAnsi="GHEA Grapalat" w:cs="Sylfaen"/>
          <w:b/>
          <w:sz w:val="24"/>
          <w:szCs w:val="24"/>
          <w:lang w:val="ro-RO"/>
        </w:rPr>
        <w:t>ՀԻՄՆԱՎՈՐՈՒՄ</w:t>
      </w:r>
    </w:p>
    <w:p w:rsidR="00D67FC8" w:rsidRPr="00663AFA" w:rsidRDefault="00D67FC8" w:rsidP="00D67FC8">
      <w:pPr>
        <w:spacing w:before="0" w:after="0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663AFA">
        <w:rPr>
          <w:rFonts w:ascii="GHEA Grapalat" w:hAnsi="GHEA Grapalat"/>
          <w:b/>
          <w:sz w:val="24"/>
          <w:szCs w:val="24"/>
          <w:lang w:val="hy-AM"/>
        </w:rPr>
        <w:t xml:space="preserve">ԻՆՏԵՐՆԵՏ ՇԱՀՈՒՄՈՎ ԽԱՂԻ, ԻՆՉՊԵՍ ՆԱԵՎ ՏՈՏՈԼԻԶԱՏՈՐԻ </w:t>
      </w:r>
      <w:r w:rsidRPr="00663AFA">
        <w:rPr>
          <w:rFonts w:ascii="GHEA Grapalat" w:hAnsi="GHEA Grapalat"/>
          <w:b/>
          <w:sz w:val="24"/>
          <w:szCs w:val="24"/>
          <w:lang w:val="af-ZA"/>
        </w:rPr>
        <w:t>(</w:t>
      </w:r>
      <w:r w:rsidRPr="00663AFA">
        <w:rPr>
          <w:rFonts w:ascii="GHEA Grapalat" w:hAnsi="GHEA Grapalat"/>
          <w:b/>
          <w:sz w:val="24"/>
          <w:szCs w:val="24"/>
          <w:lang w:val="hy-AM"/>
        </w:rPr>
        <w:t>ԱՅԴ ԹՎՈՒՄ՝ ԻՆՏԵՐՆԵՏ ՏՈՏԱԼԻԶԱՏՈՐԻ</w:t>
      </w:r>
      <w:r w:rsidRPr="00663AFA">
        <w:rPr>
          <w:rFonts w:ascii="GHEA Grapalat" w:hAnsi="GHEA Grapalat"/>
          <w:b/>
          <w:sz w:val="24"/>
          <w:szCs w:val="24"/>
          <w:lang w:val="af-ZA"/>
        </w:rPr>
        <w:t>)</w:t>
      </w:r>
      <w:r w:rsidRPr="00663AFA">
        <w:rPr>
          <w:rFonts w:ascii="GHEA Grapalat" w:hAnsi="GHEA Grapalat"/>
          <w:b/>
          <w:sz w:val="24"/>
          <w:szCs w:val="24"/>
          <w:lang w:val="hy-AM"/>
        </w:rPr>
        <w:t xml:space="preserve"> ԿԱԶՄԱԿԵՐՊՄԱՆ ԳՈՐԾՈՒՆԵՈՒԹՅՈՒՆ ԻՐԱԿԱՆԱՑՆԵԼՈՒ ԴԵՊՔՈՒՄ ԽԱՂԱԴՐՈՒՅՔ ԸՆԴՈՒՆԵԼՈՒ ԻՐԱՎՈՒՆՔ ՏՐԱՄԱԴՐԵԼՈՒ ԿԱՐԳԸ ՍԱՀՄԱՆԵԼՈՒ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D67FC8" w:rsidRDefault="00D67FC8" w:rsidP="00D67FC8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ՈՐՈՇՄԱՆ ՆԱԽԱԳԾԻ</w:t>
      </w:r>
    </w:p>
    <w:p w:rsidR="00D67FC8" w:rsidRPr="00DE4861" w:rsidRDefault="00D67FC8" w:rsidP="00D67FC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846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DE4861">
        <w:rPr>
          <w:rFonts w:eastAsia="Times New Roman"/>
          <w:b/>
          <w:bCs/>
          <w:color w:val="000000"/>
          <w:sz w:val="24"/>
          <w:szCs w:val="24"/>
          <w:lang w:val="hy-AM"/>
        </w:rPr>
        <w:t>Անհրաժեշտությունը.</w:t>
      </w:r>
    </w:p>
    <w:p w:rsidR="00D67FC8" w:rsidRPr="0026119B" w:rsidRDefault="00D67FC8" w:rsidP="00D67FC8">
      <w:pPr>
        <w:shd w:val="clear" w:color="auto" w:fill="FFFFFF"/>
        <w:spacing w:before="100" w:beforeAutospacing="1" w:after="100" w:afterAutospacing="1" w:line="360" w:lineRule="auto"/>
        <w:ind w:left="-426" w:right="-58"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6119B">
        <w:rPr>
          <w:rFonts w:ascii="GHEA Grapalat" w:eastAsia="Times New Roman" w:hAnsi="GHEA Grapalat"/>
          <w:sz w:val="24"/>
          <w:szCs w:val="24"/>
          <w:lang w:val="hy-AM"/>
        </w:rPr>
        <w:t>«Ինտերնետ շահումով խաղի, ինչպես նաև տոտալիզատորի (այդ թվում՝ ինտերնետ տոտալիզատորի) կազմակերպման գործունեություն իրականացնելու դեպքում խաղադրույք ընդունելու իրավունք տրամադրելու կարգը սահմանելու մասին» ՀՀ կառավարության որոշման  նախագծի (այսուհետ՝ Նախագիծ) մշակումը պայմանավորված է «Շահումով խաղերի, ինտերնետ շահումով խաղերի և խաղատների մասին» օրենքում լրացումներ և փոփոխություն կատարելու մասին» 2022 թվականի դեկտեմբերի 16-ի ՀՕ-574-Ն   և «Վիճակախաղերի մասին» օրենքում լրացումներ կատարելու մասին» 2022 թվականի դեկտեմբերի 16-ի ՀՕ-573-Ն ՀՀ օրենքների ընդունմամբ: Որոնց համաձայն սահմանվում է</w:t>
      </w:r>
      <w:r>
        <w:rPr>
          <w:rFonts w:ascii="GHEA Grapalat" w:eastAsia="Times New Roman" w:hAnsi="GHEA Grapalat"/>
          <w:sz w:val="24"/>
          <w:szCs w:val="24"/>
          <w:lang w:val="hy-AM"/>
        </w:rPr>
        <w:t>, որ</w:t>
      </w:r>
      <w:r w:rsidRPr="0026119B">
        <w:rPr>
          <w:rFonts w:ascii="GHEA Grapalat" w:eastAsia="Times New Roman" w:hAnsi="GHEA Grapalat"/>
          <w:sz w:val="24"/>
          <w:szCs w:val="24"/>
          <w:lang w:val="hy-AM"/>
        </w:rPr>
        <w:t xml:space="preserve"> Հայաստանի Հանրապետությունում </w:t>
      </w:r>
      <w:r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26119B">
        <w:rPr>
          <w:rFonts w:ascii="GHEA Grapalat" w:eastAsia="Times New Roman" w:hAnsi="GHEA Grapalat"/>
          <w:sz w:val="24"/>
          <w:szCs w:val="24"/>
          <w:lang w:val="hy-AM"/>
        </w:rPr>
        <w:t>նտերնետ շահումով խաղի, ինչպես նաև տոտալիզատորի (այդ թվում՝ ինտերնետ տոտալիզատորի) շահումով խաղերի, գործունեություն կարող են իրականացնել Հայաստանի Հանրապետությունում գրանցված առևտրային կազմակերպությունները` լիազոր մարմնի տված համ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ապատասխան լիցենզիայի և </w:t>
      </w:r>
      <w:r w:rsidRPr="0026119B">
        <w:rPr>
          <w:rFonts w:ascii="GHEA Grapalat" w:eastAsia="Times New Roman" w:hAnsi="GHEA Grapalat"/>
          <w:sz w:val="24"/>
          <w:szCs w:val="24"/>
          <w:lang w:val="hy-AM"/>
        </w:rPr>
        <w:t xml:space="preserve">խաղադրույք ընդունելու իրավունքի </w:t>
      </w:r>
      <w:r>
        <w:rPr>
          <w:rFonts w:ascii="GHEA Grapalat" w:eastAsia="Times New Roman" w:hAnsi="GHEA Grapalat"/>
          <w:sz w:val="24"/>
          <w:szCs w:val="24"/>
          <w:lang w:val="hy-AM"/>
        </w:rPr>
        <w:t>հիման վրա</w:t>
      </w:r>
      <w:r w:rsidRPr="0026119B">
        <w:rPr>
          <w:rFonts w:ascii="GHEA Grapalat" w:eastAsia="Times New Roman" w:hAnsi="GHEA Grapalat"/>
          <w:sz w:val="24"/>
          <w:szCs w:val="24"/>
          <w:lang w:val="hy-AM"/>
        </w:rPr>
        <w:t>: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6119B">
        <w:rPr>
          <w:rFonts w:ascii="GHEA Grapalat" w:eastAsia="Times New Roman" w:hAnsi="GHEA Grapalat"/>
          <w:sz w:val="24"/>
          <w:szCs w:val="24"/>
          <w:lang w:val="hy-AM"/>
        </w:rPr>
        <w:t>Խաղադրույք ընդունելու իրավունքը տրվում է Հայաստանի Հանրապետության կառավարության սահմանած կարգով՝ խաղադրույքներ ընդունելու համար «Պետական տուրքի մասին» Հայաստանի Հանրապետության օրենքով սահմանված պետական տուրքի վճարման դեպքում:</w:t>
      </w:r>
    </w:p>
    <w:p w:rsidR="00D67FC8" w:rsidRPr="0098374B" w:rsidRDefault="00D67FC8" w:rsidP="00D67FC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right="32" w:firstLine="630"/>
        <w:jc w:val="both"/>
        <w:rPr>
          <w:rFonts w:eastAsia="Times New Roman"/>
          <w:bCs/>
          <w:color w:val="000000"/>
          <w:sz w:val="24"/>
          <w:szCs w:val="24"/>
          <w:lang w:val="hy-AM"/>
        </w:rPr>
      </w:pPr>
      <w:r w:rsidRPr="0098374B">
        <w:rPr>
          <w:rFonts w:eastAsia="Times New Roman"/>
          <w:b/>
          <w:bCs/>
          <w:color w:val="000000"/>
          <w:sz w:val="24"/>
          <w:szCs w:val="24"/>
          <w:lang w:val="hy-AM"/>
        </w:rPr>
        <w:t xml:space="preserve">Կարգավորման հարաբերությունների ներկա վիճակը և առկա խնդիրները. </w:t>
      </w:r>
    </w:p>
    <w:p w:rsidR="00D67FC8" w:rsidRPr="0098374B" w:rsidRDefault="00D67FC8" w:rsidP="00D67FC8">
      <w:pPr>
        <w:pStyle w:val="ListParagraph"/>
        <w:shd w:val="clear" w:color="auto" w:fill="FFFFFF"/>
        <w:spacing w:before="100" w:beforeAutospacing="1" w:after="100" w:afterAutospacing="1" w:line="360" w:lineRule="auto"/>
        <w:ind w:left="0" w:right="32" w:firstLine="720"/>
        <w:jc w:val="both"/>
        <w:rPr>
          <w:rFonts w:eastAsia="Times New Roman"/>
          <w:bCs/>
          <w:color w:val="000000"/>
          <w:sz w:val="24"/>
          <w:szCs w:val="24"/>
          <w:lang w:val="hy-AM"/>
        </w:rPr>
      </w:pPr>
      <w:r w:rsidRPr="0098374B">
        <w:rPr>
          <w:rFonts w:eastAsia="Times New Roman"/>
          <w:bCs/>
          <w:color w:val="000000"/>
          <w:sz w:val="24"/>
          <w:szCs w:val="24"/>
          <w:lang w:val="hy-AM"/>
        </w:rPr>
        <w:lastRenderedPageBreak/>
        <w:t>Գործոցող օրենսդրությամբ սահմանված է չէ խաղադրույք ընդունելու իրավունքի պահանջ</w:t>
      </w:r>
      <w:r>
        <w:rPr>
          <w:rFonts w:eastAsia="Times New Roman"/>
          <w:bCs/>
          <w:color w:val="000000"/>
          <w:sz w:val="24"/>
          <w:szCs w:val="24"/>
          <w:lang w:val="hy-AM"/>
        </w:rPr>
        <w:t xml:space="preserve"> և սահմանված չէ </w:t>
      </w:r>
      <w:r w:rsidRPr="0098374B">
        <w:rPr>
          <w:rFonts w:eastAsia="Times New Roman"/>
          <w:bCs/>
          <w:color w:val="000000"/>
          <w:sz w:val="24"/>
          <w:szCs w:val="24"/>
          <w:lang w:val="hy-AM"/>
        </w:rPr>
        <w:t>խաղադրույք ընդունելու իրավունքի</w:t>
      </w:r>
      <w:r>
        <w:rPr>
          <w:rFonts w:eastAsia="Times New Roman"/>
          <w:bCs/>
          <w:color w:val="000000"/>
          <w:sz w:val="24"/>
          <w:szCs w:val="24"/>
          <w:lang w:val="hy-AM"/>
        </w:rPr>
        <w:t xml:space="preserve"> տրման կարգը</w:t>
      </w:r>
      <w:r w:rsidRPr="0098374B">
        <w:rPr>
          <w:rFonts w:eastAsia="Times New Roman"/>
          <w:bCs/>
          <w:color w:val="000000"/>
          <w:sz w:val="24"/>
          <w:szCs w:val="24"/>
          <w:lang w:val="hy-AM"/>
        </w:rPr>
        <w:t>:</w:t>
      </w:r>
    </w:p>
    <w:p w:rsidR="00D67FC8" w:rsidRPr="005E0A44" w:rsidRDefault="00D67FC8" w:rsidP="00D67FC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right="32" w:firstLine="630"/>
        <w:jc w:val="both"/>
        <w:rPr>
          <w:rFonts w:eastAsia="Times New Roman"/>
          <w:b/>
          <w:bCs/>
          <w:color w:val="000000"/>
          <w:sz w:val="24"/>
          <w:szCs w:val="24"/>
          <w:lang w:val="hy-AM"/>
        </w:rPr>
      </w:pPr>
      <w:r w:rsidRPr="005E0A44">
        <w:rPr>
          <w:rFonts w:eastAsia="Times New Roman"/>
          <w:b/>
          <w:bCs/>
          <w:color w:val="000000"/>
          <w:sz w:val="24"/>
          <w:szCs w:val="24"/>
          <w:lang w:val="hy-AM"/>
        </w:rPr>
        <w:t>Առկա խնդիրների առաջարկվող լուծումները.</w:t>
      </w:r>
    </w:p>
    <w:p w:rsidR="00D67FC8" w:rsidRPr="005E0A44" w:rsidRDefault="00D67FC8" w:rsidP="00D67FC8">
      <w:pPr>
        <w:pStyle w:val="BodyText"/>
        <w:spacing w:after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5E0A44">
        <w:rPr>
          <w:rFonts w:ascii="GHEA Grapalat" w:hAnsi="GHEA Grapalat"/>
          <w:bCs/>
          <w:color w:val="000000"/>
          <w:lang w:val="hy-AM"/>
        </w:rPr>
        <w:t>Նախագծերով առաջարկվում է կարգավորել խաղադրույքներ ընդունելու իրավունքի հետ կապված հարա</w:t>
      </w:r>
      <w:r w:rsidRPr="005E0A44">
        <w:rPr>
          <w:rFonts w:ascii="GHEA Grapalat" w:hAnsi="GHEA Grapalat"/>
          <w:bCs/>
          <w:color w:val="000000"/>
          <w:lang w:val="hy-AM"/>
        </w:rPr>
        <w:softHyphen/>
        <w:t>բե</w:t>
      </w:r>
      <w:r w:rsidRPr="005E0A44">
        <w:rPr>
          <w:rFonts w:ascii="GHEA Grapalat" w:hAnsi="GHEA Grapalat"/>
          <w:bCs/>
          <w:color w:val="000000"/>
          <w:lang w:val="hy-AM"/>
        </w:rPr>
        <w:softHyphen/>
        <w:t>րություն</w:t>
      </w:r>
      <w:r w:rsidRPr="005E0A44">
        <w:rPr>
          <w:rFonts w:ascii="GHEA Grapalat" w:hAnsi="GHEA Grapalat"/>
          <w:bCs/>
          <w:color w:val="000000"/>
          <w:lang w:val="hy-AM"/>
        </w:rPr>
        <w:softHyphen/>
        <w:t>ները: Նախագծով առաջարկվում է սահ</w:t>
      </w:r>
      <w:r w:rsidRPr="005E0A44">
        <w:rPr>
          <w:rFonts w:ascii="GHEA Grapalat" w:hAnsi="GHEA Grapalat"/>
          <w:bCs/>
          <w:color w:val="000000"/>
          <w:lang w:val="hy-AM"/>
        </w:rPr>
        <w:softHyphen/>
        <w:t xml:space="preserve">մանել </w:t>
      </w:r>
      <w:r w:rsidRPr="005E0A44">
        <w:rPr>
          <w:rFonts w:ascii="GHEA Grapalat" w:hAnsi="GHEA Grapalat"/>
          <w:color w:val="000000"/>
          <w:lang w:val="hy-AM"/>
        </w:rPr>
        <w:t xml:space="preserve">«Ինտերնետ շահումով խաղի, ինչպես նաև տոտալիզատորի (այդ թվում՝ ինտերնետ տոտալիզատորի) կազմակերպման գործունեություն իրականացնելու դեպքում խաղադրույք ընդունելու իրավունք տրամադրելու կարգը: </w:t>
      </w:r>
    </w:p>
    <w:p w:rsidR="00D67FC8" w:rsidRPr="005E0A44" w:rsidRDefault="00D67FC8" w:rsidP="00D67FC8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</w:p>
    <w:p w:rsidR="00D67FC8" w:rsidRPr="005E0A44" w:rsidRDefault="00D67FC8" w:rsidP="00D67FC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right="32" w:firstLine="630"/>
        <w:jc w:val="both"/>
        <w:rPr>
          <w:rFonts w:eastAsia="Times New Roman"/>
          <w:b/>
          <w:bCs/>
          <w:color w:val="000000"/>
          <w:sz w:val="24"/>
          <w:szCs w:val="24"/>
          <w:lang w:val="hy-AM"/>
        </w:rPr>
      </w:pPr>
      <w:r w:rsidRPr="005E0A44">
        <w:rPr>
          <w:rFonts w:eastAsia="Times New Roman"/>
          <w:b/>
          <w:bCs/>
          <w:color w:val="000000"/>
          <w:sz w:val="24"/>
          <w:szCs w:val="24"/>
          <w:lang w:val="hy-AM"/>
        </w:rPr>
        <w:t xml:space="preserve">Կարգավորման առարկան. </w:t>
      </w:r>
    </w:p>
    <w:p w:rsidR="00D67FC8" w:rsidRPr="005E0A44" w:rsidRDefault="00D67FC8" w:rsidP="00D67FC8">
      <w:pPr>
        <w:pStyle w:val="BodyText"/>
        <w:spacing w:after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5E0A44">
        <w:rPr>
          <w:rFonts w:ascii="GHEA Grapalat" w:hAnsi="GHEA Grapalat"/>
          <w:color w:val="000000"/>
          <w:lang w:val="hy-AM"/>
        </w:rPr>
        <w:t>«Ինտերնետ շահումով խաղի, ինչպես նաև տոտալիզատորի (այդ թվում՝ ինտերնետ տոտալիզատորի) կազմակերպման գործունեություն իրականացնելու դեպքում խաղադրույք ընդունելու իրավունք տրամադրելու կարգ</w:t>
      </w:r>
      <w:r>
        <w:rPr>
          <w:rFonts w:ascii="GHEA Grapalat" w:hAnsi="GHEA Grapalat"/>
          <w:color w:val="000000"/>
          <w:lang w:val="hy-AM"/>
        </w:rPr>
        <w:t>ի սահմանում</w:t>
      </w:r>
      <w:r w:rsidRPr="005E0A44">
        <w:rPr>
          <w:rFonts w:ascii="GHEA Grapalat" w:hAnsi="GHEA Grapalat"/>
          <w:color w:val="000000"/>
          <w:lang w:val="hy-AM"/>
        </w:rPr>
        <w:t xml:space="preserve">: </w:t>
      </w:r>
    </w:p>
    <w:p w:rsidR="00D67FC8" w:rsidRPr="00824172" w:rsidRDefault="00D67FC8" w:rsidP="00D67FC8">
      <w:pPr>
        <w:pStyle w:val="BodyText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GHEA Grapalat"/>
          <w:lang w:val="hy-AM"/>
        </w:rPr>
      </w:pPr>
      <w:r w:rsidRPr="00B27E79">
        <w:rPr>
          <w:rFonts w:ascii="GHEA Grapalat" w:hAnsi="GHEA Grapalat"/>
          <w:b/>
          <w:lang w:val="hy-AM"/>
        </w:rPr>
        <w:t>Նախագծի</w:t>
      </w:r>
      <w:r w:rsidRPr="00824172">
        <w:rPr>
          <w:rFonts w:ascii="GHEA Grapalat" w:hAnsi="GHEA Grapalat" w:cs="GHEA Grapalat"/>
          <w:b/>
          <w:lang w:val="hy-AM"/>
        </w:rPr>
        <w:t xml:space="preserve"> մշակման գործընթացում ներգրավված ինստիտուտները և անձինք. </w:t>
      </w:r>
      <w:r>
        <w:rPr>
          <w:rFonts w:ascii="GHEA Grapalat" w:hAnsi="GHEA Grapalat" w:cs="GHEA Grapalat"/>
          <w:lang w:val="hy-AM"/>
        </w:rPr>
        <w:t>Նախա</w:t>
      </w:r>
      <w:r>
        <w:rPr>
          <w:rFonts w:ascii="GHEA Grapalat" w:hAnsi="GHEA Grapalat" w:cs="GHEA Grapalat"/>
          <w:lang w:val="hy-AM"/>
        </w:rPr>
        <w:softHyphen/>
        <w:t>գծերը</w:t>
      </w:r>
      <w:r w:rsidRPr="00824172">
        <w:rPr>
          <w:rFonts w:ascii="GHEA Grapalat" w:hAnsi="GHEA Grapalat" w:cs="GHEA Grapalat"/>
          <w:lang w:val="hy-AM"/>
        </w:rPr>
        <w:t xml:space="preserve"> մշակվել </w:t>
      </w:r>
      <w:r w:rsidRPr="00F30F27">
        <w:rPr>
          <w:rFonts w:ascii="GHEA Grapalat" w:hAnsi="GHEA Grapalat" w:cs="GHEA Grapalat"/>
          <w:lang w:val="hy-AM"/>
        </w:rPr>
        <w:t>են</w:t>
      </w:r>
      <w:r w:rsidRPr="00824172">
        <w:rPr>
          <w:rFonts w:ascii="GHEA Grapalat" w:hAnsi="GHEA Grapalat" w:cs="GHEA Grapalat"/>
          <w:lang w:val="hy-AM"/>
        </w:rPr>
        <w:t xml:space="preserve"> ՀՀ ֆինանսների նախարարության կող</w:t>
      </w:r>
      <w:r w:rsidRPr="00824172">
        <w:rPr>
          <w:rFonts w:ascii="GHEA Grapalat" w:hAnsi="GHEA Grapalat" w:cs="GHEA Grapalat"/>
          <w:lang w:val="hy-AM"/>
        </w:rPr>
        <w:softHyphen/>
      </w:r>
      <w:r w:rsidRPr="00824172">
        <w:rPr>
          <w:rFonts w:ascii="GHEA Grapalat" w:hAnsi="GHEA Grapalat" w:cs="GHEA Grapalat"/>
          <w:lang w:val="hy-AM"/>
        </w:rPr>
        <w:softHyphen/>
        <w:t>մից:</w:t>
      </w:r>
    </w:p>
    <w:p w:rsidR="00D67FC8" w:rsidRDefault="00D67FC8" w:rsidP="00D67FC8">
      <w:pPr>
        <w:pStyle w:val="BodyText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lang w:val="hy-AM"/>
        </w:rPr>
      </w:pPr>
      <w:r w:rsidRPr="005E0A44">
        <w:rPr>
          <w:rFonts w:ascii="GHEA Grapalat" w:hAnsi="GHEA Grapalat"/>
          <w:b/>
          <w:lang w:val="hy-AM"/>
        </w:rPr>
        <w:t>Իրավական ակտի ընդունման արդյունքում ակնկալվող արդյունքը.</w:t>
      </w:r>
    </w:p>
    <w:p w:rsidR="00D67FC8" w:rsidRPr="005E0A44" w:rsidRDefault="00D67FC8" w:rsidP="00D67FC8">
      <w:pPr>
        <w:pStyle w:val="BodyText"/>
        <w:spacing w:after="0" w:line="360" w:lineRule="auto"/>
        <w:ind w:left="630"/>
        <w:jc w:val="both"/>
        <w:rPr>
          <w:rFonts w:ascii="GHEA Grapalat" w:hAnsi="GHEA Grapalat" w:cs="GHEA Grapalat"/>
          <w:lang w:val="hy-AM"/>
        </w:rPr>
      </w:pPr>
      <w:r w:rsidRPr="005E0A44">
        <w:rPr>
          <w:rFonts w:ascii="GHEA Grapalat" w:hAnsi="GHEA Grapalat"/>
          <w:lang w:val="hy-AM"/>
        </w:rPr>
        <w:t xml:space="preserve"> Նախա</w:t>
      </w:r>
      <w:r w:rsidRPr="005E0A44">
        <w:rPr>
          <w:rFonts w:ascii="GHEA Grapalat" w:hAnsi="GHEA Grapalat"/>
          <w:lang w:val="hy-AM"/>
        </w:rPr>
        <w:softHyphen/>
        <w:t>գծերի</w:t>
      </w:r>
      <w:r w:rsidRPr="005E0A44">
        <w:rPr>
          <w:rFonts w:ascii="GHEA Grapalat" w:hAnsi="GHEA Grapalat" w:cs="GHEA Grapalat"/>
          <w:lang w:val="hy-AM" w:eastAsia="ru-RU"/>
        </w:rPr>
        <w:t xml:space="preserve"> </w:t>
      </w:r>
      <w:r w:rsidRPr="005E0A44">
        <w:rPr>
          <w:rFonts w:ascii="GHEA Grapalat" w:hAnsi="GHEA Grapalat" w:cs="Sylfaen"/>
          <w:lang w:val="hy-AM" w:eastAsia="ru-RU"/>
        </w:rPr>
        <w:t>ընդուն</w:t>
      </w:r>
      <w:r w:rsidRPr="005E0A44">
        <w:rPr>
          <w:rFonts w:ascii="GHEA Grapalat" w:hAnsi="GHEA Grapalat" w:cs="Sylfaen"/>
          <w:lang w:val="hy-AM" w:eastAsia="ru-RU"/>
        </w:rPr>
        <w:softHyphen/>
      </w:r>
      <w:r w:rsidRPr="005E0A44">
        <w:rPr>
          <w:rFonts w:ascii="GHEA Grapalat" w:hAnsi="GHEA Grapalat" w:cs="Sylfaen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Sylfaen"/>
          <w:lang w:val="hy-AM" w:eastAsia="ru-RU"/>
        </w:rPr>
        <w:t>ման</w:t>
      </w:r>
      <w:r w:rsidRPr="005E0A44">
        <w:rPr>
          <w:rFonts w:ascii="GHEA Grapalat" w:hAnsi="GHEA Grapalat" w:cs="GHEA Grapalat"/>
          <w:lang w:val="hy-AM" w:eastAsia="ru-RU"/>
        </w:rPr>
        <w:t xml:space="preserve"> </w:t>
      </w:r>
      <w:r w:rsidRPr="005E0A44">
        <w:rPr>
          <w:rFonts w:ascii="GHEA Grapalat" w:hAnsi="GHEA Grapalat" w:cs="Sylfaen"/>
          <w:lang w:val="hy-AM" w:eastAsia="ru-RU"/>
        </w:rPr>
        <w:t>արդ</w:t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Sylfaen"/>
          <w:lang w:val="hy-AM" w:eastAsia="ru-RU"/>
        </w:rPr>
        <w:t>յուն</w:t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Sylfaen"/>
          <w:lang w:val="hy-AM" w:eastAsia="ru-RU"/>
        </w:rPr>
        <w:t xml:space="preserve">քում </w:t>
      </w:r>
      <w:r>
        <w:rPr>
          <w:rFonts w:ascii="GHEA Grapalat" w:hAnsi="GHEA Grapalat" w:cs="Sylfaen"/>
          <w:lang w:val="hy-AM" w:eastAsia="ru-RU"/>
        </w:rPr>
        <w:t>կ</w:t>
      </w:r>
      <w:r w:rsidRPr="005E0A44">
        <w:rPr>
          <w:rFonts w:ascii="GHEA Grapalat" w:hAnsi="GHEA Grapalat"/>
          <w:bCs/>
          <w:color w:val="000000"/>
          <w:lang w:val="hy-AM"/>
        </w:rPr>
        <w:t>կարգավոր</w:t>
      </w:r>
      <w:r>
        <w:rPr>
          <w:rFonts w:ascii="GHEA Grapalat" w:hAnsi="GHEA Grapalat"/>
          <w:bCs/>
          <w:color w:val="000000"/>
          <w:lang w:val="hy-AM"/>
        </w:rPr>
        <w:t>վեն</w:t>
      </w:r>
      <w:r w:rsidRPr="005E0A44">
        <w:rPr>
          <w:rFonts w:ascii="GHEA Grapalat" w:hAnsi="GHEA Grapalat"/>
          <w:bCs/>
          <w:color w:val="000000"/>
          <w:lang w:val="hy-AM"/>
        </w:rPr>
        <w:t xml:space="preserve"> խաղադրույքներ ընդունելու իրավունքի հետ կապված հարա</w:t>
      </w:r>
      <w:r w:rsidRPr="005E0A44">
        <w:rPr>
          <w:rFonts w:ascii="GHEA Grapalat" w:hAnsi="GHEA Grapalat"/>
          <w:bCs/>
          <w:color w:val="000000"/>
          <w:lang w:val="hy-AM"/>
        </w:rPr>
        <w:softHyphen/>
        <w:t>բե</w:t>
      </w:r>
      <w:r w:rsidRPr="005E0A44">
        <w:rPr>
          <w:rFonts w:ascii="GHEA Grapalat" w:hAnsi="GHEA Grapalat"/>
          <w:bCs/>
          <w:color w:val="000000"/>
          <w:lang w:val="hy-AM"/>
        </w:rPr>
        <w:softHyphen/>
        <w:t>րություն</w:t>
      </w:r>
      <w:r w:rsidRPr="005E0A44">
        <w:rPr>
          <w:rFonts w:ascii="GHEA Grapalat" w:hAnsi="GHEA Grapalat"/>
          <w:bCs/>
          <w:color w:val="000000"/>
          <w:lang w:val="hy-AM"/>
        </w:rPr>
        <w:softHyphen/>
        <w:t>ները:</w:t>
      </w:r>
    </w:p>
    <w:p w:rsidR="00D67FC8" w:rsidRDefault="00D67FC8" w:rsidP="00D67FC8">
      <w:pPr>
        <w:pStyle w:val="BodyText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lang w:val="hy-AM"/>
        </w:rPr>
      </w:pPr>
      <w:r w:rsidRPr="00B27E79">
        <w:rPr>
          <w:rFonts w:ascii="GHEA Grapalat" w:hAnsi="GHEA Grapalat"/>
          <w:b/>
          <w:lang w:val="hy-AM"/>
        </w:rPr>
        <w:t>Կապը</w:t>
      </w:r>
      <w:r w:rsidRPr="005E0A44">
        <w:rPr>
          <w:rFonts w:ascii="GHEA Grapalat" w:hAnsi="GHEA Grapalat"/>
          <w:b/>
          <w:lang w:val="hy-AM"/>
        </w:rPr>
        <w:t xml:space="preserve"> ռազմավարական փաստաթղթերի հետ.</w:t>
      </w:r>
    </w:p>
    <w:p w:rsidR="00D67FC8" w:rsidRPr="00CD6560" w:rsidRDefault="00D67FC8" w:rsidP="00D67FC8">
      <w:pPr>
        <w:pStyle w:val="ListParagraph"/>
        <w:spacing w:after="0" w:line="360" w:lineRule="auto"/>
        <w:ind w:left="630"/>
        <w:jc w:val="both"/>
        <w:rPr>
          <w:sz w:val="24"/>
          <w:szCs w:val="24"/>
          <w:lang w:val="hy-AM"/>
        </w:rPr>
      </w:pPr>
      <w:r w:rsidRPr="00CD6560">
        <w:rPr>
          <w:sz w:val="24"/>
          <w:szCs w:val="24"/>
          <w:lang w:val="hy-AM"/>
        </w:rPr>
        <w:t>Նախագծի ընդունումը չի բխում ռազմավարական փաստաթղթերից:</w:t>
      </w:r>
    </w:p>
    <w:p w:rsidR="00D67FC8" w:rsidRPr="00CD6560" w:rsidRDefault="00D67FC8" w:rsidP="00D67FC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right="32"/>
        <w:jc w:val="both"/>
        <w:rPr>
          <w:bCs/>
          <w:iCs/>
          <w:noProof/>
          <w:sz w:val="24"/>
          <w:szCs w:val="24"/>
          <w:lang w:val="hy-AM"/>
        </w:rPr>
      </w:pPr>
      <w:r w:rsidRPr="00CD6560">
        <w:rPr>
          <w:b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:rsidR="00D67FC8" w:rsidRDefault="00D67FC8" w:rsidP="00D67FC8">
      <w:pPr>
        <w:pStyle w:val="ListParagraph"/>
        <w:shd w:val="clear" w:color="auto" w:fill="FFFFFF"/>
        <w:spacing w:before="100" w:beforeAutospacing="1" w:after="100" w:afterAutospacing="1" w:line="360" w:lineRule="auto"/>
        <w:ind w:left="0" w:right="32" w:firstLine="630"/>
        <w:jc w:val="both"/>
        <w:rPr>
          <w:bCs/>
          <w:iCs/>
          <w:noProof/>
          <w:sz w:val="24"/>
          <w:szCs w:val="24"/>
          <w:lang w:val="hy-AM"/>
        </w:rPr>
      </w:pPr>
      <w:r w:rsidRPr="00CD6560">
        <w:rPr>
          <w:sz w:val="24"/>
          <w:szCs w:val="24"/>
          <w:lang w:val="hy-AM"/>
        </w:rPr>
        <w:lastRenderedPageBreak/>
        <w:t xml:space="preserve"> Նախագծի ընդունման</w:t>
      </w:r>
      <w:r w:rsidRPr="00CD6560">
        <w:rPr>
          <w:rFonts w:cs="Sylfaen"/>
          <w:sz w:val="24"/>
          <w:szCs w:val="24"/>
          <w:lang w:val="hy-AM"/>
        </w:rPr>
        <w:t xml:space="preserve"> կապակցությամբ</w:t>
      </w:r>
      <w:r w:rsidRPr="00CD6560">
        <w:rPr>
          <w:bCs/>
          <w:iCs/>
          <w:noProof/>
          <w:sz w:val="24"/>
          <w:szCs w:val="24"/>
          <w:lang w:val="hy-AM"/>
        </w:rPr>
        <w:t xml:space="preserve"> պետական կամ տեղական ինքնակառավարման մարմնի բյուջեում եկամուտների և ծախսերի էական ավելացում կամ նվազեցում չի նախատեսվում։</w:t>
      </w:r>
    </w:p>
    <w:p w:rsidR="00D67FC8" w:rsidRPr="00CD6560" w:rsidRDefault="00D67FC8" w:rsidP="00D67FC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right="32"/>
        <w:jc w:val="both"/>
        <w:rPr>
          <w:b/>
          <w:sz w:val="24"/>
          <w:szCs w:val="24"/>
          <w:lang w:val="hy-AM"/>
        </w:rPr>
      </w:pPr>
      <w:r w:rsidRPr="00CD6560">
        <w:rPr>
          <w:b/>
          <w:sz w:val="24"/>
          <w:szCs w:val="24"/>
          <w:lang w:val="hy-AM"/>
        </w:rPr>
        <w:t>Այլ տեղեկություններ</w:t>
      </w:r>
    </w:p>
    <w:p w:rsidR="00D67FC8" w:rsidRPr="00DE4861" w:rsidRDefault="00D67FC8" w:rsidP="00D67FC8">
      <w:pPr>
        <w:shd w:val="clear" w:color="auto" w:fill="FFFFFF"/>
        <w:spacing w:before="100" w:beforeAutospacing="1" w:after="100" w:afterAutospacing="1" w:line="360" w:lineRule="auto"/>
        <w:ind w:left="0" w:right="32" w:firstLine="720"/>
        <w:jc w:val="both"/>
        <w:rPr>
          <w:rFonts w:ascii="GHEA Grapalat" w:hAnsi="GHEA Grapalat"/>
          <w:bCs/>
          <w:iCs/>
          <w:noProof/>
          <w:sz w:val="24"/>
          <w:szCs w:val="24"/>
          <w:lang w:val="hy-AM"/>
        </w:rPr>
      </w:pPr>
      <w:r w:rsidRPr="00DE486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Նախագծի </w:t>
      </w:r>
      <w:r w:rsidRPr="00DE486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287FE0">
        <w:rPr>
          <w:rFonts w:ascii="GHEA Grapalat" w:hAnsi="GHEA Grapalat" w:cs="Sylfaen"/>
          <w:bCs/>
          <w:sz w:val="24"/>
          <w:szCs w:val="24"/>
          <w:lang w:val="af-ZA"/>
        </w:rPr>
        <w:t>ընդունման կապակցությամբ այլ իրավական ակտերում փոփոխություններ կատարելու անհրաժեշտություն չի առաջանում:</w:t>
      </w:r>
    </w:p>
    <w:p w:rsidR="00D84092" w:rsidRPr="00D67FC8" w:rsidRDefault="00D67FC8" w:rsidP="00D67FC8">
      <w:pPr>
        <w:rPr>
          <w:lang w:val="hy-AM"/>
        </w:rPr>
      </w:pPr>
      <w:bookmarkStart w:id="0" w:name="_GoBack"/>
      <w:bookmarkEnd w:id="0"/>
    </w:p>
    <w:sectPr w:rsidR="00D84092" w:rsidRPr="00D67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93514"/>
    <w:multiLevelType w:val="hybridMultilevel"/>
    <w:tmpl w:val="3C7CBF3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C8"/>
    <w:rsid w:val="003A0103"/>
    <w:rsid w:val="00D67FC8"/>
    <w:rsid w:val="00EB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B2542-3298-4F54-9261-5B9550A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FC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7FC8"/>
    <w:pPr>
      <w:spacing w:before="100" w:beforeAutospacing="1" w:after="100" w:afterAutospacing="1"/>
      <w:ind w:left="0" w:firstLine="0"/>
    </w:pPr>
    <w:rPr>
      <w:rFonts w:ascii="Arial Unicode MS" w:eastAsia="Times New Roman" w:hAnsi="Arial Unicode MS" w:cs="Arial Unicode MS"/>
      <w:sz w:val="24"/>
      <w:szCs w:val="24"/>
    </w:rPr>
  </w:style>
  <w:style w:type="character" w:styleId="Strong">
    <w:name w:val="Strong"/>
    <w:uiPriority w:val="22"/>
    <w:qFormat/>
    <w:rsid w:val="00D67FC8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Table no. List Paragraph,Bullet1,References,IBL List Paragraph,List Paragraph nowy"/>
    <w:basedOn w:val="Normal"/>
    <w:link w:val="ListParagraphChar"/>
    <w:qFormat/>
    <w:rsid w:val="00D67FC8"/>
    <w:pPr>
      <w:spacing w:before="0" w:after="200" w:line="276" w:lineRule="auto"/>
      <w:ind w:left="720" w:firstLine="0"/>
      <w:contextualSpacing/>
    </w:pPr>
    <w:rPr>
      <w:rFonts w:ascii="GHEA Grapalat" w:hAnsi="GHEA Grapalat"/>
    </w:rPr>
  </w:style>
  <w:style w:type="paragraph" w:styleId="BodyText">
    <w:name w:val="Body Text"/>
    <w:basedOn w:val="Normal"/>
    <w:link w:val="BodyTextChar"/>
    <w:rsid w:val="00D67FC8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67FC8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Table no. List Paragraph Char,Bullet1 Char"/>
    <w:link w:val="ListParagraph"/>
    <w:rsid w:val="00D67FC8"/>
    <w:rPr>
      <w:rFonts w:ascii="GHEA Grapalat" w:eastAsia="Calibri" w:hAnsi="GHEA Grapala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Avetisyan</dc:creator>
  <cp:keywords/>
  <dc:description/>
  <cp:lastModifiedBy>Lia Avetisyan</cp:lastModifiedBy>
  <cp:revision>1</cp:revision>
  <dcterms:created xsi:type="dcterms:W3CDTF">2023-02-21T10:15:00Z</dcterms:created>
  <dcterms:modified xsi:type="dcterms:W3CDTF">2023-02-21T10:15:00Z</dcterms:modified>
</cp:coreProperties>
</file>