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102070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102070" w:rsidRPr="00102070">
        <w:rPr>
          <w:rFonts w:ascii="GHEA Grapalat" w:hAnsi="GHEA Grapalat"/>
          <w:b/>
          <w:sz w:val="24"/>
          <w:szCs w:val="24"/>
        </w:rPr>
        <w:t xml:space="preserve">Հայաստանի Հանրապետության հանրային ծառայությունները կարգավորող հանձնաժողովի 2022 թվականի փետրվարի 9-ի </w:t>
      </w:r>
      <w:r w:rsidR="00102070" w:rsidRPr="00102070">
        <w:rPr>
          <w:rFonts w:ascii="GHEA Grapalat" w:hAnsi="GHEA Grapalat"/>
          <w:b/>
          <w:sz w:val="24"/>
          <w:szCs w:val="24"/>
          <w:lang w:val="af-ZA"/>
        </w:rPr>
        <w:t>N</w:t>
      </w:r>
      <w:r w:rsidR="00102070" w:rsidRPr="00102070">
        <w:rPr>
          <w:rFonts w:ascii="GHEA Grapalat" w:hAnsi="GHEA Grapalat"/>
          <w:b/>
          <w:sz w:val="24"/>
          <w:szCs w:val="24"/>
        </w:rPr>
        <w:t>56-ն որոշման մեջ լրացումներ և փոփոխություն կատարելու մասին</w:t>
      </w:r>
      <w:r w:rsidRPr="00102070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FE04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 հանրային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:rsidR="00102070" w:rsidRDefault="00102070" w:rsidP="00102070">
      <w:pPr>
        <w:pStyle w:val="namak"/>
        <w:spacing w:line="336" w:lineRule="auto"/>
        <w:rPr>
          <w:rFonts w:cs="Sylfaen"/>
          <w:lang w:val="hy-AM"/>
        </w:rPr>
      </w:pPr>
      <w:r w:rsidRPr="00587398">
        <w:rPr>
          <w:rFonts w:cs="Sylfaen"/>
          <w:lang w:val="af-ZA"/>
        </w:rPr>
        <w:t>ՀՀ հանրային ծառայությունները կարգավորող հանձնաժողովի 20</w:t>
      </w:r>
      <w:r>
        <w:rPr>
          <w:rFonts w:cs="Sylfaen"/>
          <w:lang w:val="hy-AM"/>
        </w:rPr>
        <w:t>22</w:t>
      </w:r>
      <w:r w:rsidRPr="00587398">
        <w:rPr>
          <w:rFonts w:cs="Sylfaen"/>
          <w:lang w:val="af-ZA"/>
        </w:rPr>
        <w:t xml:space="preserve"> թվականի փետրվարի </w:t>
      </w:r>
      <w:r>
        <w:rPr>
          <w:rFonts w:cs="Sylfaen"/>
          <w:lang w:val="hy-AM"/>
        </w:rPr>
        <w:t>9</w:t>
      </w:r>
      <w:r w:rsidRPr="00587398">
        <w:rPr>
          <w:rFonts w:cs="Sylfaen"/>
          <w:lang w:val="af-ZA"/>
        </w:rPr>
        <w:t>-ի N</w:t>
      </w:r>
      <w:r>
        <w:rPr>
          <w:rFonts w:cs="Sylfaen"/>
          <w:lang w:val="hy-AM"/>
        </w:rPr>
        <w:t>56-</w:t>
      </w:r>
      <w:r w:rsidRPr="00587398">
        <w:rPr>
          <w:rFonts w:cs="Sylfaen"/>
          <w:lang w:val="af-ZA"/>
        </w:rPr>
        <w:t xml:space="preserve">Ն որոշմամբ </w:t>
      </w:r>
      <w:r>
        <w:rPr>
          <w:rFonts w:cs="Sylfaen"/>
          <w:lang w:val="hy-AM"/>
        </w:rPr>
        <w:t>սահմանվ</w:t>
      </w:r>
      <w:r>
        <w:rPr>
          <w:rFonts w:cs="Sylfaen"/>
          <w:lang w:val="af-ZA"/>
        </w:rPr>
        <w:t>ած է</w:t>
      </w:r>
      <w:r w:rsidRPr="00587398">
        <w:rPr>
          <w:rFonts w:cs="Sylfaen"/>
          <w:lang w:val="af-ZA"/>
        </w:rPr>
        <w:t xml:space="preserve"> </w:t>
      </w:r>
      <w:r w:rsidRPr="00C56A9B">
        <w:rPr>
          <w:rFonts w:cs="Sylfaen"/>
          <w:lang w:val="af-ZA"/>
        </w:rPr>
        <w:t>էլեկտրոնային հաղորդակցության բնագավառում կարգավորվող անձանց նկատմամբ հսկողության փոխանցումը</w:t>
      </w:r>
      <w:r>
        <w:rPr>
          <w:rFonts w:cs="Sylfaen"/>
          <w:lang w:val="hy-AM"/>
        </w:rPr>
        <w:t>՝</w:t>
      </w:r>
      <w:r w:rsidRPr="00C56A9B">
        <w:rPr>
          <w:rFonts w:cs="Sylfaen"/>
          <w:lang w:val="af-ZA"/>
        </w:rPr>
        <w:t xml:space="preserve"> </w:t>
      </w:r>
      <w:r>
        <w:rPr>
          <w:color w:val="000000"/>
          <w:lang w:val="hy-AM" w:eastAsia="en-US"/>
        </w:rPr>
        <w:t>ց</w:t>
      </w:r>
      <w:r w:rsidRPr="00DC7B2B">
        <w:rPr>
          <w:color w:val="000000"/>
          <w:lang w:val="hy-AM" w:eastAsia="en-US"/>
        </w:rPr>
        <w:t>անցի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լիցենզիա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կամ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հանրային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էլեկտրոնային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հաղորդակցության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ծառայություն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մատուցելու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նպատակով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ռադիոհաճախականությունների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օգտագործման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թույլտվություն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ստացած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անձի</w:t>
      </w:r>
      <w:r w:rsidRPr="00246630">
        <w:rPr>
          <w:color w:val="000000"/>
          <w:lang w:val="af-ZA" w:eastAsia="en-US"/>
        </w:rPr>
        <w:t xml:space="preserve"> </w:t>
      </w:r>
      <w:r>
        <w:rPr>
          <w:color w:val="000000"/>
          <w:lang w:val="af-ZA" w:eastAsia="en-US"/>
        </w:rPr>
        <w:t>(</w:t>
      </w:r>
      <w:r>
        <w:rPr>
          <w:color w:val="000000"/>
          <w:lang w:val="hy-AM" w:eastAsia="en-US"/>
        </w:rPr>
        <w:t>այսուհետ՝ կարգավորվող անձ</w:t>
      </w:r>
      <w:r>
        <w:rPr>
          <w:color w:val="000000"/>
          <w:lang w:val="af-ZA" w:eastAsia="en-US"/>
        </w:rPr>
        <w:t>)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բաժնեմասի</w:t>
      </w:r>
      <w:r w:rsidRPr="00246630">
        <w:rPr>
          <w:color w:val="000000"/>
          <w:lang w:val="af-ZA" w:eastAsia="en-US"/>
        </w:rPr>
        <w:t xml:space="preserve"> (</w:t>
      </w:r>
      <w:r w:rsidRPr="00DC7B2B">
        <w:rPr>
          <w:color w:val="000000"/>
          <w:lang w:val="hy-AM" w:eastAsia="en-US"/>
        </w:rPr>
        <w:t>բաժնետոմսի</w:t>
      </w:r>
      <w:r w:rsidRPr="00246630">
        <w:rPr>
          <w:color w:val="000000"/>
          <w:lang w:val="af-ZA" w:eastAsia="en-US"/>
        </w:rPr>
        <w:t xml:space="preserve">, </w:t>
      </w:r>
      <w:r w:rsidRPr="00DC7B2B">
        <w:rPr>
          <w:color w:val="000000"/>
          <w:lang w:val="hy-AM" w:eastAsia="en-US"/>
        </w:rPr>
        <w:t>փայի</w:t>
      </w:r>
      <w:r w:rsidRPr="00246630">
        <w:rPr>
          <w:color w:val="000000"/>
          <w:lang w:val="af-ZA" w:eastAsia="en-US"/>
        </w:rPr>
        <w:t>)</w:t>
      </w:r>
      <w:r w:rsidRPr="00303B65">
        <w:rPr>
          <w:color w:val="000000"/>
          <w:lang w:val="af-ZA" w:eastAsia="en-US"/>
        </w:rPr>
        <w:t xml:space="preserve"> </w:t>
      </w:r>
      <w:r>
        <w:rPr>
          <w:color w:val="000000"/>
          <w:lang w:val="af-ZA" w:eastAsia="en-US"/>
        </w:rPr>
        <w:t>(</w:t>
      </w:r>
      <w:r>
        <w:rPr>
          <w:color w:val="000000"/>
          <w:lang w:val="hy-AM" w:eastAsia="en-US"/>
        </w:rPr>
        <w:t>այսուհետ՝ բաժնեմաս</w:t>
      </w:r>
      <w:r>
        <w:rPr>
          <w:color w:val="000000"/>
          <w:lang w:val="af-ZA" w:eastAsia="en-US"/>
        </w:rPr>
        <w:t>)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նկատմամբ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իրավունքի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օտար</w:t>
      </w:r>
      <w:r>
        <w:rPr>
          <w:color w:val="000000"/>
          <w:lang w:val="hy-AM" w:eastAsia="en-US"/>
        </w:rPr>
        <w:t>ումը</w:t>
      </w:r>
      <w:r w:rsidRPr="00246630">
        <w:rPr>
          <w:color w:val="000000"/>
          <w:lang w:val="af-ZA" w:eastAsia="en-US"/>
        </w:rPr>
        <w:t xml:space="preserve">, </w:t>
      </w:r>
      <w:r w:rsidRPr="00DC7B2B">
        <w:rPr>
          <w:color w:val="000000"/>
          <w:lang w:val="hy-AM" w:eastAsia="en-US"/>
        </w:rPr>
        <w:t>այլ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կերպ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փոխանց</w:t>
      </w:r>
      <w:r>
        <w:rPr>
          <w:color w:val="000000"/>
          <w:lang w:val="hy-AM" w:eastAsia="en-US"/>
        </w:rPr>
        <w:t>ումը</w:t>
      </w:r>
      <w:r w:rsidRPr="00246630">
        <w:rPr>
          <w:color w:val="000000"/>
          <w:lang w:val="af-ZA" w:eastAsia="en-US"/>
        </w:rPr>
        <w:t xml:space="preserve">, </w:t>
      </w:r>
      <w:r w:rsidRPr="00DC7B2B">
        <w:rPr>
          <w:color w:val="000000"/>
          <w:lang w:val="hy-AM" w:eastAsia="en-US"/>
        </w:rPr>
        <w:t>զիջ</w:t>
      </w:r>
      <w:r>
        <w:rPr>
          <w:color w:val="000000"/>
          <w:lang w:val="hy-AM" w:eastAsia="en-US"/>
        </w:rPr>
        <w:t>ումը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կամ</w:t>
      </w:r>
      <w:r w:rsidRPr="00246630">
        <w:rPr>
          <w:color w:val="000000"/>
          <w:lang w:val="af-ZA" w:eastAsia="en-US"/>
        </w:rPr>
        <w:t xml:space="preserve"> </w:t>
      </w:r>
      <w:r w:rsidRPr="00DC7B2B">
        <w:rPr>
          <w:color w:val="000000"/>
          <w:lang w:val="hy-AM" w:eastAsia="en-US"/>
        </w:rPr>
        <w:t>գրավադր</w:t>
      </w:r>
      <w:r>
        <w:rPr>
          <w:color w:val="000000"/>
          <w:lang w:val="hy-AM" w:eastAsia="en-US"/>
        </w:rPr>
        <w:t xml:space="preserve">ումը </w:t>
      </w:r>
      <w:r w:rsidRPr="00C56A9B">
        <w:rPr>
          <w:rFonts w:cs="Sylfaen"/>
          <w:lang w:val="af-ZA"/>
        </w:rPr>
        <w:t>համաձայնեցնելու կարգ</w:t>
      </w:r>
      <w:r>
        <w:rPr>
          <w:rFonts w:cs="Sylfaen"/>
          <w:lang w:val="af-ZA"/>
        </w:rPr>
        <w:t>ը</w:t>
      </w:r>
      <w:r>
        <w:rPr>
          <w:rFonts w:cs="Sylfaen"/>
          <w:lang w:val="hy-AM"/>
        </w:rPr>
        <w:t>։</w:t>
      </w:r>
    </w:p>
    <w:p w:rsidR="00102070" w:rsidRDefault="00102070" w:rsidP="00102070">
      <w:pPr>
        <w:pStyle w:val="namak"/>
        <w:spacing w:line="336" w:lineRule="auto"/>
        <w:rPr>
          <w:rFonts w:cs="Sylfaen"/>
          <w:lang w:val="hy-AM"/>
        </w:rPr>
      </w:pPr>
      <w:r>
        <w:rPr>
          <w:rFonts w:cs="Sylfaen"/>
          <w:lang w:val="hy-AM"/>
        </w:rPr>
        <w:t xml:space="preserve">Մասնավորապես, նշված կարգով սահմանված են </w:t>
      </w:r>
      <w:r>
        <w:rPr>
          <w:color w:val="000000"/>
          <w:lang w:val="hy-AM" w:eastAsia="en-US"/>
        </w:rPr>
        <w:t xml:space="preserve">կարգավորվող անձի կողմից նշված համաձայնեցման գործընթացի շրջանակում </w:t>
      </w:r>
      <w:r>
        <w:rPr>
          <w:color w:val="000000"/>
          <w:lang w:val="hy-AM" w:eastAsia="en-US"/>
        </w:rPr>
        <w:t>հ</w:t>
      </w:r>
      <w:r>
        <w:rPr>
          <w:color w:val="000000"/>
          <w:lang w:val="hy-AM" w:eastAsia="en-US"/>
        </w:rPr>
        <w:t xml:space="preserve">անձնաժողով հայտի ներկայացման պահանջները, հայտը ներառող փաստաթղթերը և տեղեկությունները, </w:t>
      </w:r>
      <w:r>
        <w:rPr>
          <w:color w:val="000000"/>
          <w:lang w:val="hy-AM" w:eastAsia="en-US"/>
        </w:rPr>
        <w:t>հ</w:t>
      </w:r>
      <w:r>
        <w:rPr>
          <w:color w:val="000000"/>
          <w:lang w:val="hy-AM" w:eastAsia="en-US"/>
        </w:rPr>
        <w:t xml:space="preserve">անձնաժողովի կողմից հայտի քննարկման </w:t>
      </w:r>
      <w:r w:rsidRPr="00F21AD0">
        <w:rPr>
          <w:color w:val="000000"/>
          <w:lang w:val="hy-AM" w:eastAsia="en-US"/>
        </w:rPr>
        <w:t>(</w:t>
      </w:r>
      <w:r>
        <w:rPr>
          <w:color w:val="000000"/>
          <w:lang w:val="hy-AM" w:eastAsia="en-US"/>
        </w:rPr>
        <w:t xml:space="preserve">ներառյալ </w:t>
      </w:r>
      <w:r w:rsidRPr="00F21AD0">
        <w:rPr>
          <w:color w:val="000000"/>
          <w:lang w:val="hy-AM" w:eastAsia="en-US"/>
        </w:rPr>
        <w:t>գործարքի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կնքմանը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համաձայնություն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տալու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կամ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համաձայնության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տրամադրումը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մերժելու</w:t>
      </w:r>
      <w:r w:rsidRPr="000B2D86">
        <w:rPr>
          <w:color w:val="000000"/>
          <w:lang w:val="af-ZA" w:eastAsia="en-US"/>
        </w:rPr>
        <w:t xml:space="preserve"> </w:t>
      </w:r>
      <w:r w:rsidRPr="00F21AD0">
        <w:rPr>
          <w:color w:val="000000"/>
          <w:lang w:val="hy-AM" w:eastAsia="en-US"/>
        </w:rPr>
        <w:t>մասին)</w:t>
      </w:r>
      <w:r>
        <w:rPr>
          <w:color w:val="000000"/>
          <w:lang w:val="hy-AM" w:eastAsia="en-US"/>
        </w:rPr>
        <w:t>, այդ թվում՝ «Էլեկտրոնային հաղորդակցության մասին» օրենքի 14-րդ հոդվածի համաձայն՝ էլեկտրոնային հաղորդակցության ոլորտի իրավասու մարմնի հետ կարգավորվող անձի նկատմամբ հսկողության փոխանցման համաձայնությունը նախապես համաձայնեցնելու ընթացակարգերը։</w:t>
      </w:r>
    </w:p>
    <w:p w:rsidR="00102070" w:rsidRDefault="00102070" w:rsidP="00102070">
      <w:pPr>
        <w:pStyle w:val="namak"/>
        <w:spacing w:line="336" w:lineRule="auto"/>
        <w:rPr>
          <w:rFonts w:cs="Sylfaen"/>
          <w:lang w:val="hy-AM"/>
        </w:rPr>
      </w:pPr>
      <w:r>
        <w:rPr>
          <w:rFonts w:cs="Sylfaen"/>
          <w:lang w:val="hy-AM"/>
        </w:rPr>
        <w:t xml:space="preserve">Նշված գործընթացի </w:t>
      </w:r>
      <w:r w:rsidRPr="00587398">
        <w:rPr>
          <w:rFonts w:cs="Sylfaen"/>
          <w:lang w:val="af-ZA"/>
        </w:rPr>
        <w:t xml:space="preserve">շրջանակում </w:t>
      </w:r>
      <w:r>
        <w:rPr>
          <w:rFonts w:cs="Sylfaen"/>
          <w:lang w:val="hy-AM"/>
        </w:rPr>
        <w:t>կարգավորվող</w:t>
      </w:r>
      <w:r w:rsidRPr="00587398">
        <w:rPr>
          <w:rFonts w:cs="Sylfaen"/>
          <w:lang w:val="af-ZA"/>
        </w:rPr>
        <w:t xml:space="preserve"> անձի կողմից հայտով ներկայացվող գործարքի՝ ազգային անվտանգության կամ պետական շահերի տեսանկյունի</w:t>
      </w:r>
      <w:r>
        <w:rPr>
          <w:rFonts w:cs="Sylfaen"/>
          <w:lang w:val="af-ZA"/>
        </w:rPr>
        <w:t>ց գնահատման համար</w:t>
      </w:r>
      <w:r w:rsidRPr="00587398"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հնարավոր</w:t>
      </w:r>
      <w:r w:rsidRPr="00587398">
        <w:rPr>
          <w:rFonts w:cs="Sylfaen"/>
          <w:lang w:val="af-ZA"/>
        </w:rPr>
        <w:t xml:space="preserve"> լրացուցիչ տեղեկություններ պահանջելու </w:t>
      </w:r>
      <w:r>
        <w:rPr>
          <w:rFonts w:cs="Sylfaen"/>
          <w:lang w:val="hy-AM"/>
        </w:rPr>
        <w:t xml:space="preserve">և ստանալու նկատառումներով </w:t>
      </w:r>
      <w:r>
        <w:rPr>
          <w:rFonts w:cs="Sylfaen"/>
          <w:lang w:val="hy-AM"/>
        </w:rPr>
        <w:t xml:space="preserve">անհրաժեշտություն է առաջացել </w:t>
      </w:r>
      <w:r>
        <w:rPr>
          <w:rFonts w:cs="Sylfaen"/>
          <w:lang w:val="hy-AM"/>
        </w:rPr>
        <w:t xml:space="preserve">լրամշակել է նշված կարգը։ </w:t>
      </w:r>
    </w:p>
    <w:p w:rsidR="00102070" w:rsidRPr="008A3C26" w:rsidRDefault="00102070" w:rsidP="00102070">
      <w:pPr>
        <w:pStyle w:val="namak"/>
        <w:spacing w:line="336" w:lineRule="auto"/>
        <w:rPr>
          <w:rFonts w:cs="Sylfaen"/>
          <w:lang w:val="af-ZA"/>
        </w:rPr>
      </w:pPr>
    </w:p>
    <w:p w:rsidR="009378BE" w:rsidRPr="00102070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  <w:lang w:val="af-ZA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Pr="00102070" w:rsidRDefault="00406276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02070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02070" w:rsidRPr="00102070">
        <w:rPr>
          <w:rFonts w:ascii="GHEA Grapalat" w:hAnsi="GHEA Grapalat" w:cs="Sylfaen"/>
          <w:lang w:val="hy-AM"/>
        </w:rPr>
        <w:t xml:space="preserve">Մասնավորապես, նախատեսվող իրավակարգավումները վերաբերում են </w:t>
      </w:r>
      <w:r w:rsidR="00102070" w:rsidRPr="00102070">
        <w:rPr>
          <w:rFonts w:ascii="GHEA Grapalat" w:hAnsi="GHEA Grapalat" w:cs="Sylfaen"/>
          <w:lang w:val="af-ZA"/>
        </w:rPr>
        <w:t xml:space="preserve">ազգային անվտանգության կամ պետական շահերի տեսանկյունից գնահատման համար անհրաժեշտ </w:t>
      </w:r>
      <w:r w:rsidR="00102070" w:rsidRPr="00102070">
        <w:rPr>
          <w:rFonts w:ascii="GHEA Grapalat" w:hAnsi="GHEA Grapalat" w:cs="Sylfaen"/>
          <w:lang w:val="af-ZA"/>
        </w:rPr>
        <w:lastRenderedPageBreak/>
        <w:t>լրացուցիչ տեղեկություններ ստանալու</w:t>
      </w:r>
      <w:r w:rsidR="00102070" w:rsidRPr="00102070">
        <w:rPr>
          <w:rFonts w:ascii="GHEA Grapalat" w:hAnsi="GHEA Grapalat" w:cs="Sylfaen"/>
          <w:lang w:val="hy-AM"/>
        </w:rPr>
        <w:t>,</w:t>
      </w:r>
      <w:r w:rsidR="00102070" w:rsidRPr="00102070">
        <w:rPr>
          <w:rFonts w:ascii="GHEA Grapalat" w:hAnsi="GHEA Grapalat" w:cs="Sylfaen"/>
          <w:lang w:val="af-ZA"/>
        </w:rPr>
        <w:t xml:space="preserve"> դրանք </w:t>
      </w:r>
      <w:r w:rsidR="00102070" w:rsidRPr="00102070">
        <w:rPr>
          <w:rFonts w:ascii="GHEA Grapalat" w:hAnsi="GHEA Grapalat" w:cs="Sylfaen"/>
          <w:lang w:val="hy-AM"/>
        </w:rPr>
        <w:t>իրավասու մարմնին</w:t>
      </w:r>
      <w:r w:rsidR="00102070" w:rsidRPr="00102070">
        <w:rPr>
          <w:rFonts w:ascii="GHEA Grapalat" w:hAnsi="GHEA Grapalat" w:cs="Sylfaen"/>
          <w:lang w:val="af-ZA"/>
        </w:rPr>
        <w:t xml:space="preserve"> </w:t>
      </w:r>
      <w:r w:rsidR="00102070" w:rsidRPr="00102070">
        <w:rPr>
          <w:rFonts w:ascii="GHEA Grapalat" w:hAnsi="GHEA Grapalat" w:cs="Sylfaen"/>
          <w:lang w:val="hy-AM"/>
        </w:rPr>
        <w:t>տրամադր</w:t>
      </w:r>
      <w:r w:rsidR="00102070" w:rsidRPr="00102070">
        <w:rPr>
          <w:rFonts w:ascii="GHEA Grapalat" w:hAnsi="GHEA Grapalat" w:cs="Sylfaen"/>
          <w:lang w:val="af-ZA"/>
        </w:rPr>
        <w:t xml:space="preserve">ելու և վերջինիս դիրքորոշումը </w:t>
      </w:r>
      <w:r w:rsidR="00102070" w:rsidRPr="00102070">
        <w:rPr>
          <w:rFonts w:ascii="GHEA Grapalat" w:hAnsi="GHEA Grapalat" w:cs="Sylfaen"/>
          <w:lang w:val="hy-AM"/>
        </w:rPr>
        <w:t>հ</w:t>
      </w:r>
      <w:r w:rsidR="00102070" w:rsidRPr="00102070">
        <w:rPr>
          <w:rFonts w:ascii="GHEA Grapalat" w:hAnsi="GHEA Grapalat" w:cs="Sylfaen"/>
          <w:lang w:val="af-ZA"/>
        </w:rPr>
        <w:t>անձնաժողով ներկայացնելու</w:t>
      </w:r>
      <w:r w:rsidR="00102070" w:rsidRPr="00102070">
        <w:rPr>
          <w:rFonts w:ascii="GHEA Grapalat" w:hAnsi="GHEA Grapalat" w:cs="Sylfaen"/>
          <w:lang w:val="hy-AM"/>
        </w:rPr>
        <w:t xml:space="preserve"> ընթացակարգերին</w:t>
      </w:r>
      <w:r w:rsidR="00102070" w:rsidRPr="00102070">
        <w:rPr>
          <w:rFonts w:ascii="GHEA Grapalat" w:hAnsi="GHEA Grapalat" w:cs="Sylfaen"/>
          <w:lang w:val="af-ZA"/>
        </w:rPr>
        <w:t xml:space="preserve">։ </w:t>
      </w:r>
    </w:p>
    <w:p w:rsidR="007677E2" w:rsidRPr="00FE04FD" w:rsidRDefault="007677E2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noProof/>
          <w:lang w:val="hy-AM"/>
        </w:rPr>
      </w:pP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102070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 և ՀՀ ազգային անվտանգության ծառայության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06276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>ի ընդուն</w:t>
      </w:r>
      <w:r w:rsidR="007677E2">
        <w:rPr>
          <w:rFonts w:ascii="GHEA Grapalat" w:hAnsi="GHEA Grapalat"/>
          <w:sz w:val="24"/>
          <w:szCs w:val="24"/>
        </w:rPr>
        <w:t>ու</w:t>
      </w:r>
      <w:r w:rsidR="00D675B4" w:rsidRPr="00406276">
        <w:rPr>
          <w:rFonts w:ascii="GHEA Grapalat" w:hAnsi="GHEA Grapalat"/>
          <w:sz w:val="24"/>
          <w:szCs w:val="24"/>
        </w:rPr>
        <w:t>մ</w:t>
      </w:r>
      <w:r w:rsidR="007677E2">
        <w:rPr>
          <w:rFonts w:ascii="GHEA Grapalat" w:hAnsi="GHEA Grapalat"/>
          <w:sz w:val="24"/>
          <w:szCs w:val="24"/>
        </w:rPr>
        <w:t xml:space="preserve">ը կնպաստի </w:t>
      </w:r>
      <w:r w:rsidR="00102070" w:rsidRPr="00102070">
        <w:rPr>
          <w:rFonts w:ascii="GHEA Grapalat" w:hAnsi="GHEA Grapalat"/>
          <w:sz w:val="24"/>
          <w:szCs w:val="24"/>
        </w:rPr>
        <w:t xml:space="preserve">էլեկտրոնային հաղորդակցության բնագավառում կարգավորվող անձանց նկատմամբ հսկողության </w:t>
      </w:r>
      <w:r w:rsidR="00102070">
        <w:rPr>
          <w:rFonts w:ascii="GHEA Grapalat" w:hAnsi="GHEA Grapalat"/>
          <w:sz w:val="24"/>
          <w:szCs w:val="24"/>
        </w:rPr>
        <w:t xml:space="preserve">փոխանցման համաձայնեցման գործընթացի՝ </w:t>
      </w:r>
      <w:r w:rsidR="00102070" w:rsidRPr="00102070">
        <w:rPr>
          <w:rFonts w:ascii="GHEA Grapalat" w:hAnsi="GHEA Grapalat"/>
          <w:sz w:val="24"/>
          <w:szCs w:val="24"/>
        </w:rPr>
        <w:t xml:space="preserve">կարգավորվող անձի կողմից հայտով ներկայացվող գործարքի՝ ազգային անվտանգության կամ պետական շահերի տեսանկյունից գնահատման </w:t>
      </w:r>
      <w:r w:rsidR="00102070">
        <w:rPr>
          <w:rFonts w:ascii="GHEA Grapalat" w:hAnsi="GHEA Grapalat"/>
          <w:sz w:val="24"/>
          <w:szCs w:val="24"/>
        </w:rPr>
        <w:t>արդյունավետության բարձրացմանը</w:t>
      </w:r>
      <w:bookmarkStart w:id="0" w:name="_GoBack"/>
      <w:bookmarkEnd w:id="0"/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</w:p>
    <w:sectPr w:rsidR="00D62528" w:rsidRPr="00406276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102070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7677E2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59EF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54</cp:revision>
  <cp:lastPrinted>2021-08-05T10:08:00Z</cp:lastPrinted>
  <dcterms:created xsi:type="dcterms:W3CDTF">2017-11-07T05:41:00Z</dcterms:created>
  <dcterms:modified xsi:type="dcterms:W3CDTF">2023-02-13T07:21:00Z</dcterms:modified>
</cp:coreProperties>
</file>